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25D7994C" w14:textId="0092AAE9" w:rsidR="00327704" w:rsidRPr="00D51C3E" w:rsidRDefault="000965E6" w:rsidP="00D51C3E">
          <w:pPr>
            <w:pStyle w:val="Cmnmhh"/>
            <w:jc w:val="center"/>
            <w:rPr>
              <w:color w:val="auto"/>
              <w:sz w:val="56"/>
            </w:rPr>
          </w:pPr>
          <w:sdt>
            <w:sdtPr>
              <w:rPr>
                <w:color w:val="auto"/>
              </w:rPr>
              <w:alias w:val="Cím"/>
              <w:tag w:val="Cím"/>
              <w:id w:val="11965258"/>
              <w:placeholder>
                <w:docPart w:val="A7E85A2A3E904405895CBFB5452ECE0A"/>
              </w:placeholder>
            </w:sdtPr>
            <w:sdtEndPr>
              <w:rPr>
                <w:sz w:val="56"/>
              </w:rPr>
            </w:sdtEndPr>
            <w:sdtContent>
              <w:r w:rsidR="00DD50E9">
                <w:rPr>
                  <w:color w:val="auto"/>
                  <w:sz w:val="56"/>
                </w:rPr>
                <w:t>Sávismertető</w:t>
              </w:r>
              <w:r w:rsidR="00DD50E9">
                <w:rPr>
                  <w:color w:val="auto"/>
                  <w:sz w:val="56"/>
                </w:rPr>
                <w:br/>
              </w:r>
              <w:r w:rsidR="00A847D9">
                <w:rPr>
                  <w:color w:val="auto"/>
                  <w:sz w:val="56"/>
                </w:rPr>
                <w:t>4</w:t>
              </w:r>
              <w:r w:rsidR="004F4BD6">
                <w:rPr>
                  <w:color w:val="auto"/>
                  <w:sz w:val="56"/>
                </w:rPr>
                <w:t>5</w:t>
              </w:r>
              <w:r w:rsidR="00A847D9">
                <w:rPr>
                  <w:color w:val="auto"/>
                  <w:sz w:val="56"/>
                </w:rPr>
                <w:t>0</w:t>
              </w:r>
              <w:r w:rsidR="009161AA">
                <w:rPr>
                  <w:color w:val="auto"/>
                  <w:sz w:val="56"/>
                </w:rPr>
                <w:t xml:space="preserve"> MHz-es </w:t>
              </w:r>
              <w:r w:rsidR="00AD2B54">
                <w:rPr>
                  <w:color w:val="auto"/>
                  <w:sz w:val="56"/>
                </w:rPr>
                <w:t>frekvencia</w:t>
              </w:r>
              <w:r w:rsidR="009161AA">
                <w:rPr>
                  <w:color w:val="auto"/>
                  <w:sz w:val="56"/>
                </w:rPr>
                <w:t>sáv</w:t>
              </w:r>
            </w:sdtContent>
          </w:sdt>
        </w:p>
        <w:p w14:paraId="11E37DBC" w14:textId="77777777" w:rsidR="00327704" w:rsidRPr="004F0F8E" w:rsidRDefault="000E566F">
          <w:pPr>
            <w:pStyle w:val="Bortlapegybnmhh"/>
            <w:spacing w:before="3480"/>
            <w:rPr>
              <w:rStyle w:val="Helyrzszveg"/>
              <w:color w:val="auto"/>
            </w:rPr>
          </w:pPr>
          <w:r w:rsidRPr="004F0F8E">
            <w:rPr>
              <w:rStyle w:val="Helyrzszveg"/>
              <w:noProof/>
              <w:color w:val="auto"/>
              <w:lang w:eastAsia="hu-HU"/>
            </w:rPr>
            <w:drawing>
              <wp:anchor distT="0" distB="0" distL="114300" distR="114300" simplePos="0" relativeHeight="251654656" behindDoc="1" locked="0" layoutInCell="1" allowOverlap="1" wp14:anchorId="0C4A342E" wp14:editId="15C07A9E">
                <wp:simplePos x="0" y="0"/>
                <wp:positionH relativeFrom="page">
                  <wp:posOffset>6985</wp:posOffset>
                </wp:positionH>
                <wp:positionV relativeFrom="page">
                  <wp:posOffset>10158095</wp:posOffset>
                </wp:positionV>
                <wp:extent cx="7545531" cy="534389"/>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515" cy="534670"/>
                        </a:xfrm>
                        <a:prstGeom prst="rect">
                          <a:avLst/>
                        </a:prstGeom>
                      </pic:spPr>
                    </pic:pic>
                  </a:graphicData>
                </a:graphic>
              </wp:anchor>
            </w:drawing>
          </w:r>
        </w:p>
        <w:p w14:paraId="5F5B4087" w14:textId="77777777" w:rsidR="00327704" w:rsidRPr="004F0F8E" w:rsidRDefault="00327704">
          <w:pPr>
            <w:pStyle w:val="Bortlapegybnmhh"/>
            <w:rPr>
              <w:rStyle w:val="Helyrzszveg"/>
              <w:color w:val="auto"/>
            </w:rPr>
          </w:pPr>
        </w:p>
        <w:p w14:paraId="4AC773D4" w14:textId="21D37B6E" w:rsidR="00327704" w:rsidRPr="004F0F8E" w:rsidRDefault="000965E6">
          <w:pPr>
            <w:pStyle w:val="Bortlapegybnmhh"/>
            <w:spacing w:before="240"/>
            <w:jc w:val="center"/>
            <w:rPr>
              <w:color w:val="auto"/>
            </w:rPr>
          </w:pPr>
          <w:sdt>
            <w:sdtPr>
              <w:rPr>
                <w:rStyle w:val="BortlapegybnmhhChar"/>
                <w:color w:val="auto"/>
              </w:rPr>
              <w:alias w:val="Dátum"/>
              <w:tag w:val="Dátum"/>
              <w:id w:val="11965270"/>
              <w:date w:fullDate="2022-02-15T00:00:00Z">
                <w:dateFormat w:val="yyyy. MMMM d."/>
                <w:lid w:val="hu-HU"/>
                <w:storeMappedDataAs w:val="dateTime"/>
                <w:calendar w:val="gregorian"/>
              </w:date>
            </w:sdtPr>
            <w:sdtEndPr>
              <w:rPr>
                <w:rStyle w:val="Bekezdsalapbettpusa"/>
              </w:rPr>
            </w:sdtEndPr>
            <w:sdtContent>
              <w:r>
                <w:rPr>
                  <w:rStyle w:val="BortlapegybnmhhChar"/>
                  <w:color w:val="auto"/>
                </w:rPr>
                <w:t>2022. február 15.</w:t>
              </w:r>
            </w:sdtContent>
          </w:sdt>
        </w:p>
        <w:p w14:paraId="60B35E5C" w14:textId="77777777" w:rsidR="00327704" w:rsidRPr="004F0F8E" w:rsidRDefault="000965E6">
          <w:pPr>
            <w:spacing w:after="200"/>
            <w:jc w:val="left"/>
            <w:rPr>
              <w:b/>
              <w:bCs/>
            </w:rPr>
            <w:sectPr w:rsidR="00327704" w:rsidRPr="004F0F8E">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166100095"/>
        <w:docPartObj>
          <w:docPartGallery w:val="Table of Contents"/>
          <w:docPartUnique/>
        </w:docPartObj>
      </w:sdtPr>
      <w:sdtEndPr/>
      <w:sdtContent>
        <w:p w14:paraId="5C37E129" w14:textId="77777777" w:rsidR="001E289F" w:rsidRDefault="001E289F">
          <w:pPr>
            <w:pStyle w:val="Tartalomjegyzkcmsora"/>
          </w:pPr>
          <w:r>
            <w:t>Tartalom</w:t>
          </w:r>
        </w:p>
        <w:p w14:paraId="401DD0D7" w14:textId="73ABF345" w:rsidR="00F5261A" w:rsidRDefault="001E289F">
          <w:pPr>
            <w:pStyle w:val="TJ1"/>
            <w:tabs>
              <w:tab w:val="left" w:pos="440"/>
              <w:tab w:val="right" w:leader="dot" w:pos="9062"/>
            </w:tabs>
            <w:rPr>
              <w:rFonts w:eastAsiaTheme="minorEastAsia" w:cstheme="minorBidi"/>
              <w:noProof/>
              <w:lang w:eastAsia="hu-HU"/>
            </w:rPr>
          </w:pPr>
          <w:r>
            <w:fldChar w:fldCharType="begin"/>
          </w:r>
          <w:r>
            <w:instrText xml:space="preserve"> TOC \o "1-3" \h \z \u </w:instrText>
          </w:r>
          <w:r>
            <w:fldChar w:fldCharType="separate"/>
          </w:r>
          <w:hyperlink w:anchor="_Toc95815161" w:history="1">
            <w:r w:rsidR="00F5261A" w:rsidRPr="002A4E3B">
              <w:rPr>
                <w:rStyle w:val="Hiperhivatkozs"/>
                <w:noProof/>
              </w:rPr>
              <w:t>1.</w:t>
            </w:r>
            <w:r w:rsidR="00F5261A">
              <w:rPr>
                <w:rFonts w:eastAsiaTheme="minorEastAsia" w:cstheme="minorBidi"/>
                <w:noProof/>
                <w:lang w:eastAsia="hu-HU"/>
              </w:rPr>
              <w:tab/>
            </w:r>
            <w:r w:rsidR="00F5261A" w:rsidRPr="002A4E3B">
              <w:rPr>
                <w:rStyle w:val="Hiperhivatkozs"/>
                <w:noProof/>
              </w:rPr>
              <w:t>Összefoglaló</w:t>
            </w:r>
            <w:r w:rsidR="00F5261A">
              <w:rPr>
                <w:noProof/>
                <w:webHidden/>
              </w:rPr>
              <w:tab/>
            </w:r>
            <w:r w:rsidR="00F5261A">
              <w:rPr>
                <w:noProof/>
                <w:webHidden/>
              </w:rPr>
              <w:fldChar w:fldCharType="begin"/>
            </w:r>
            <w:r w:rsidR="00F5261A">
              <w:rPr>
                <w:noProof/>
                <w:webHidden/>
              </w:rPr>
              <w:instrText xml:space="preserve"> PAGEREF _Toc95815161 \h </w:instrText>
            </w:r>
            <w:r w:rsidR="00F5261A">
              <w:rPr>
                <w:noProof/>
                <w:webHidden/>
              </w:rPr>
            </w:r>
            <w:r w:rsidR="00F5261A">
              <w:rPr>
                <w:noProof/>
                <w:webHidden/>
              </w:rPr>
              <w:fldChar w:fldCharType="separate"/>
            </w:r>
            <w:r w:rsidR="00F5261A">
              <w:rPr>
                <w:noProof/>
                <w:webHidden/>
              </w:rPr>
              <w:t>3</w:t>
            </w:r>
            <w:r w:rsidR="00F5261A">
              <w:rPr>
                <w:noProof/>
                <w:webHidden/>
              </w:rPr>
              <w:fldChar w:fldCharType="end"/>
            </w:r>
          </w:hyperlink>
        </w:p>
        <w:p w14:paraId="52E19D5F" w14:textId="452D2CA9" w:rsidR="00F5261A" w:rsidRDefault="00F5261A">
          <w:pPr>
            <w:pStyle w:val="TJ1"/>
            <w:tabs>
              <w:tab w:val="left" w:pos="440"/>
              <w:tab w:val="right" w:leader="dot" w:pos="9062"/>
            </w:tabs>
            <w:rPr>
              <w:rFonts w:eastAsiaTheme="minorEastAsia" w:cstheme="minorBidi"/>
              <w:noProof/>
              <w:lang w:eastAsia="hu-HU"/>
            </w:rPr>
          </w:pPr>
          <w:hyperlink w:anchor="_Toc95815162" w:history="1">
            <w:r w:rsidRPr="002A4E3B">
              <w:rPr>
                <w:rStyle w:val="Hiperhivatkozs"/>
                <w:noProof/>
              </w:rPr>
              <w:t>2.</w:t>
            </w:r>
            <w:r>
              <w:rPr>
                <w:rFonts w:eastAsiaTheme="minorEastAsia" w:cstheme="minorBidi"/>
                <w:noProof/>
                <w:lang w:eastAsia="hu-HU"/>
              </w:rPr>
              <w:tab/>
            </w:r>
            <w:r w:rsidRPr="002A4E3B">
              <w:rPr>
                <w:rStyle w:val="Hiperhivatkozs"/>
                <w:noProof/>
              </w:rPr>
              <w:t>Bevezetés</w:t>
            </w:r>
            <w:r>
              <w:rPr>
                <w:noProof/>
                <w:webHidden/>
              </w:rPr>
              <w:tab/>
            </w:r>
            <w:r>
              <w:rPr>
                <w:noProof/>
                <w:webHidden/>
              </w:rPr>
              <w:fldChar w:fldCharType="begin"/>
            </w:r>
            <w:r>
              <w:rPr>
                <w:noProof/>
                <w:webHidden/>
              </w:rPr>
              <w:instrText xml:space="preserve"> PAGEREF _Toc95815162 \h </w:instrText>
            </w:r>
            <w:r>
              <w:rPr>
                <w:noProof/>
                <w:webHidden/>
              </w:rPr>
            </w:r>
            <w:r>
              <w:rPr>
                <w:noProof/>
                <w:webHidden/>
              </w:rPr>
              <w:fldChar w:fldCharType="separate"/>
            </w:r>
            <w:r>
              <w:rPr>
                <w:noProof/>
                <w:webHidden/>
              </w:rPr>
              <w:t>4</w:t>
            </w:r>
            <w:r>
              <w:rPr>
                <w:noProof/>
                <w:webHidden/>
              </w:rPr>
              <w:fldChar w:fldCharType="end"/>
            </w:r>
          </w:hyperlink>
        </w:p>
        <w:p w14:paraId="345F3A7A" w14:textId="14F0C730" w:rsidR="00F5261A" w:rsidRDefault="00F5261A">
          <w:pPr>
            <w:pStyle w:val="TJ1"/>
            <w:tabs>
              <w:tab w:val="left" w:pos="440"/>
              <w:tab w:val="right" w:leader="dot" w:pos="9062"/>
            </w:tabs>
            <w:rPr>
              <w:rFonts w:eastAsiaTheme="minorEastAsia" w:cstheme="minorBidi"/>
              <w:noProof/>
              <w:lang w:eastAsia="hu-HU"/>
            </w:rPr>
          </w:pPr>
          <w:hyperlink w:anchor="_Toc95815163" w:history="1">
            <w:r w:rsidRPr="002A4E3B">
              <w:rPr>
                <w:rStyle w:val="Hiperhivatkozs"/>
                <w:noProof/>
              </w:rPr>
              <w:t>3.</w:t>
            </w:r>
            <w:r>
              <w:rPr>
                <w:rFonts w:eastAsiaTheme="minorEastAsia" w:cstheme="minorBidi"/>
                <w:noProof/>
                <w:lang w:eastAsia="hu-HU"/>
              </w:rPr>
              <w:tab/>
            </w:r>
            <w:r w:rsidRPr="002A4E3B">
              <w:rPr>
                <w:rStyle w:val="Hiperhivatkozs"/>
                <w:noProof/>
              </w:rPr>
              <w:t>A 450 MHz-es frekvenciasáv szabályozása</w:t>
            </w:r>
            <w:r>
              <w:rPr>
                <w:noProof/>
                <w:webHidden/>
              </w:rPr>
              <w:tab/>
            </w:r>
            <w:r>
              <w:rPr>
                <w:noProof/>
                <w:webHidden/>
              </w:rPr>
              <w:fldChar w:fldCharType="begin"/>
            </w:r>
            <w:r>
              <w:rPr>
                <w:noProof/>
                <w:webHidden/>
              </w:rPr>
              <w:instrText xml:space="preserve"> PAGEREF _Toc95815163 \h </w:instrText>
            </w:r>
            <w:r>
              <w:rPr>
                <w:noProof/>
                <w:webHidden/>
              </w:rPr>
            </w:r>
            <w:r>
              <w:rPr>
                <w:noProof/>
                <w:webHidden/>
              </w:rPr>
              <w:fldChar w:fldCharType="separate"/>
            </w:r>
            <w:r>
              <w:rPr>
                <w:noProof/>
                <w:webHidden/>
              </w:rPr>
              <w:t>4</w:t>
            </w:r>
            <w:r>
              <w:rPr>
                <w:noProof/>
                <w:webHidden/>
              </w:rPr>
              <w:fldChar w:fldCharType="end"/>
            </w:r>
          </w:hyperlink>
        </w:p>
        <w:p w14:paraId="4453228D" w14:textId="41B3F4E5" w:rsidR="00F5261A" w:rsidRDefault="00F5261A">
          <w:pPr>
            <w:pStyle w:val="TJ2"/>
            <w:tabs>
              <w:tab w:val="left" w:pos="880"/>
              <w:tab w:val="right" w:leader="dot" w:pos="9062"/>
            </w:tabs>
            <w:rPr>
              <w:rFonts w:eastAsiaTheme="minorEastAsia" w:cstheme="minorBidi"/>
              <w:noProof/>
              <w:lang w:eastAsia="hu-HU"/>
            </w:rPr>
          </w:pPr>
          <w:hyperlink w:anchor="_Toc95815164" w:history="1">
            <w:r w:rsidRPr="002A4E3B">
              <w:rPr>
                <w:rStyle w:val="Hiperhivatkozs"/>
                <w:noProof/>
              </w:rPr>
              <w:t>3.1.</w:t>
            </w:r>
            <w:r>
              <w:rPr>
                <w:rFonts w:eastAsiaTheme="minorEastAsia" w:cstheme="minorBidi"/>
                <w:noProof/>
                <w:lang w:eastAsia="hu-HU"/>
              </w:rPr>
              <w:tab/>
            </w:r>
            <w:r w:rsidRPr="002A4E3B">
              <w:rPr>
                <w:rStyle w:val="Hiperhivatkozs"/>
                <w:noProof/>
              </w:rPr>
              <w:t>Nemzetközi szabályozás</w:t>
            </w:r>
            <w:r>
              <w:rPr>
                <w:noProof/>
                <w:webHidden/>
              </w:rPr>
              <w:tab/>
            </w:r>
            <w:r>
              <w:rPr>
                <w:noProof/>
                <w:webHidden/>
              </w:rPr>
              <w:fldChar w:fldCharType="begin"/>
            </w:r>
            <w:r>
              <w:rPr>
                <w:noProof/>
                <w:webHidden/>
              </w:rPr>
              <w:instrText xml:space="preserve"> PAGEREF _Toc95815164 \h </w:instrText>
            </w:r>
            <w:r>
              <w:rPr>
                <w:noProof/>
                <w:webHidden/>
              </w:rPr>
            </w:r>
            <w:r>
              <w:rPr>
                <w:noProof/>
                <w:webHidden/>
              </w:rPr>
              <w:fldChar w:fldCharType="separate"/>
            </w:r>
            <w:r>
              <w:rPr>
                <w:noProof/>
                <w:webHidden/>
              </w:rPr>
              <w:t>4</w:t>
            </w:r>
            <w:r>
              <w:rPr>
                <w:noProof/>
                <w:webHidden/>
              </w:rPr>
              <w:fldChar w:fldCharType="end"/>
            </w:r>
          </w:hyperlink>
        </w:p>
        <w:p w14:paraId="446158F5" w14:textId="12C1C29E" w:rsidR="00F5261A" w:rsidRDefault="00F5261A">
          <w:pPr>
            <w:pStyle w:val="TJ3"/>
            <w:tabs>
              <w:tab w:val="left" w:pos="1320"/>
              <w:tab w:val="right" w:leader="dot" w:pos="9062"/>
            </w:tabs>
            <w:rPr>
              <w:rFonts w:eastAsiaTheme="minorEastAsia" w:cstheme="minorBidi"/>
              <w:noProof/>
              <w:lang w:eastAsia="hu-HU"/>
            </w:rPr>
          </w:pPr>
          <w:hyperlink w:anchor="_Toc95815165" w:history="1">
            <w:r w:rsidRPr="002A4E3B">
              <w:rPr>
                <w:rStyle w:val="Hiperhivatkozs"/>
                <w:noProof/>
              </w:rPr>
              <w:t>3.1.1.</w:t>
            </w:r>
            <w:r>
              <w:rPr>
                <w:rFonts w:eastAsiaTheme="minorEastAsia" w:cstheme="minorBidi"/>
                <w:noProof/>
                <w:lang w:eastAsia="hu-HU"/>
              </w:rPr>
              <w:tab/>
            </w:r>
            <w:r w:rsidRPr="002A4E3B">
              <w:rPr>
                <w:rStyle w:val="Hiperhivatkozs"/>
                <w:noProof/>
              </w:rPr>
              <w:t>ITU</w:t>
            </w:r>
            <w:r>
              <w:rPr>
                <w:noProof/>
                <w:webHidden/>
              </w:rPr>
              <w:tab/>
            </w:r>
            <w:r>
              <w:rPr>
                <w:noProof/>
                <w:webHidden/>
              </w:rPr>
              <w:fldChar w:fldCharType="begin"/>
            </w:r>
            <w:r>
              <w:rPr>
                <w:noProof/>
                <w:webHidden/>
              </w:rPr>
              <w:instrText xml:space="preserve"> PAGEREF _Toc95815165 \h </w:instrText>
            </w:r>
            <w:r>
              <w:rPr>
                <w:noProof/>
                <w:webHidden/>
              </w:rPr>
            </w:r>
            <w:r>
              <w:rPr>
                <w:noProof/>
                <w:webHidden/>
              </w:rPr>
              <w:fldChar w:fldCharType="separate"/>
            </w:r>
            <w:r>
              <w:rPr>
                <w:noProof/>
                <w:webHidden/>
              </w:rPr>
              <w:t>4</w:t>
            </w:r>
            <w:r>
              <w:rPr>
                <w:noProof/>
                <w:webHidden/>
              </w:rPr>
              <w:fldChar w:fldCharType="end"/>
            </w:r>
          </w:hyperlink>
        </w:p>
        <w:p w14:paraId="659E91C2" w14:textId="2DA2695A" w:rsidR="00F5261A" w:rsidRDefault="00F5261A">
          <w:pPr>
            <w:pStyle w:val="TJ3"/>
            <w:tabs>
              <w:tab w:val="left" w:pos="1320"/>
              <w:tab w:val="right" w:leader="dot" w:pos="9062"/>
            </w:tabs>
            <w:rPr>
              <w:rFonts w:eastAsiaTheme="minorEastAsia" w:cstheme="minorBidi"/>
              <w:noProof/>
              <w:lang w:eastAsia="hu-HU"/>
            </w:rPr>
          </w:pPr>
          <w:hyperlink w:anchor="_Toc95815166" w:history="1">
            <w:r w:rsidRPr="002A4E3B">
              <w:rPr>
                <w:rStyle w:val="Hiperhivatkozs"/>
                <w:noProof/>
              </w:rPr>
              <w:t>3.1.2.</w:t>
            </w:r>
            <w:r>
              <w:rPr>
                <w:rFonts w:eastAsiaTheme="minorEastAsia" w:cstheme="minorBidi"/>
                <w:noProof/>
                <w:lang w:eastAsia="hu-HU"/>
              </w:rPr>
              <w:tab/>
            </w:r>
            <w:r w:rsidRPr="002A4E3B">
              <w:rPr>
                <w:rStyle w:val="Hiperhivatkozs"/>
                <w:noProof/>
              </w:rPr>
              <w:t>CEPT</w:t>
            </w:r>
            <w:r>
              <w:rPr>
                <w:noProof/>
                <w:webHidden/>
              </w:rPr>
              <w:tab/>
            </w:r>
            <w:r>
              <w:rPr>
                <w:noProof/>
                <w:webHidden/>
              </w:rPr>
              <w:fldChar w:fldCharType="begin"/>
            </w:r>
            <w:r>
              <w:rPr>
                <w:noProof/>
                <w:webHidden/>
              </w:rPr>
              <w:instrText xml:space="preserve"> PAGEREF _Toc95815166 \h </w:instrText>
            </w:r>
            <w:r>
              <w:rPr>
                <w:noProof/>
                <w:webHidden/>
              </w:rPr>
            </w:r>
            <w:r>
              <w:rPr>
                <w:noProof/>
                <w:webHidden/>
              </w:rPr>
              <w:fldChar w:fldCharType="separate"/>
            </w:r>
            <w:r>
              <w:rPr>
                <w:noProof/>
                <w:webHidden/>
              </w:rPr>
              <w:t>6</w:t>
            </w:r>
            <w:r>
              <w:rPr>
                <w:noProof/>
                <w:webHidden/>
              </w:rPr>
              <w:fldChar w:fldCharType="end"/>
            </w:r>
          </w:hyperlink>
        </w:p>
        <w:p w14:paraId="0F4AA8C1" w14:textId="37C258CF" w:rsidR="00F5261A" w:rsidRDefault="00F5261A">
          <w:pPr>
            <w:pStyle w:val="TJ2"/>
            <w:tabs>
              <w:tab w:val="left" w:pos="880"/>
              <w:tab w:val="right" w:leader="dot" w:pos="9062"/>
            </w:tabs>
            <w:rPr>
              <w:rFonts w:eastAsiaTheme="minorEastAsia" w:cstheme="minorBidi"/>
              <w:noProof/>
              <w:lang w:eastAsia="hu-HU"/>
            </w:rPr>
          </w:pPr>
          <w:hyperlink w:anchor="_Toc95815167" w:history="1">
            <w:r w:rsidRPr="002A4E3B">
              <w:rPr>
                <w:rStyle w:val="Hiperhivatkozs"/>
                <w:noProof/>
              </w:rPr>
              <w:t>3.2.</w:t>
            </w:r>
            <w:r>
              <w:rPr>
                <w:rFonts w:eastAsiaTheme="minorEastAsia" w:cstheme="minorBidi"/>
                <w:noProof/>
                <w:lang w:eastAsia="hu-HU"/>
              </w:rPr>
              <w:tab/>
            </w:r>
            <w:r w:rsidRPr="002A4E3B">
              <w:rPr>
                <w:rStyle w:val="Hiperhivatkozs"/>
                <w:noProof/>
              </w:rPr>
              <w:t>Nemzeti szabályozás</w:t>
            </w:r>
            <w:r>
              <w:rPr>
                <w:noProof/>
                <w:webHidden/>
              </w:rPr>
              <w:tab/>
            </w:r>
            <w:r>
              <w:rPr>
                <w:noProof/>
                <w:webHidden/>
              </w:rPr>
              <w:fldChar w:fldCharType="begin"/>
            </w:r>
            <w:r>
              <w:rPr>
                <w:noProof/>
                <w:webHidden/>
              </w:rPr>
              <w:instrText xml:space="preserve"> PAGEREF _Toc95815167 \h </w:instrText>
            </w:r>
            <w:r>
              <w:rPr>
                <w:noProof/>
                <w:webHidden/>
              </w:rPr>
            </w:r>
            <w:r>
              <w:rPr>
                <w:noProof/>
                <w:webHidden/>
              </w:rPr>
              <w:fldChar w:fldCharType="separate"/>
            </w:r>
            <w:r>
              <w:rPr>
                <w:noProof/>
                <w:webHidden/>
              </w:rPr>
              <w:t>6</w:t>
            </w:r>
            <w:r>
              <w:rPr>
                <w:noProof/>
                <w:webHidden/>
              </w:rPr>
              <w:fldChar w:fldCharType="end"/>
            </w:r>
          </w:hyperlink>
        </w:p>
        <w:p w14:paraId="3E38AF75" w14:textId="28B49ED1" w:rsidR="00F5261A" w:rsidRDefault="00F5261A">
          <w:pPr>
            <w:pStyle w:val="TJ1"/>
            <w:tabs>
              <w:tab w:val="left" w:pos="440"/>
              <w:tab w:val="right" w:leader="dot" w:pos="9062"/>
            </w:tabs>
            <w:rPr>
              <w:rFonts w:eastAsiaTheme="minorEastAsia" w:cstheme="minorBidi"/>
              <w:noProof/>
              <w:lang w:eastAsia="hu-HU"/>
            </w:rPr>
          </w:pPr>
          <w:hyperlink w:anchor="_Toc95815168" w:history="1">
            <w:r w:rsidRPr="002A4E3B">
              <w:rPr>
                <w:rStyle w:val="Hiperhivatkozs"/>
                <w:noProof/>
              </w:rPr>
              <w:t>4.</w:t>
            </w:r>
            <w:r>
              <w:rPr>
                <w:rFonts w:eastAsiaTheme="minorEastAsia" w:cstheme="minorBidi"/>
                <w:noProof/>
                <w:lang w:eastAsia="hu-HU"/>
              </w:rPr>
              <w:tab/>
            </w:r>
            <w:r w:rsidRPr="002A4E3B">
              <w:rPr>
                <w:rStyle w:val="Hiperhivatkozs"/>
                <w:noProof/>
              </w:rPr>
              <w:t>Jelenlegi használat</w:t>
            </w:r>
            <w:r>
              <w:rPr>
                <w:noProof/>
                <w:webHidden/>
              </w:rPr>
              <w:tab/>
            </w:r>
            <w:r>
              <w:rPr>
                <w:noProof/>
                <w:webHidden/>
              </w:rPr>
              <w:fldChar w:fldCharType="begin"/>
            </w:r>
            <w:r>
              <w:rPr>
                <w:noProof/>
                <w:webHidden/>
              </w:rPr>
              <w:instrText xml:space="preserve"> PAGEREF _Toc95815168 \h </w:instrText>
            </w:r>
            <w:r>
              <w:rPr>
                <w:noProof/>
                <w:webHidden/>
              </w:rPr>
            </w:r>
            <w:r>
              <w:rPr>
                <w:noProof/>
                <w:webHidden/>
              </w:rPr>
              <w:fldChar w:fldCharType="separate"/>
            </w:r>
            <w:r>
              <w:rPr>
                <w:noProof/>
                <w:webHidden/>
              </w:rPr>
              <w:t>7</w:t>
            </w:r>
            <w:r>
              <w:rPr>
                <w:noProof/>
                <w:webHidden/>
              </w:rPr>
              <w:fldChar w:fldCharType="end"/>
            </w:r>
          </w:hyperlink>
        </w:p>
        <w:p w14:paraId="1FAFEFF3" w14:textId="4D02A85D" w:rsidR="00F5261A" w:rsidRDefault="00F5261A">
          <w:pPr>
            <w:pStyle w:val="TJ2"/>
            <w:tabs>
              <w:tab w:val="left" w:pos="880"/>
              <w:tab w:val="right" w:leader="dot" w:pos="9062"/>
            </w:tabs>
            <w:rPr>
              <w:rFonts w:eastAsiaTheme="minorEastAsia" w:cstheme="minorBidi"/>
              <w:noProof/>
              <w:lang w:eastAsia="hu-HU"/>
            </w:rPr>
          </w:pPr>
          <w:hyperlink w:anchor="_Toc95815169" w:history="1">
            <w:r w:rsidRPr="002A4E3B">
              <w:rPr>
                <w:rStyle w:val="Hiperhivatkozs"/>
                <w:noProof/>
              </w:rPr>
              <w:t>4.1.</w:t>
            </w:r>
            <w:r>
              <w:rPr>
                <w:rFonts w:eastAsiaTheme="minorEastAsia" w:cstheme="minorBidi"/>
                <w:noProof/>
                <w:lang w:eastAsia="hu-HU"/>
              </w:rPr>
              <w:tab/>
            </w:r>
            <w:r w:rsidRPr="002A4E3B">
              <w:rPr>
                <w:rStyle w:val="Hiperhivatkozs"/>
                <w:noProof/>
              </w:rPr>
              <w:t>Szélessávú használat</w:t>
            </w:r>
            <w:r>
              <w:rPr>
                <w:noProof/>
                <w:webHidden/>
              </w:rPr>
              <w:tab/>
            </w:r>
            <w:r>
              <w:rPr>
                <w:noProof/>
                <w:webHidden/>
              </w:rPr>
              <w:fldChar w:fldCharType="begin"/>
            </w:r>
            <w:r>
              <w:rPr>
                <w:noProof/>
                <w:webHidden/>
              </w:rPr>
              <w:instrText xml:space="preserve"> PAGEREF _Toc95815169 \h </w:instrText>
            </w:r>
            <w:r>
              <w:rPr>
                <w:noProof/>
                <w:webHidden/>
              </w:rPr>
            </w:r>
            <w:r>
              <w:rPr>
                <w:noProof/>
                <w:webHidden/>
              </w:rPr>
              <w:fldChar w:fldCharType="separate"/>
            </w:r>
            <w:r>
              <w:rPr>
                <w:noProof/>
                <w:webHidden/>
              </w:rPr>
              <w:t>7</w:t>
            </w:r>
            <w:r>
              <w:rPr>
                <w:noProof/>
                <w:webHidden/>
              </w:rPr>
              <w:fldChar w:fldCharType="end"/>
            </w:r>
          </w:hyperlink>
        </w:p>
        <w:p w14:paraId="3B950BF4" w14:textId="2E9D37D6" w:rsidR="00F5261A" w:rsidRDefault="00F5261A">
          <w:pPr>
            <w:pStyle w:val="TJ2"/>
            <w:tabs>
              <w:tab w:val="left" w:pos="880"/>
              <w:tab w:val="right" w:leader="dot" w:pos="9062"/>
            </w:tabs>
            <w:rPr>
              <w:rFonts w:eastAsiaTheme="minorEastAsia" w:cstheme="minorBidi"/>
              <w:noProof/>
              <w:lang w:eastAsia="hu-HU"/>
            </w:rPr>
          </w:pPr>
          <w:hyperlink w:anchor="_Toc95815170" w:history="1">
            <w:r w:rsidRPr="002A4E3B">
              <w:rPr>
                <w:rStyle w:val="Hiperhivatkozs"/>
                <w:noProof/>
              </w:rPr>
              <w:t>4.2.</w:t>
            </w:r>
            <w:r>
              <w:rPr>
                <w:rFonts w:eastAsiaTheme="minorEastAsia" w:cstheme="minorBidi"/>
                <w:noProof/>
                <w:lang w:eastAsia="hu-HU"/>
              </w:rPr>
              <w:tab/>
            </w:r>
            <w:r w:rsidRPr="002A4E3B">
              <w:rPr>
                <w:rStyle w:val="Hiperhivatkozs"/>
                <w:noProof/>
              </w:rPr>
              <w:t>Keskenysávú használat</w:t>
            </w:r>
            <w:r>
              <w:rPr>
                <w:noProof/>
                <w:webHidden/>
              </w:rPr>
              <w:tab/>
            </w:r>
            <w:r>
              <w:rPr>
                <w:noProof/>
                <w:webHidden/>
              </w:rPr>
              <w:fldChar w:fldCharType="begin"/>
            </w:r>
            <w:r>
              <w:rPr>
                <w:noProof/>
                <w:webHidden/>
              </w:rPr>
              <w:instrText xml:space="preserve"> PAGEREF _Toc95815170 \h </w:instrText>
            </w:r>
            <w:r>
              <w:rPr>
                <w:noProof/>
                <w:webHidden/>
              </w:rPr>
            </w:r>
            <w:r>
              <w:rPr>
                <w:noProof/>
                <w:webHidden/>
              </w:rPr>
              <w:fldChar w:fldCharType="separate"/>
            </w:r>
            <w:r>
              <w:rPr>
                <w:noProof/>
                <w:webHidden/>
              </w:rPr>
              <w:t>8</w:t>
            </w:r>
            <w:r>
              <w:rPr>
                <w:noProof/>
                <w:webHidden/>
              </w:rPr>
              <w:fldChar w:fldCharType="end"/>
            </w:r>
          </w:hyperlink>
        </w:p>
        <w:p w14:paraId="5FF85ED7" w14:textId="1FB8C9E3" w:rsidR="00F5261A" w:rsidRDefault="00F5261A">
          <w:pPr>
            <w:pStyle w:val="TJ1"/>
            <w:tabs>
              <w:tab w:val="left" w:pos="440"/>
              <w:tab w:val="right" w:leader="dot" w:pos="9062"/>
            </w:tabs>
            <w:rPr>
              <w:rFonts w:eastAsiaTheme="minorEastAsia" w:cstheme="minorBidi"/>
              <w:noProof/>
              <w:lang w:eastAsia="hu-HU"/>
            </w:rPr>
          </w:pPr>
          <w:hyperlink w:anchor="_Toc95815171" w:history="1">
            <w:r w:rsidRPr="002A4E3B">
              <w:rPr>
                <w:rStyle w:val="Hiperhivatkozs"/>
                <w:noProof/>
              </w:rPr>
              <w:t>5.</w:t>
            </w:r>
            <w:r>
              <w:rPr>
                <w:rFonts w:eastAsiaTheme="minorEastAsia" w:cstheme="minorBidi"/>
                <w:noProof/>
                <w:lang w:eastAsia="hu-HU"/>
              </w:rPr>
              <w:tab/>
            </w:r>
            <w:r w:rsidRPr="002A4E3B">
              <w:rPr>
                <w:rStyle w:val="Hiperhivatkozs"/>
                <w:noProof/>
              </w:rPr>
              <w:t>Lehetséges jövőbeni használat</w:t>
            </w:r>
            <w:r>
              <w:rPr>
                <w:noProof/>
                <w:webHidden/>
              </w:rPr>
              <w:tab/>
            </w:r>
            <w:r>
              <w:rPr>
                <w:noProof/>
                <w:webHidden/>
              </w:rPr>
              <w:fldChar w:fldCharType="begin"/>
            </w:r>
            <w:r>
              <w:rPr>
                <w:noProof/>
                <w:webHidden/>
              </w:rPr>
              <w:instrText xml:space="preserve"> PAGEREF _Toc95815171 \h </w:instrText>
            </w:r>
            <w:r>
              <w:rPr>
                <w:noProof/>
                <w:webHidden/>
              </w:rPr>
            </w:r>
            <w:r>
              <w:rPr>
                <w:noProof/>
                <w:webHidden/>
              </w:rPr>
              <w:fldChar w:fldCharType="separate"/>
            </w:r>
            <w:r>
              <w:rPr>
                <w:noProof/>
                <w:webHidden/>
              </w:rPr>
              <w:t>8</w:t>
            </w:r>
            <w:r>
              <w:rPr>
                <w:noProof/>
                <w:webHidden/>
              </w:rPr>
              <w:fldChar w:fldCharType="end"/>
            </w:r>
          </w:hyperlink>
        </w:p>
        <w:p w14:paraId="565B37B8" w14:textId="2E682EB1" w:rsidR="00F5261A" w:rsidRDefault="00F5261A">
          <w:pPr>
            <w:pStyle w:val="TJ2"/>
            <w:tabs>
              <w:tab w:val="left" w:pos="880"/>
              <w:tab w:val="right" w:leader="dot" w:pos="9062"/>
            </w:tabs>
            <w:rPr>
              <w:rFonts w:eastAsiaTheme="minorEastAsia" w:cstheme="minorBidi"/>
              <w:noProof/>
              <w:lang w:eastAsia="hu-HU"/>
            </w:rPr>
          </w:pPr>
          <w:hyperlink w:anchor="_Toc95815172" w:history="1">
            <w:r w:rsidRPr="002A4E3B">
              <w:rPr>
                <w:rStyle w:val="Hiperhivatkozs"/>
                <w:noProof/>
              </w:rPr>
              <w:t>5.1.</w:t>
            </w:r>
            <w:r>
              <w:rPr>
                <w:rFonts w:eastAsiaTheme="minorEastAsia" w:cstheme="minorBidi"/>
                <w:noProof/>
                <w:lang w:eastAsia="hu-HU"/>
              </w:rPr>
              <w:tab/>
            </w:r>
            <w:r w:rsidRPr="002A4E3B">
              <w:rPr>
                <w:rStyle w:val="Hiperhivatkozs"/>
                <w:noProof/>
              </w:rPr>
              <w:t>Műszaki lehetőségek</w:t>
            </w:r>
            <w:r>
              <w:rPr>
                <w:noProof/>
                <w:webHidden/>
              </w:rPr>
              <w:tab/>
            </w:r>
            <w:r>
              <w:rPr>
                <w:noProof/>
                <w:webHidden/>
              </w:rPr>
              <w:fldChar w:fldCharType="begin"/>
            </w:r>
            <w:r>
              <w:rPr>
                <w:noProof/>
                <w:webHidden/>
              </w:rPr>
              <w:instrText xml:space="preserve"> PAGEREF _Toc95815172 \h </w:instrText>
            </w:r>
            <w:r>
              <w:rPr>
                <w:noProof/>
                <w:webHidden/>
              </w:rPr>
            </w:r>
            <w:r>
              <w:rPr>
                <w:noProof/>
                <w:webHidden/>
              </w:rPr>
              <w:fldChar w:fldCharType="separate"/>
            </w:r>
            <w:r>
              <w:rPr>
                <w:noProof/>
                <w:webHidden/>
              </w:rPr>
              <w:t>8</w:t>
            </w:r>
            <w:r>
              <w:rPr>
                <w:noProof/>
                <w:webHidden/>
              </w:rPr>
              <w:fldChar w:fldCharType="end"/>
            </w:r>
          </w:hyperlink>
        </w:p>
        <w:p w14:paraId="047570FA" w14:textId="7302D6D5" w:rsidR="00F5261A" w:rsidRDefault="00F5261A">
          <w:pPr>
            <w:pStyle w:val="TJ2"/>
            <w:tabs>
              <w:tab w:val="left" w:pos="880"/>
              <w:tab w:val="right" w:leader="dot" w:pos="9062"/>
            </w:tabs>
            <w:rPr>
              <w:rFonts w:eastAsiaTheme="minorEastAsia" w:cstheme="minorBidi"/>
              <w:noProof/>
              <w:lang w:eastAsia="hu-HU"/>
            </w:rPr>
          </w:pPr>
          <w:hyperlink w:anchor="_Toc95815173" w:history="1">
            <w:r w:rsidRPr="002A4E3B">
              <w:rPr>
                <w:rStyle w:val="Hiperhivatkozs"/>
                <w:noProof/>
              </w:rPr>
              <w:t>5.2.</w:t>
            </w:r>
            <w:r>
              <w:rPr>
                <w:rFonts w:eastAsiaTheme="minorEastAsia" w:cstheme="minorBidi"/>
                <w:noProof/>
                <w:lang w:eastAsia="hu-HU"/>
              </w:rPr>
              <w:tab/>
            </w:r>
            <w:r w:rsidRPr="002A4E3B">
              <w:rPr>
                <w:rStyle w:val="Hiperhivatkozs"/>
                <w:noProof/>
              </w:rPr>
              <w:t>Újrahasznosítási lehetőségek</w:t>
            </w:r>
            <w:r>
              <w:rPr>
                <w:noProof/>
                <w:webHidden/>
              </w:rPr>
              <w:tab/>
            </w:r>
            <w:r>
              <w:rPr>
                <w:noProof/>
                <w:webHidden/>
              </w:rPr>
              <w:fldChar w:fldCharType="begin"/>
            </w:r>
            <w:r>
              <w:rPr>
                <w:noProof/>
                <w:webHidden/>
              </w:rPr>
              <w:instrText xml:space="preserve"> PAGEREF _Toc95815173 \h </w:instrText>
            </w:r>
            <w:r>
              <w:rPr>
                <w:noProof/>
                <w:webHidden/>
              </w:rPr>
            </w:r>
            <w:r>
              <w:rPr>
                <w:noProof/>
                <w:webHidden/>
              </w:rPr>
              <w:fldChar w:fldCharType="separate"/>
            </w:r>
            <w:r>
              <w:rPr>
                <w:noProof/>
                <w:webHidden/>
              </w:rPr>
              <w:t>9</w:t>
            </w:r>
            <w:r>
              <w:rPr>
                <w:noProof/>
                <w:webHidden/>
              </w:rPr>
              <w:fldChar w:fldCharType="end"/>
            </w:r>
          </w:hyperlink>
        </w:p>
        <w:p w14:paraId="287BE636" w14:textId="3FDFDB2D" w:rsidR="00F5261A" w:rsidRDefault="00F5261A">
          <w:pPr>
            <w:pStyle w:val="TJ1"/>
            <w:tabs>
              <w:tab w:val="left" w:pos="440"/>
              <w:tab w:val="right" w:leader="dot" w:pos="9062"/>
            </w:tabs>
            <w:rPr>
              <w:rFonts w:eastAsiaTheme="minorEastAsia" w:cstheme="minorBidi"/>
              <w:noProof/>
              <w:lang w:eastAsia="hu-HU"/>
            </w:rPr>
          </w:pPr>
          <w:hyperlink w:anchor="_Toc95815174" w:history="1">
            <w:r w:rsidRPr="002A4E3B">
              <w:rPr>
                <w:rStyle w:val="Hiperhivatkozs"/>
                <w:noProof/>
              </w:rPr>
              <w:t>6.</w:t>
            </w:r>
            <w:r>
              <w:rPr>
                <w:rFonts w:eastAsiaTheme="minorEastAsia" w:cstheme="minorBidi"/>
                <w:noProof/>
                <w:lang w:eastAsia="hu-HU"/>
              </w:rPr>
              <w:tab/>
            </w:r>
            <w:r w:rsidRPr="002A4E3B">
              <w:rPr>
                <w:rStyle w:val="Hiperhivatkozs"/>
                <w:noProof/>
              </w:rPr>
              <w:t>Nemzetközi koordináció helyzete</w:t>
            </w:r>
            <w:r>
              <w:rPr>
                <w:noProof/>
                <w:webHidden/>
              </w:rPr>
              <w:tab/>
            </w:r>
            <w:r>
              <w:rPr>
                <w:noProof/>
                <w:webHidden/>
              </w:rPr>
              <w:fldChar w:fldCharType="begin"/>
            </w:r>
            <w:r>
              <w:rPr>
                <w:noProof/>
                <w:webHidden/>
              </w:rPr>
              <w:instrText xml:space="preserve"> PAGEREF _Toc95815174 \h </w:instrText>
            </w:r>
            <w:r>
              <w:rPr>
                <w:noProof/>
                <w:webHidden/>
              </w:rPr>
            </w:r>
            <w:r>
              <w:rPr>
                <w:noProof/>
                <w:webHidden/>
              </w:rPr>
              <w:fldChar w:fldCharType="separate"/>
            </w:r>
            <w:r>
              <w:rPr>
                <w:noProof/>
                <w:webHidden/>
              </w:rPr>
              <w:t>11</w:t>
            </w:r>
            <w:r>
              <w:rPr>
                <w:noProof/>
                <w:webHidden/>
              </w:rPr>
              <w:fldChar w:fldCharType="end"/>
            </w:r>
          </w:hyperlink>
        </w:p>
        <w:p w14:paraId="343B72B8" w14:textId="4B5356DA" w:rsidR="00F5261A" w:rsidRDefault="00F5261A">
          <w:pPr>
            <w:pStyle w:val="TJ1"/>
            <w:tabs>
              <w:tab w:val="left" w:pos="440"/>
              <w:tab w:val="right" w:leader="dot" w:pos="9062"/>
            </w:tabs>
            <w:rPr>
              <w:rFonts w:eastAsiaTheme="minorEastAsia" w:cstheme="minorBidi"/>
              <w:noProof/>
              <w:lang w:eastAsia="hu-HU"/>
            </w:rPr>
          </w:pPr>
          <w:hyperlink w:anchor="_Toc95815175" w:history="1">
            <w:r w:rsidRPr="002A4E3B">
              <w:rPr>
                <w:rStyle w:val="Hiperhivatkozs"/>
                <w:noProof/>
              </w:rPr>
              <w:t>7.</w:t>
            </w:r>
            <w:r>
              <w:rPr>
                <w:rFonts w:eastAsiaTheme="minorEastAsia" w:cstheme="minorBidi"/>
                <w:noProof/>
                <w:lang w:eastAsia="hu-HU"/>
              </w:rPr>
              <w:tab/>
            </w:r>
            <w:r w:rsidRPr="002A4E3B">
              <w:rPr>
                <w:rStyle w:val="Hiperhivatkozs"/>
                <w:noProof/>
              </w:rPr>
              <w:t>Rádióspektrumdíjak</w:t>
            </w:r>
            <w:r>
              <w:rPr>
                <w:noProof/>
                <w:webHidden/>
              </w:rPr>
              <w:tab/>
            </w:r>
            <w:r>
              <w:rPr>
                <w:noProof/>
                <w:webHidden/>
              </w:rPr>
              <w:fldChar w:fldCharType="begin"/>
            </w:r>
            <w:r>
              <w:rPr>
                <w:noProof/>
                <w:webHidden/>
              </w:rPr>
              <w:instrText xml:space="preserve"> PAGEREF _Toc95815175 \h </w:instrText>
            </w:r>
            <w:r>
              <w:rPr>
                <w:noProof/>
                <w:webHidden/>
              </w:rPr>
            </w:r>
            <w:r>
              <w:rPr>
                <w:noProof/>
                <w:webHidden/>
              </w:rPr>
              <w:fldChar w:fldCharType="separate"/>
            </w:r>
            <w:r>
              <w:rPr>
                <w:noProof/>
                <w:webHidden/>
              </w:rPr>
              <w:t>12</w:t>
            </w:r>
            <w:r>
              <w:rPr>
                <w:noProof/>
                <w:webHidden/>
              </w:rPr>
              <w:fldChar w:fldCharType="end"/>
            </w:r>
          </w:hyperlink>
        </w:p>
        <w:p w14:paraId="1633AC2F" w14:textId="1AF9C17B" w:rsidR="001E289F" w:rsidRDefault="001E289F">
          <w:r>
            <w:rPr>
              <w:b/>
              <w:bCs/>
            </w:rPr>
            <w:fldChar w:fldCharType="end"/>
          </w:r>
        </w:p>
      </w:sdtContent>
    </w:sdt>
    <w:p w14:paraId="57614783" w14:textId="77777777" w:rsidR="001E289F" w:rsidRDefault="001E289F" w:rsidP="00935571">
      <w:pPr>
        <w:pStyle w:val="Cmsor1szmozottnmhh"/>
        <w:sectPr w:rsidR="001E289F" w:rsidSect="00F52D89">
          <w:pgSz w:w="11906" w:h="16838"/>
          <w:pgMar w:top="1417" w:right="1417" w:bottom="1417" w:left="1417" w:header="1417" w:footer="709" w:gutter="0"/>
          <w:cols w:space="708"/>
          <w:docGrid w:linePitch="360"/>
        </w:sectPr>
      </w:pPr>
    </w:p>
    <w:p w14:paraId="4A014E85" w14:textId="27043936" w:rsidR="005E3C81" w:rsidRPr="008F203D" w:rsidRDefault="000965E6" w:rsidP="00104A8E">
      <w:pPr>
        <w:pStyle w:val="Cmsor1szmozottnmhh"/>
      </w:pPr>
      <w:bookmarkStart w:id="0" w:name="_Toc95815161"/>
      <w:r>
        <w:lastRenderedPageBreak/>
        <w:t>Ö</w:t>
      </w:r>
      <w:r w:rsidR="002E22B6" w:rsidRPr="008F203D">
        <w:t>sszefoglaló</w:t>
      </w:r>
      <w:bookmarkEnd w:id="0"/>
    </w:p>
    <w:p w14:paraId="2F2E2DAB" w14:textId="12784AD9" w:rsidR="008F203D" w:rsidRPr="008D21A2" w:rsidRDefault="008F203D" w:rsidP="008F203D">
      <w:pPr>
        <w:pStyle w:val="Behzottbekezdsnmhh"/>
      </w:pPr>
      <w:r w:rsidRPr="008D21A2">
        <w:t xml:space="preserve">Magyarországon a 450-470 MHz frekvenciasávban </w:t>
      </w:r>
      <w:r w:rsidR="00E21671">
        <w:t>(a továbbiakban</w:t>
      </w:r>
      <w:r w:rsidR="001B2A89">
        <w:t>:</w:t>
      </w:r>
      <w:r w:rsidR="00E21671">
        <w:t xml:space="preserve"> 450 MHz-es frekvenciasáv) </w:t>
      </w:r>
      <w:r w:rsidRPr="008D21A2">
        <w:t xml:space="preserve">szélessávú mobil rendszer, valamint analóg és digitális keskenysávú </w:t>
      </w:r>
      <w:r w:rsidR="002D21C6" w:rsidRPr="002D21C6">
        <w:t>Professzionális/Magán mozgórádió</w:t>
      </w:r>
      <w:r w:rsidR="002D21C6">
        <w:t xml:space="preserve"> (</w:t>
      </w:r>
      <w:r w:rsidRPr="008D21A2">
        <w:t>PMR</w:t>
      </w:r>
      <w:r w:rsidR="002D21C6">
        <w:t>)</w:t>
      </w:r>
      <w:r w:rsidRPr="008D21A2">
        <w:t xml:space="preserve"> rendszerek üzemelnek. </w:t>
      </w:r>
    </w:p>
    <w:p w14:paraId="13F83053" w14:textId="5D4B314D" w:rsidR="00955F75" w:rsidRDefault="008F203D" w:rsidP="00955F75">
      <w:pPr>
        <w:pStyle w:val="Behzottbekezdsnmhh"/>
      </w:pPr>
      <w:r w:rsidRPr="008D21A2">
        <w:t>A 450 MHz</w:t>
      </w:r>
      <w:r w:rsidR="00E21671">
        <w:t>-es</w:t>
      </w:r>
      <w:r w:rsidRPr="008D21A2">
        <w:t xml:space="preserve"> frekvenciasávon belül szélessávú mobil rendszerekre kijelölt 450-457,38/460-467,38 MHz frekvenciasávrészben a 2014-ben lefolytatott pályázat során az MVM Net Zrt. szerzett rádióspektrum</w:t>
      </w:r>
      <w:r w:rsidR="001B2A89">
        <w:t>-</w:t>
      </w:r>
      <w:r w:rsidRPr="008D21A2">
        <w:t>használati jogosultságot 10 évre. Az MVM Net Zrt. jogosultsága 2024. április 30-án jár le</w:t>
      </w:r>
      <w:r w:rsidR="00955F75">
        <w:t>.</w:t>
      </w:r>
      <w:r w:rsidRPr="008D21A2">
        <w:t xml:space="preserve"> </w:t>
      </w:r>
      <w:r w:rsidR="00955F75">
        <w:t xml:space="preserve">A frekvenciasáv lejáratot követő időszakra vonatkozó használatáról a szabályozó megújult szabályozási környezetben, új elvek, új eljárási szabályok mentén kell, hogy döntsön, köszönhetően az Európai Elektronikus Hírközlési Kódex (a továbbiakban: Kódex) hazai jogrendbe ültetésének. </w:t>
      </w:r>
    </w:p>
    <w:p w14:paraId="0806C557" w14:textId="77777777" w:rsidR="00E21671" w:rsidRDefault="00955F75" w:rsidP="00955F75">
      <w:pPr>
        <w:pStyle w:val="Behzottbekezdsnmhh"/>
      </w:pPr>
      <w:r>
        <w:t xml:space="preserve">Az alapelv, az alapvető cél, miszerint gondoskodni kell a szakszerű és hatékony rádióspektrum használatról nem változott. A megújítás új, feszes menetrendet, formalizált versenyhatás vizsgálati rendszert hozott a rádióspektrum-gazdálkodás területén. Ha a rádióspektrum-használati jogosultság szerzésekor a megújítás lehetősége nem volt kizárva, lehetőség van versenyeztetési eljárás lefolytatása nélkül </w:t>
      </w:r>
      <w:r w:rsidR="00E21671">
        <w:t>ismételt jogosultság szerzésre</w:t>
      </w:r>
      <w:r>
        <w:t xml:space="preserve">. </w:t>
      </w:r>
    </w:p>
    <w:p w14:paraId="199ABB6F" w14:textId="6B0B9916" w:rsidR="008F203D" w:rsidRPr="008D21A2" w:rsidRDefault="00E21671" w:rsidP="008F203D">
      <w:pPr>
        <w:pStyle w:val="Behzottbekezdsnmhh"/>
      </w:pPr>
      <w:r>
        <w:t xml:space="preserve">A lejáró jogosultság megújítása iránt határidőben kérelem érkezett az NMHH-hoz. </w:t>
      </w:r>
      <w:r w:rsidR="003600B4">
        <w:t>Amennyiben lehetséges a me</w:t>
      </w:r>
      <w:r w:rsidR="00955F75">
        <w:t>gújítás</w:t>
      </w:r>
      <w:r>
        <w:t>,</w:t>
      </w:r>
      <w:r w:rsidR="00955F75">
        <w:t xml:space="preserve"> a</w:t>
      </w:r>
      <w:r>
        <w:t>z NMHH a</w:t>
      </w:r>
      <w:r w:rsidR="00955F75">
        <w:t xml:space="preserve"> megújítás szükségességét értékel</w:t>
      </w:r>
      <w:r w:rsidR="003600B4">
        <w:t>i</w:t>
      </w:r>
      <w:r w:rsidR="00955F75">
        <w:t>,</w:t>
      </w:r>
      <w:r>
        <w:t xml:space="preserve"> azaz</w:t>
      </w:r>
      <w:r w:rsidR="00955F75">
        <w:t xml:space="preserve"> az odaítélt jogok megújítása által a versenyre gyakorolt hatást </w:t>
      </w:r>
      <w:r>
        <w:t xml:space="preserve">veti </w:t>
      </w:r>
      <w:r w:rsidR="00955F75">
        <w:t xml:space="preserve">össze azzal a hatással, amely a hatékonyabb kiaknázás vagy új, innovatív használati módok előmozdítása révén lenne elérhető akkor, ha a sáv új használati mód, új jogosult előtt nyílna meg. </w:t>
      </w:r>
      <w:r>
        <w:t>A megújítási folyamatban t</w:t>
      </w:r>
      <w:r w:rsidR="00955F75">
        <w:t>ermészetesen a piaci igényeket is fel kell mérni, és mérlegelni kell azok megalapozottságát.</w:t>
      </w:r>
      <w:r>
        <w:t xml:space="preserve"> Az NMHH</w:t>
      </w:r>
      <w:r w:rsidR="00955F75">
        <w:t xml:space="preserve">, mint felelős rádióspektrum-gazdálkodó egy-egy frekvenciasáv egészére és a frekvenciasáv(ok)ban fennálló valamennyi rádióspektrum-használati jogosultságra tekintettel hoz </w:t>
      </w:r>
      <w:r>
        <w:t xml:space="preserve">majd </w:t>
      </w:r>
      <w:r w:rsidR="00955F75">
        <w:t xml:space="preserve">döntést a megújítás esetén. </w:t>
      </w:r>
    </w:p>
    <w:p w14:paraId="601561A5" w14:textId="68995790" w:rsidR="00104A8E" w:rsidRDefault="008F203D" w:rsidP="008F203D">
      <w:pPr>
        <w:pStyle w:val="Behzottbekezdsnmhh"/>
      </w:pPr>
      <w:r w:rsidRPr="008D21A2">
        <w:t xml:space="preserve">A 450 MHz-es frekvenciasáv esetében jelentős szerepet játszik a Kormány </w:t>
      </w:r>
      <w:r w:rsidR="00694D52">
        <w:t xml:space="preserve">szélessávú </w:t>
      </w:r>
      <w:r w:rsidR="00E21671" w:rsidRPr="00E21671">
        <w:t>közrendvédelmi és katasztrófavédelmi (</w:t>
      </w:r>
      <w:r w:rsidRPr="008D21A2">
        <w:t>PPDR</w:t>
      </w:r>
      <w:r w:rsidR="008409F3">
        <w:rPr>
          <w:rStyle w:val="Lbjegyzet-hivatkozs"/>
        </w:rPr>
        <w:footnoteReference w:id="2"/>
      </w:r>
      <w:r w:rsidR="00E21671">
        <w:t>) rendszer megvalósításával</w:t>
      </w:r>
      <w:r w:rsidRPr="008D21A2">
        <w:t xml:space="preserve"> kapcsolatos elképzelése is. A jelenlegi szabályozás alapján a hasonló hullámterjedési tulajdonságokkal rendelkező 410-430 MHz frekvenciasávon belül a 410</w:t>
      </w:r>
      <w:r w:rsidR="000965E6">
        <w:t>-</w:t>
      </w:r>
      <w:r w:rsidRPr="008D21A2">
        <w:t xml:space="preserve">415/420–425 MHz </w:t>
      </w:r>
      <w:r w:rsidR="004F4BD6" w:rsidRPr="008D21A2">
        <w:t xml:space="preserve">sávrész </w:t>
      </w:r>
      <w:r w:rsidRPr="008D21A2">
        <w:t>tervezett PPDR rendszerek számára.</w:t>
      </w:r>
      <w:r>
        <w:t xml:space="preserve"> </w:t>
      </w:r>
      <w:r w:rsidR="00B3360F">
        <w:t xml:space="preserve">Fontos szempont a harmonizáció szintje is. Megjegyezzük, hogy az európai szabályozás alapján a 450 MHz-es frekvenciasáv </w:t>
      </w:r>
      <w:r w:rsidR="00026EF4">
        <w:t xml:space="preserve">is </w:t>
      </w:r>
      <w:r w:rsidR="00B3360F">
        <w:t>PPDR céljára harmonizált frekvenciasáv</w:t>
      </w:r>
      <w:r w:rsidR="003213E2" w:rsidRPr="00B3360F">
        <w:t>.</w:t>
      </w:r>
    </w:p>
    <w:p w14:paraId="668CED3F" w14:textId="504D6B58" w:rsidR="00121D83" w:rsidRDefault="00121D83" w:rsidP="008F203D">
      <w:pPr>
        <w:pStyle w:val="Behzottbekezdsnmhh"/>
      </w:pPr>
      <w:r>
        <w:t>A</w:t>
      </w:r>
      <w:r w:rsidRPr="00121D83">
        <w:t xml:space="preserve"> </w:t>
      </w:r>
      <w:r>
        <w:t>450</w:t>
      </w:r>
      <w:r w:rsidRPr="00121D83">
        <w:t xml:space="preserve"> </w:t>
      </w:r>
      <w:r>
        <w:t>M</w:t>
      </w:r>
      <w:r w:rsidRPr="00121D83">
        <w:t xml:space="preserve">Hz-es frekvenciasáv lehetséges </w:t>
      </w:r>
      <w:r>
        <w:t xml:space="preserve">szélessávú </w:t>
      </w:r>
      <w:r w:rsidRPr="00121D83">
        <w:t>használatra, azaz vezetéknélküli szélessávú elektronikus hírközlési szolgáltatás nyújtására alkalmas rendszerek üzemeltetésére, az országos egész területére kiterjedő szolgáltatásnyújtásra alkalmaságra és a rendelkezésre álló rádióspektrum mennyiségére tekintettel az NMHH korlátozni kívánja a lehetséges jogosultak számát, és versenyeztetési eljárást tart indokoltnak, legalábbis a sáv jelentős részében.</w:t>
      </w:r>
    </w:p>
    <w:p w14:paraId="2F4FEC5B" w14:textId="77777777" w:rsidR="00104A8E" w:rsidRDefault="00104A8E" w:rsidP="00104A8E">
      <w:pPr>
        <w:pStyle w:val="Behzottbekezdsnmhh"/>
        <w:spacing w:after="0"/>
      </w:pPr>
    </w:p>
    <w:p w14:paraId="282B2ABD" w14:textId="77777777" w:rsidR="00104A8E" w:rsidRPr="00104A8E" w:rsidRDefault="00104A8E" w:rsidP="00104A8E">
      <w:pPr>
        <w:pStyle w:val="Behzottbekezdsnmhh"/>
        <w:spacing w:after="0"/>
        <w:sectPr w:rsidR="00104A8E" w:rsidRPr="00104A8E" w:rsidSect="00F52D89">
          <w:pgSz w:w="11906" w:h="16838"/>
          <w:pgMar w:top="1417" w:right="1417" w:bottom="1417" w:left="1417" w:header="1417" w:footer="709" w:gutter="0"/>
          <w:cols w:space="708"/>
          <w:docGrid w:linePitch="360"/>
        </w:sectPr>
      </w:pPr>
    </w:p>
    <w:p w14:paraId="1B1359AC" w14:textId="77777777" w:rsidR="002E22B6" w:rsidRDefault="002E22B6" w:rsidP="002E22B6">
      <w:pPr>
        <w:pStyle w:val="Cmsor1szmozottnmhh"/>
      </w:pPr>
      <w:bookmarkStart w:id="1" w:name="_Toc95815162"/>
      <w:r>
        <w:lastRenderedPageBreak/>
        <w:t>Bevezetés</w:t>
      </w:r>
      <w:bookmarkEnd w:id="1"/>
    </w:p>
    <w:p w14:paraId="5063DA20" w14:textId="65A166F5" w:rsidR="00935571" w:rsidRDefault="002E22B6" w:rsidP="002E22B6">
      <w:pPr>
        <w:pStyle w:val="Behzottbekezdsnmhh"/>
        <w:ind w:firstLine="432"/>
      </w:pPr>
      <w:r>
        <w:t xml:space="preserve">A szélessávú mobil rendszerek rohamos fejlődésének és elterjedésének köszönhetően a felhasználható </w:t>
      </w:r>
      <w:r w:rsidR="001B2A89">
        <w:t>rádió</w:t>
      </w:r>
      <w:r>
        <w:t>spektrum iránt</w:t>
      </w:r>
      <w:r w:rsidR="00A41C00">
        <w:t>i</w:t>
      </w:r>
      <w:r>
        <w:t xml:space="preserve"> igény folyamatosan növekszik. Ez az igény egyrészt szükségessé teszi az újabb és újabb frekvenciasávok mobil célra történő felhasználását, másrészt </w:t>
      </w:r>
      <w:r w:rsidR="00BA04D3">
        <w:t>a korábban már kiadott engedélyek figyelembevétele mellett szükségessé válik a</w:t>
      </w:r>
      <w:r w:rsidR="00A41C00">
        <w:t>z egyes frekvenciasávok/sávrészek</w:t>
      </w:r>
      <w:r w:rsidR="00BA04D3">
        <w:t xml:space="preserve"> </w:t>
      </w:r>
      <w:r w:rsidR="00A41C00">
        <w:t xml:space="preserve">hasznosításának, </w:t>
      </w:r>
      <w:r w:rsidR="00BA04D3">
        <w:t>szabályozásának újragondolása az új igények, valamint a nemzetközi szabályozási mechanizmusok és irányvonalak alapján.</w:t>
      </w:r>
    </w:p>
    <w:p w14:paraId="21B3D1C6" w14:textId="7BF7C128" w:rsidR="00960908" w:rsidRDefault="00960908" w:rsidP="002E22B6">
      <w:pPr>
        <w:pStyle w:val="Behzottbekezdsnmhh"/>
        <w:ind w:firstLine="432"/>
      </w:pPr>
      <w:r>
        <w:t xml:space="preserve">A </w:t>
      </w:r>
      <w:r w:rsidR="00DA148E">
        <w:t>klasszikus, analóg és digitális keskenysávú PMR</w:t>
      </w:r>
      <w:r w:rsidR="00DA148E">
        <w:rPr>
          <w:rStyle w:val="Lbjegyzet-hivatkozs"/>
        </w:rPr>
        <w:footnoteReference w:id="3"/>
      </w:r>
      <w:r>
        <w:t xml:space="preserve"> rendszerek, valamint a modern, mozgó és állandóhelyű hírközlési hálózatokkal megvalósítható vezetéknélküli szélessávú elektronikus hírközlési szolgáltatások (MFCN</w:t>
      </w:r>
      <w:r w:rsidR="00A41C00">
        <w:rPr>
          <w:rStyle w:val="Lbjegyzet-hivatkozs"/>
          <w:color w:val="000000"/>
          <w:shd w:val="clear" w:color="auto" w:fill="FFFFFF"/>
        </w:rPr>
        <w:footnoteReference w:id="4"/>
      </w:r>
      <w:r>
        <w:t>) együttélés</w:t>
      </w:r>
      <w:r w:rsidR="00A73E77">
        <w:t>e</w:t>
      </w:r>
      <w:r>
        <w:t>, e rendszerek zavarmentes üzeme</w:t>
      </w:r>
      <w:r w:rsidR="00A41C00">
        <w:t>lé</w:t>
      </w:r>
      <w:r>
        <w:t xml:space="preserve">se, valamint a szélessávú szolgáltatások kapacitásának biztosítása együttesen megoldandó problémák, melyek a frekvenciaigények növekedésével egyre gyakrabban állítják szakmai kihívások elé a felhasználókat és a </w:t>
      </w:r>
      <w:r w:rsidR="00874494">
        <w:t>rádió</w:t>
      </w:r>
      <w:r>
        <w:t>spektrum</w:t>
      </w:r>
      <w:r w:rsidR="00874494">
        <w:t>-</w:t>
      </w:r>
      <w:r>
        <w:t>gazdálkodással foglalkozó szervezeteket egyaránt.</w:t>
      </w:r>
    </w:p>
    <w:p w14:paraId="0A834BBC" w14:textId="10374BCE" w:rsidR="00960908" w:rsidRDefault="00960908" w:rsidP="002E22B6">
      <w:pPr>
        <w:pStyle w:val="Behzottbekezdsnmhh"/>
        <w:ind w:firstLine="432"/>
      </w:pPr>
      <w:r>
        <w:t>A 450</w:t>
      </w:r>
      <w:r w:rsidR="000965E6">
        <w:t xml:space="preserve"> </w:t>
      </w:r>
      <w:r>
        <w:t>MH</w:t>
      </w:r>
      <w:r w:rsidR="00CB62E9">
        <w:t>z</w:t>
      </w:r>
      <w:r w:rsidR="000965E6">
        <w:t>-es</w:t>
      </w:r>
      <w:r w:rsidR="00DA148E">
        <w:t xml:space="preserve"> </w:t>
      </w:r>
      <w:r w:rsidR="003600B4">
        <w:t>frekvencia</w:t>
      </w:r>
      <w:r w:rsidR="00DA148E">
        <w:t>sáv</w:t>
      </w:r>
      <w:r w:rsidR="003600B4">
        <w:t xml:space="preserve"> </w:t>
      </w:r>
      <w:r w:rsidR="00DA148E">
        <w:t xml:space="preserve">különös jelentőséggel bír, hiszen a sávra jellemző hullámterjedési tulajdonságok lehetővé teszik nagy kiterjedésű földrajzi területek költséghatékony lefedését, így </w:t>
      </w:r>
      <w:r w:rsidR="00413E07">
        <w:t>kifejezetten előnyös az</w:t>
      </w:r>
      <w:r w:rsidR="00DA148E">
        <w:t xml:space="preserve"> orsz</w:t>
      </w:r>
      <w:r w:rsidR="00CB62E9">
        <w:t>ágos lefedettség</w:t>
      </w:r>
      <w:r w:rsidR="00413E07">
        <w:t xml:space="preserve">ű rendszerek </w:t>
      </w:r>
      <w:r w:rsidR="003600B4">
        <w:t>kiépítésére</w:t>
      </w:r>
      <w:r w:rsidR="00CB62E9">
        <w:t>.</w:t>
      </w:r>
    </w:p>
    <w:p w14:paraId="105AAB51" w14:textId="20756223" w:rsidR="003600B4" w:rsidRDefault="003600B4" w:rsidP="002E22B6">
      <w:pPr>
        <w:pStyle w:val="Behzottbekezdsnmhh"/>
        <w:ind w:firstLine="432"/>
      </w:pPr>
      <w:r w:rsidRPr="003600B4">
        <w:t>Európa többi országában a sávot jellemzően CDMA</w:t>
      </w:r>
      <w:r>
        <w:rPr>
          <w:rStyle w:val="Lbjegyzet-hivatkozs"/>
        </w:rPr>
        <w:footnoteReference w:id="5"/>
      </w:r>
      <w:r w:rsidRPr="003600B4">
        <w:t xml:space="preserve"> célra használják, de több országban kritikus infrastruktúra frekvenciaigényeinek kielégítésére, valamint szélessávú közrendvédelmi és katasztrófavédelmi (BB</w:t>
      </w:r>
      <w:r w:rsidR="00F5251E">
        <w:t>-</w:t>
      </w:r>
      <w:r w:rsidRPr="003600B4">
        <w:t xml:space="preserve">PPDR) célra használják vagy tervezik a </w:t>
      </w:r>
      <w:r w:rsidR="0058480D">
        <w:t>frekvencia</w:t>
      </w:r>
      <w:r w:rsidRPr="003600B4">
        <w:t>sávot.</w:t>
      </w:r>
      <w:r w:rsidR="00A33122" w:rsidRPr="00A33122">
        <w:t xml:space="preserve"> </w:t>
      </w:r>
      <w:r w:rsidR="00A33122">
        <w:t xml:space="preserve">Az európai szintű harmonizációt a </w:t>
      </w:r>
      <w:r w:rsidR="00A33122" w:rsidRPr="00A33122">
        <w:t xml:space="preserve">Postai és Távközlési Igazgatások Európai Értekezlete </w:t>
      </w:r>
      <w:r w:rsidR="00A33122">
        <w:t xml:space="preserve">(CEPT) biztosítja, azonban </w:t>
      </w:r>
      <w:r w:rsidR="00874494">
        <w:t>u</w:t>
      </w:r>
      <w:r w:rsidR="00A33122" w:rsidRPr="00A33122">
        <w:t xml:space="preserve">niós szintű harmonizált </w:t>
      </w:r>
      <w:r w:rsidR="00C618D9">
        <w:t xml:space="preserve">műszaki </w:t>
      </w:r>
      <w:r w:rsidR="00A33122" w:rsidRPr="00A33122">
        <w:t>szabály</w:t>
      </w:r>
      <w:r w:rsidR="00C618D9">
        <w:t>ok</w:t>
      </w:r>
      <w:r w:rsidR="00A33122" w:rsidRPr="00A33122">
        <w:t xml:space="preserve"> a 450 MHz</w:t>
      </w:r>
      <w:r w:rsidR="00A33122">
        <w:t>-es</w:t>
      </w:r>
      <w:r w:rsidR="00A33122" w:rsidRPr="00A33122">
        <w:t xml:space="preserve"> frekvenciasávra jelenleg nincsen</w:t>
      </w:r>
      <w:r w:rsidR="00C618D9">
        <w:t>ek</w:t>
      </w:r>
      <w:r w:rsidR="00A33122" w:rsidRPr="00A33122">
        <w:t>.</w:t>
      </w:r>
      <w:r w:rsidR="00C618D9">
        <w:t xml:space="preserve"> A műszaki harmonizációs szabályok hiánya összefüggésben van a lehetséges PPDR használati céllal.</w:t>
      </w:r>
    </w:p>
    <w:p w14:paraId="69FD249D" w14:textId="77777777" w:rsidR="008F203D" w:rsidRDefault="008F203D" w:rsidP="002E22B6">
      <w:pPr>
        <w:pStyle w:val="Behzottbekezdsnmhh"/>
        <w:ind w:firstLine="432"/>
      </w:pPr>
    </w:p>
    <w:p w14:paraId="2F729984" w14:textId="77777777" w:rsidR="00CB62E9" w:rsidRDefault="00124A0B" w:rsidP="00CB62E9">
      <w:pPr>
        <w:pStyle w:val="Cmsor1szmozottnmhh"/>
      </w:pPr>
      <w:bookmarkStart w:id="2" w:name="_Toc95815163"/>
      <w:r>
        <w:t>A 450 MHz-es frekvenciasáv szabályozása</w:t>
      </w:r>
      <w:bookmarkEnd w:id="2"/>
    </w:p>
    <w:p w14:paraId="5A7827CE" w14:textId="77777777" w:rsidR="00B4777F" w:rsidRPr="008F203D" w:rsidRDefault="00B4777F" w:rsidP="00B4777F">
      <w:pPr>
        <w:pStyle w:val="Cmsor2szmozottnmhh"/>
      </w:pPr>
      <w:bookmarkStart w:id="3" w:name="_Toc95815164"/>
      <w:r w:rsidRPr="008F203D">
        <w:t>Nemzetközi szabályozás</w:t>
      </w:r>
      <w:bookmarkEnd w:id="3"/>
    </w:p>
    <w:p w14:paraId="4E9BF548" w14:textId="77777777" w:rsidR="00B4777F" w:rsidRPr="008F203D" w:rsidRDefault="00941E99" w:rsidP="00941E99">
      <w:pPr>
        <w:pStyle w:val="Cmsor3szmozottnmhh"/>
      </w:pPr>
      <w:bookmarkStart w:id="4" w:name="_Toc95815165"/>
      <w:r w:rsidRPr="008F203D">
        <w:t>ITU</w:t>
      </w:r>
      <w:bookmarkEnd w:id="4"/>
    </w:p>
    <w:p w14:paraId="501DB721" w14:textId="10CDE18B" w:rsidR="001F1A0D" w:rsidRPr="008843A1" w:rsidRDefault="00F127F7" w:rsidP="001F1A0D">
      <w:pPr>
        <w:pStyle w:val="Behzottbekezdsnmhh"/>
      </w:pPr>
      <w:r w:rsidRPr="008F203D">
        <w:t>A nemzeti frekvenciafelosztásról, valamint a frekvenciasávok felhasználási szabályairól szóló 7/2015. (XI. 13.) NMHH rendelet (a továbbiakban: NFFF) 1. melléklete tartalmazza a Nemzetközi Rádiószabályzat szerinti nemzetközi felosztást. A jelenleg hatályos Nemzetközi Rádiószabályzat szerint a</w:t>
      </w:r>
      <w:r w:rsidR="00DA6555" w:rsidRPr="008F203D">
        <w:t>z ITU</w:t>
      </w:r>
      <w:r w:rsidR="002E159D" w:rsidRPr="008F203D">
        <w:rPr>
          <w:rStyle w:val="Lbjegyzet-hivatkozs"/>
        </w:rPr>
        <w:footnoteReference w:id="6"/>
      </w:r>
      <w:r w:rsidR="00DA6555" w:rsidRPr="008F203D">
        <w:t xml:space="preserve"> 1. </w:t>
      </w:r>
      <w:r w:rsidR="00874494">
        <w:t>K</w:t>
      </w:r>
      <w:r w:rsidR="00DA6555" w:rsidRPr="008F203D">
        <w:t>örzetében a</w:t>
      </w:r>
      <w:r w:rsidRPr="008F203D">
        <w:t xml:space="preserve"> 450-470 MHz frekvenciasáv</w:t>
      </w:r>
      <w:r w:rsidR="00A774C4" w:rsidRPr="008F203D">
        <w:t xml:space="preserve"> a mozgószolgálat részére felosztott</w:t>
      </w:r>
      <w:r w:rsidR="00DA6555" w:rsidRPr="008F203D">
        <w:t xml:space="preserve">, </w:t>
      </w:r>
      <w:r w:rsidR="005A29E7">
        <w:t>ezen</w:t>
      </w:r>
      <w:r w:rsidR="005A29E7" w:rsidRPr="008F203D">
        <w:t xml:space="preserve"> </w:t>
      </w:r>
      <w:r w:rsidR="00DA6555" w:rsidRPr="008F203D">
        <w:t>belül az 5.286AA lábjegyzet a szélessávú mobil alkalmazásokat is lehetővé tevő nemzetközi mozgó távközlés (IMT</w:t>
      </w:r>
      <w:r w:rsidR="00DA6555" w:rsidRPr="008F203D">
        <w:rPr>
          <w:rStyle w:val="Lbjegyzet-hivatkozs"/>
        </w:rPr>
        <w:footnoteReference w:id="7"/>
      </w:r>
      <w:r w:rsidR="00DA6555" w:rsidRPr="008F203D">
        <w:t xml:space="preserve">) számára </w:t>
      </w:r>
      <w:r w:rsidR="006C5987">
        <w:t>irányozza elő</w:t>
      </w:r>
      <w:r w:rsidR="001F1A0D" w:rsidRPr="008F203D">
        <w:t>, nem kizárólagos jelleggel:</w:t>
      </w:r>
    </w:p>
    <w:tbl>
      <w:tblPr>
        <w:tblStyle w:val="Rcsostblzat2"/>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0"/>
        <w:gridCol w:w="8047"/>
      </w:tblGrid>
      <w:tr w:rsidR="001F1A0D" w:rsidRPr="001F1A0D" w14:paraId="1FF97DA7" w14:textId="77777777" w:rsidTr="001F1A0D">
        <w:trPr>
          <w:cantSplit/>
        </w:trPr>
        <w:tc>
          <w:tcPr>
            <w:tcW w:w="1134" w:type="dxa"/>
          </w:tcPr>
          <w:p w14:paraId="1F073D04" w14:textId="77777777" w:rsidR="001F1A0D" w:rsidRPr="001F1A0D" w:rsidRDefault="001F1A0D" w:rsidP="00104A8E">
            <w:pPr>
              <w:widowControl w:val="0"/>
              <w:spacing w:after="60"/>
              <w:rPr>
                <w:b/>
                <w:i/>
                <w:color w:val="000000" w:themeColor="text1"/>
                <w:sz w:val="20"/>
                <w:szCs w:val="20"/>
              </w:rPr>
            </w:pPr>
            <w:r w:rsidRPr="001F1A0D">
              <w:rPr>
                <w:rFonts w:asciiTheme="minorHAnsi" w:eastAsiaTheme="minorHAnsi" w:hAnsiTheme="minorHAnsi" w:cstheme="minorHAnsi"/>
                <w:b/>
                <w:i/>
                <w:color w:val="43525A"/>
                <w:sz w:val="20"/>
                <w:szCs w:val="20"/>
              </w:rPr>
              <w:lastRenderedPageBreak/>
              <w:t>5.286AA</w:t>
            </w:r>
          </w:p>
        </w:tc>
        <w:tc>
          <w:tcPr>
            <w:tcW w:w="7359" w:type="dxa"/>
          </w:tcPr>
          <w:p w14:paraId="73BC75A0" w14:textId="34CD89EE" w:rsidR="001F1A0D" w:rsidRPr="001F1A0D" w:rsidRDefault="001F1A0D" w:rsidP="0058365A">
            <w:pPr>
              <w:keepLines/>
              <w:tabs>
                <w:tab w:val="left" w:pos="2065"/>
              </w:tabs>
              <w:spacing w:after="60"/>
              <w:rPr>
                <w:i/>
                <w:color w:val="000000" w:themeColor="text1"/>
                <w:sz w:val="20"/>
              </w:rPr>
            </w:pPr>
            <w:r w:rsidRPr="001F1A0D">
              <w:rPr>
                <w:rFonts w:asciiTheme="minorHAnsi" w:eastAsiaTheme="minorHAnsi" w:hAnsiTheme="minorHAnsi" w:cstheme="minorHAnsi"/>
                <w:i/>
                <w:color w:val="43525A"/>
                <w:sz w:val="20"/>
                <w:szCs w:val="20"/>
              </w:rPr>
              <w:t>A 450</w:t>
            </w:r>
            <w:r w:rsidRPr="001F1A0D">
              <w:rPr>
                <w:rFonts w:asciiTheme="minorHAnsi" w:eastAsiaTheme="minorHAnsi" w:hAnsiTheme="minorHAnsi" w:cstheme="minorHAnsi"/>
                <w:i/>
                <w:color w:val="43525A"/>
                <w:sz w:val="20"/>
                <w:szCs w:val="20"/>
              </w:rPr>
              <w:sym w:font="Symbol" w:char="F02D"/>
            </w:r>
            <w:r w:rsidRPr="001F1A0D">
              <w:rPr>
                <w:rFonts w:asciiTheme="minorHAnsi" w:eastAsiaTheme="minorHAnsi" w:hAnsiTheme="minorHAnsi" w:cstheme="minorHAnsi"/>
                <w:i/>
                <w:color w:val="43525A"/>
                <w:sz w:val="20"/>
                <w:szCs w:val="20"/>
              </w:rPr>
              <w:t>470 MHz frekvenciasáv azon igazgatások általi használatra van előirányozva, amelyek a nemzetközi mozgó távközlést (IMT) kívánják megvalósítani</w:t>
            </w:r>
            <w:r w:rsidR="0004166A">
              <w:rPr>
                <w:rFonts w:asciiTheme="minorHAnsi" w:eastAsiaTheme="minorHAnsi" w:hAnsiTheme="minorHAnsi" w:cstheme="minorHAnsi"/>
                <w:i/>
                <w:color w:val="43525A"/>
                <w:sz w:val="20"/>
                <w:szCs w:val="20"/>
              </w:rPr>
              <w:t>,</w:t>
            </w:r>
            <w:r w:rsidRPr="001F1A0D">
              <w:rPr>
                <w:rFonts w:asciiTheme="minorHAnsi" w:eastAsiaTheme="minorHAnsi" w:hAnsiTheme="minorHAnsi" w:cstheme="minorHAnsi"/>
                <w:i/>
                <w:color w:val="43525A"/>
                <w:sz w:val="20"/>
                <w:szCs w:val="20"/>
              </w:rPr>
              <w:t xml:space="preserve"> </w:t>
            </w:r>
            <w:r w:rsidR="0004166A">
              <w:rPr>
                <w:rFonts w:asciiTheme="minorHAnsi" w:eastAsiaTheme="minorHAnsi" w:hAnsiTheme="minorHAnsi" w:cstheme="minorHAnsi"/>
                <w:i/>
                <w:color w:val="43525A"/>
                <w:sz w:val="20"/>
                <w:szCs w:val="20"/>
              </w:rPr>
              <w:t>– l</w:t>
            </w:r>
            <w:r w:rsidRPr="001F1A0D">
              <w:rPr>
                <w:rFonts w:asciiTheme="minorHAnsi" w:eastAsiaTheme="minorHAnsi" w:hAnsiTheme="minorHAnsi" w:cstheme="minorHAnsi"/>
                <w:i/>
                <w:color w:val="43525A"/>
                <w:sz w:val="20"/>
                <w:szCs w:val="20"/>
              </w:rPr>
              <w:t>ásd a 224. (Rev.WRC</w:t>
            </w:r>
            <w:r w:rsidRPr="001F1A0D">
              <w:rPr>
                <w:rFonts w:asciiTheme="minorHAnsi" w:eastAsiaTheme="minorHAnsi" w:hAnsiTheme="minorHAnsi" w:cstheme="minorHAnsi"/>
                <w:i/>
                <w:color w:val="43525A"/>
                <w:sz w:val="20"/>
                <w:szCs w:val="20"/>
              </w:rPr>
              <w:noBreakHyphen/>
            </w:r>
            <w:r w:rsidR="006C5987">
              <w:rPr>
                <w:rFonts w:asciiTheme="minorHAnsi" w:eastAsiaTheme="minorHAnsi" w:hAnsiTheme="minorHAnsi" w:cstheme="minorHAnsi"/>
                <w:i/>
                <w:color w:val="43525A"/>
                <w:sz w:val="20"/>
                <w:szCs w:val="20"/>
              </w:rPr>
              <w:t>1</w:t>
            </w:r>
            <w:r w:rsidR="0058365A">
              <w:rPr>
                <w:rFonts w:asciiTheme="minorHAnsi" w:eastAsiaTheme="minorHAnsi" w:hAnsiTheme="minorHAnsi" w:cstheme="minorHAnsi"/>
                <w:i/>
                <w:color w:val="43525A"/>
                <w:sz w:val="20"/>
                <w:szCs w:val="20"/>
              </w:rPr>
              <w:t>5</w:t>
            </w:r>
            <w:r w:rsidRPr="001F1A0D">
              <w:rPr>
                <w:rFonts w:asciiTheme="minorHAnsi" w:eastAsiaTheme="minorHAnsi" w:hAnsiTheme="minorHAnsi" w:cstheme="minorHAnsi"/>
                <w:i/>
                <w:color w:val="43525A"/>
                <w:sz w:val="20"/>
                <w:szCs w:val="20"/>
              </w:rPr>
              <w:t>) Határozatot. Ez az előirányzás nem zárja ki, hogy ezen frekvenciasávot azon szolgálatok bármely alkalmazása használja, amelyek számára ezt felosztották, továbbá a Rádiószabályzatban sem állapít meg elsőbbséget. (WRC</w:t>
            </w:r>
            <w:r w:rsidRPr="001F1A0D">
              <w:rPr>
                <w:rFonts w:asciiTheme="minorHAnsi" w:eastAsiaTheme="minorHAnsi" w:hAnsiTheme="minorHAnsi" w:cstheme="minorHAnsi"/>
                <w:i/>
                <w:color w:val="43525A"/>
                <w:sz w:val="20"/>
                <w:szCs w:val="20"/>
              </w:rPr>
              <w:noBreakHyphen/>
            </w:r>
            <w:r w:rsidR="006C5987">
              <w:rPr>
                <w:rFonts w:asciiTheme="minorHAnsi" w:eastAsiaTheme="minorHAnsi" w:hAnsiTheme="minorHAnsi" w:cstheme="minorHAnsi"/>
                <w:i/>
                <w:color w:val="43525A"/>
                <w:sz w:val="20"/>
                <w:szCs w:val="20"/>
              </w:rPr>
              <w:t>1</w:t>
            </w:r>
            <w:r w:rsidR="0058365A">
              <w:rPr>
                <w:rFonts w:asciiTheme="minorHAnsi" w:eastAsiaTheme="minorHAnsi" w:hAnsiTheme="minorHAnsi" w:cstheme="minorHAnsi"/>
                <w:i/>
                <w:color w:val="43525A"/>
                <w:sz w:val="20"/>
                <w:szCs w:val="20"/>
              </w:rPr>
              <w:t>5</w:t>
            </w:r>
            <w:r w:rsidRPr="001F1A0D">
              <w:rPr>
                <w:rFonts w:asciiTheme="minorHAnsi" w:eastAsiaTheme="minorHAnsi" w:hAnsiTheme="minorHAnsi" w:cstheme="minorHAnsi"/>
                <w:i/>
                <w:color w:val="43525A"/>
                <w:sz w:val="20"/>
                <w:szCs w:val="20"/>
              </w:rPr>
              <w:t>)</w:t>
            </w:r>
          </w:p>
        </w:tc>
      </w:tr>
    </w:tbl>
    <w:p w14:paraId="41563354" w14:textId="318DDF86" w:rsidR="001F1A0D" w:rsidRDefault="006211F6" w:rsidP="00FC7EE8">
      <w:pPr>
        <w:pStyle w:val="Behzottbekezdsnmhh"/>
      </w:pPr>
      <w:r w:rsidRPr="00962742">
        <w:t xml:space="preserve">Az IMT-re </w:t>
      </w:r>
      <w:r w:rsidR="006C5987">
        <w:t>előirányzott</w:t>
      </w:r>
      <w:r w:rsidR="006C5987" w:rsidRPr="00962742">
        <w:t xml:space="preserve"> </w:t>
      </w:r>
      <w:r w:rsidR="00962742">
        <w:t>frekvenciasávokat és csatornael</w:t>
      </w:r>
      <w:r w:rsidR="00B838FE">
        <w:t>rendezéseket az ITU-R M.1036-6</w:t>
      </w:r>
      <w:r w:rsidR="00FC7EE8">
        <w:rPr>
          <w:rStyle w:val="Lbjegyzet-hivatkozs"/>
          <w:color w:val="auto"/>
        </w:rPr>
        <w:footnoteReference w:id="8"/>
      </w:r>
      <w:r w:rsidR="00B838FE">
        <w:t xml:space="preserve"> </w:t>
      </w:r>
      <w:r w:rsidR="0004166A">
        <w:t>A</w:t>
      </w:r>
      <w:r w:rsidR="00962742">
        <w:t xml:space="preserve">jánlás tartalmazza.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789"/>
        <w:gridCol w:w="1515"/>
        <w:gridCol w:w="1379"/>
        <w:gridCol w:w="1515"/>
        <w:gridCol w:w="1652"/>
      </w:tblGrid>
      <w:tr w:rsidR="00962742" w:rsidRPr="001F7268" w14:paraId="7A581E0C" w14:textId="77777777" w:rsidTr="00104A8E">
        <w:trPr>
          <w:jc w:val="center"/>
        </w:trPr>
        <w:tc>
          <w:tcPr>
            <w:tcW w:w="1504" w:type="dxa"/>
            <w:vMerge w:val="restart"/>
            <w:vAlign w:val="center"/>
          </w:tcPr>
          <w:p w14:paraId="376CCE4F" w14:textId="77777777" w:rsidR="00962742" w:rsidRPr="00A138B7" w:rsidRDefault="00962742" w:rsidP="00104A8E">
            <w:pPr>
              <w:pStyle w:val="Tablehead"/>
              <w:rPr>
                <w:rFonts w:asciiTheme="majorHAnsi" w:hAnsiTheme="majorHAnsi" w:cstheme="majorHAnsi"/>
                <w:sz w:val="16"/>
                <w:szCs w:val="16"/>
                <w:lang w:val="hu-HU"/>
              </w:rPr>
            </w:pPr>
            <w:r w:rsidRPr="00A138B7">
              <w:rPr>
                <w:rFonts w:asciiTheme="majorHAnsi" w:hAnsiTheme="majorHAnsi" w:cstheme="majorHAnsi"/>
                <w:sz w:val="16"/>
                <w:szCs w:val="16"/>
                <w:lang w:val="hu-HU"/>
              </w:rPr>
              <w:t>Frekvencia-elrendezés</w:t>
            </w:r>
          </w:p>
        </w:tc>
        <w:tc>
          <w:tcPr>
            <w:tcW w:w="6198" w:type="dxa"/>
            <w:gridSpan w:val="4"/>
            <w:vAlign w:val="center"/>
          </w:tcPr>
          <w:p w14:paraId="64337F1E" w14:textId="24A04D56" w:rsidR="00962742" w:rsidRPr="00A138B7" w:rsidRDefault="00962742" w:rsidP="00104A8E">
            <w:pPr>
              <w:pStyle w:val="Tablehead"/>
              <w:rPr>
                <w:rFonts w:asciiTheme="majorHAnsi" w:hAnsiTheme="majorHAnsi" w:cstheme="majorHAnsi"/>
                <w:bCs/>
                <w:sz w:val="16"/>
                <w:szCs w:val="16"/>
                <w:lang w:val="hu-HU"/>
              </w:rPr>
            </w:pPr>
            <w:r w:rsidRPr="00A138B7">
              <w:rPr>
                <w:rFonts w:asciiTheme="majorHAnsi" w:hAnsiTheme="majorHAnsi" w:cstheme="majorHAnsi"/>
                <w:bCs/>
                <w:sz w:val="16"/>
                <w:szCs w:val="16"/>
                <w:lang w:val="hu-HU"/>
              </w:rPr>
              <w:t>Párosított elrendezés</w:t>
            </w:r>
            <w:r w:rsidR="007E2FEB">
              <w:rPr>
                <w:rFonts w:asciiTheme="majorHAnsi" w:hAnsiTheme="majorHAnsi" w:cstheme="majorHAnsi"/>
                <w:bCs/>
                <w:sz w:val="16"/>
                <w:szCs w:val="16"/>
                <w:lang w:val="hu-HU"/>
              </w:rPr>
              <w:t xml:space="preserve"> (FDD)</w:t>
            </w:r>
          </w:p>
        </w:tc>
        <w:tc>
          <w:tcPr>
            <w:tcW w:w="1652" w:type="dxa"/>
            <w:vMerge w:val="restart"/>
            <w:vAlign w:val="center"/>
          </w:tcPr>
          <w:p w14:paraId="26A09A9C" w14:textId="59B52C1E" w:rsidR="00962742" w:rsidRPr="00A138B7" w:rsidRDefault="00962742" w:rsidP="007E2FEB">
            <w:pPr>
              <w:pStyle w:val="Tablehead"/>
              <w:rPr>
                <w:rFonts w:asciiTheme="majorHAnsi" w:hAnsiTheme="majorHAnsi" w:cstheme="majorHAnsi"/>
                <w:sz w:val="16"/>
                <w:szCs w:val="16"/>
                <w:lang w:val="hu-HU"/>
              </w:rPr>
            </w:pPr>
            <w:r w:rsidRPr="00A138B7">
              <w:rPr>
                <w:rFonts w:asciiTheme="majorHAnsi" w:hAnsiTheme="majorHAnsi" w:cstheme="majorHAnsi"/>
                <w:sz w:val="16"/>
                <w:szCs w:val="16"/>
                <w:lang w:val="hu-HU"/>
              </w:rPr>
              <w:t>Párosítatlan elrendezés</w:t>
            </w:r>
            <w:r w:rsidRPr="00A138B7">
              <w:rPr>
                <w:rFonts w:asciiTheme="majorHAnsi" w:hAnsiTheme="majorHAnsi" w:cstheme="majorHAnsi"/>
                <w:sz w:val="16"/>
                <w:szCs w:val="16"/>
                <w:lang w:val="hu-HU"/>
              </w:rPr>
              <w:br/>
              <w:t>(TDD)</w:t>
            </w:r>
            <w:r w:rsidRPr="00A138B7">
              <w:rPr>
                <w:rFonts w:asciiTheme="majorHAnsi" w:hAnsiTheme="majorHAnsi" w:cstheme="majorHAnsi"/>
                <w:sz w:val="16"/>
                <w:szCs w:val="16"/>
                <w:lang w:val="hu-HU"/>
              </w:rPr>
              <w:br/>
              <w:t>(MHz)</w:t>
            </w:r>
          </w:p>
        </w:tc>
      </w:tr>
      <w:tr w:rsidR="00962742" w:rsidRPr="001F7268" w14:paraId="75438FCA" w14:textId="77777777" w:rsidTr="00104A8E">
        <w:trPr>
          <w:jc w:val="center"/>
        </w:trPr>
        <w:tc>
          <w:tcPr>
            <w:tcW w:w="1504" w:type="dxa"/>
            <w:vMerge/>
            <w:vAlign w:val="center"/>
          </w:tcPr>
          <w:p w14:paraId="2185A839" w14:textId="77777777" w:rsidR="00962742" w:rsidRPr="00D11323" w:rsidRDefault="00962742" w:rsidP="00104A8E">
            <w:pPr>
              <w:pStyle w:val="Tablehead"/>
              <w:rPr>
                <w:rFonts w:asciiTheme="majorHAnsi" w:hAnsiTheme="majorHAnsi" w:cstheme="majorHAnsi"/>
                <w:sz w:val="16"/>
                <w:szCs w:val="16"/>
                <w:lang w:val="hu-HU"/>
              </w:rPr>
            </w:pPr>
          </w:p>
        </w:tc>
        <w:tc>
          <w:tcPr>
            <w:tcW w:w="1789" w:type="dxa"/>
            <w:vAlign w:val="center"/>
          </w:tcPr>
          <w:p w14:paraId="1F9361E9" w14:textId="77777777" w:rsidR="00962742" w:rsidRPr="00D11323" w:rsidRDefault="00962742" w:rsidP="00104A8E">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 xml:space="preserve">Mozgó állomás </w:t>
            </w:r>
            <w:r w:rsidRPr="00D11323">
              <w:rPr>
                <w:rFonts w:asciiTheme="majorHAnsi" w:hAnsiTheme="majorHAnsi" w:cstheme="majorHAnsi"/>
                <w:sz w:val="16"/>
                <w:szCs w:val="16"/>
                <w:lang w:val="hu-HU"/>
              </w:rPr>
              <w:br/>
              <w:t>adó</w:t>
            </w:r>
            <w:r w:rsidRPr="00D11323">
              <w:rPr>
                <w:rFonts w:asciiTheme="majorHAnsi" w:hAnsiTheme="majorHAnsi" w:cstheme="majorHAnsi"/>
                <w:sz w:val="16"/>
                <w:szCs w:val="16"/>
                <w:lang w:val="hu-HU"/>
              </w:rPr>
              <w:br/>
              <w:t>(MHz)</w:t>
            </w:r>
          </w:p>
        </w:tc>
        <w:tc>
          <w:tcPr>
            <w:tcW w:w="1515" w:type="dxa"/>
            <w:vAlign w:val="center"/>
          </w:tcPr>
          <w:p w14:paraId="741FDAE5" w14:textId="77777777" w:rsidR="00962742" w:rsidRPr="00D11323" w:rsidRDefault="00962742" w:rsidP="00104A8E">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Duplex rés</w:t>
            </w:r>
            <w:r w:rsidRPr="00D11323">
              <w:rPr>
                <w:rFonts w:asciiTheme="majorHAnsi" w:hAnsiTheme="majorHAnsi" w:cstheme="majorHAnsi"/>
                <w:sz w:val="16"/>
                <w:szCs w:val="16"/>
                <w:lang w:val="hu-HU"/>
              </w:rPr>
              <w:br/>
              <w:t>(MHz)</w:t>
            </w:r>
          </w:p>
        </w:tc>
        <w:tc>
          <w:tcPr>
            <w:tcW w:w="1379" w:type="dxa"/>
            <w:vAlign w:val="center"/>
          </w:tcPr>
          <w:p w14:paraId="051D6653" w14:textId="77777777" w:rsidR="00962742" w:rsidRPr="00D11323" w:rsidRDefault="00962742" w:rsidP="00104A8E">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Bázisállomás adó</w:t>
            </w:r>
            <w:r w:rsidRPr="00D11323">
              <w:rPr>
                <w:rFonts w:asciiTheme="majorHAnsi" w:hAnsiTheme="majorHAnsi" w:cstheme="majorHAnsi"/>
                <w:sz w:val="16"/>
                <w:szCs w:val="16"/>
                <w:lang w:val="hu-HU"/>
              </w:rPr>
              <w:br/>
              <w:t>(MHz)</w:t>
            </w:r>
          </w:p>
        </w:tc>
        <w:tc>
          <w:tcPr>
            <w:tcW w:w="1515" w:type="dxa"/>
            <w:vAlign w:val="center"/>
          </w:tcPr>
          <w:p w14:paraId="53EB3D9E" w14:textId="77777777" w:rsidR="00962742" w:rsidRPr="00D11323" w:rsidRDefault="00962742" w:rsidP="00104A8E">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Duplex távolság</w:t>
            </w:r>
            <w:r w:rsidRPr="00D11323">
              <w:rPr>
                <w:rFonts w:asciiTheme="majorHAnsi" w:hAnsiTheme="majorHAnsi" w:cstheme="majorHAnsi"/>
                <w:sz w:val="16"/>
                <w:szCs w:val="16"/>
                <w:vertAlign w:val="superscript"/>
                <w:lang w:val="hu-HU"/>
              </w:rPr>
              <w:br/>
            </w:r>
            <w:r w:rsidRPr="00D11323">
              <w:rPr>
                <w:rFonts w:asciiTheme="majorHAnsi" w:hAnsiTheme="majorHAnsi" w:cstheme="majorHAnsi"/>
                <w:sz w:val="16"/>
                <w:szCs w:val="16"/>
                <w:lang w:val="hu-HU"/>
              </w:rPr>
              <w:t>(MHz)</w:t>
            </w:r>
          </w:p>
        </w:tc>
        <w:tc>
          <w:tcPr>
            <w:tcW w:w="1652" w:type="dxa"/>
            <w:vMerge/>
            <w:vAlign w:val="center"/>
          </w:tcPr>
          <w:p w14:paraId="02A7AA79" w14:textId="77777777" w:rsidR="00962742" w:rsidRPr="00D11323" w:rsidRDefault="00962742" w:rsidP="00104A8E">
            <w:pPr>
              <w:pStyle w:val="Tablehead"/>
              <w:rPr>
                <w:rFonts w:asciiTheme="majorHAnsi" w:hAnsiTheme="majorHAnsi" w:cstheme="majorHAnsi"/>
                <w:sz w:val="16"/>
                <w:szCs w:val="16"/>
                <w:lang w:val="hu-HU"/>
              </w:rPr>
            </w:pPr>
          </w:p>
        </w:tc>
      </w:tr>
      <w:tr w:rsidR="00962742" w:rsidRPr="001F7268" w14:paraId="0580738B" w14:textId="77777777" w:rsidTr="00104A8E">
        <w:trPr>
          <w:jc w:val="center"/>
        </w:trPr>
        <w:tc>
          <w:tcPr>
            <w:tcW w:w="1504" w:type="dxa"/>
          </w:tcPr>
          <w:p w14:paraId="3BF01C31"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D8</w:t>
            </w:r>
          </w:p>
        </w:tc>
        <w:tc>
          <w:tcPr>
            <w:tcW w:w="1789" w:type="dxa"/>
          </w:tcPr>
          <w:p w14:paraId="05764C43" w14:textId="77777777" w:rsidR="00962742" w:rsidRPr="00A138B7" w:rsidRDefault="00962742" w:rsidP="00104A8E">
            <w:pPr>
              <w:pStyle w:val="Tabletext"/>
              <w:jc w:val="center"/>
              <w:rPr>
                <w:rFonts w:asciiTheme="majorHAnsi" w:hAnsiTheme="majorHAnsi" w:cstheme="majorHAnsi"/>
                <w:sz w:val="16"/>
                <w:szCs w:val="16"/>
                <w:lang w:val="hu-HU"/>
              </w:rPr>
            </w:pPr>
          </w:p>
        </w:tc>
        <w:tc>
          <w:tcPr>
            <w:tcW w:w="1515" w:type="dxa"/>
          </w:tcPr>
          <w:p w14:paraId="26584C41" w14:textId="77777777" w:rsidR="00962742" w:rsidRPr="00A138B7" w:rsidRDefault="00962742" w:rsidP="00104A8E">
            <w:pPr>
              <w:pStyle w:val="Tabletext"/>
              <w:jc w:val="center"/>
              <w:rPr>
                <w:rFonts w:asciiTheme="majorHAnsi" w:hAnsiTheme="majorHAnsi" w:cstheme="majorHAnsi"/>
                <w:sz w:val="16"/>
                <w:szCs w:val="16"/>
                <w:lang w:val="hu-HU"/>
              </w:rPr>
            </w:pPr>
          </w:p>
        </w:tc>
        <w:tc>
          <w:tcPr>
            <w:tcW w:w="1379" w:type="dxa"/>
          </w:tcPr>
          <w:p w14:paraId="24723002" w14:textId="77777777" w:rsidR="00962742" w:rsidRPr="00A138B7" w:rsidRDefault="00962742" w:rsidP="00104A8E">
            <w:pPr>
              <w:pStyle w:val="Tabletext"/>
              <w:jc w:val="center"/>
              <w:rPr>
                <w:rFonts w:asciiTheme="majorHAnsi" w:hAnsiTheme="majorHAnsi" w:cstheme="majorHAnsi"/>
                <w:sz w:val="16"/>
                <w:szCs w:val="16"/>
                <w:lang w:val="hu-HU"/>
              </w:rPr>
            </w:pPr>
          </w:p>
        </w:tc>
        <w:tc>
          <w:tcPr>
            <w:tcW w:w="1515" w:type="dxa"/>
          </w:tcPr>
          <w:p w14:paraId="4BA880C3" w14:textId="77777777" w:rsidR="00962742" w:rsidRPr="00A138B7" w:rsidRDefault="00962742" w:rsidP="00104A8E">
            <w:pPr>
              <w:pStyle w:val="Tabletext"/>
              <w:jc w:val="center"/>
              <w:rPr>
                <w:rFonts w:asciiTheme="majorHAnsi" w:hAnsiTheme="majorHAnsi" w:cstheme="majorHAnsi"/>
                <w:sz w:val="16"/>
                <w:szCs w:val="16"/>
                <w:lang w:val="hu-HU"/>
              </w:rPr>
            </w:pPr>
          </w:p>
        </w:tc>
        <w:tc>
          <w:tcPr>
            <w:tcW w:w="1652" w:type="dxa"/>
          </w:tcPr>
          <w:p w14:paraId="1A608FFC"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450,0-470,0</w:t>
            </w:r>
          </w:p>
        </w:tc>
      </w:tr>
      <w:tr w:rsidR="00962742" w:rsidRPr="001F7268" w14:paraId="23F78322" w14:textId="77777777" w:rsidTr="00104A8E">
        <w:trPr>
          <w:jc w:val="center"/>
        </w:trPr>
        <w:tc>
          <w:tcPr>
            <w:tcW w:w="1504" w:type="dxa"/>
          </w:tcPr>
          <w:p w14:paraId="2BDD496E"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D12</w:t>
            </w:r>
          </w:p>
        </w:tc>
        <w:tc>
          <w:tcPr>
            <w:tcW w:w="1789" w:type="dxa"/>
          </w:tcPr>
          <w:p w14:paraId="6356C1B2"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450,0-455,0</w:t>
            </w:r>
          </w:p>
        </w:tc>
        <w:tc>
          <w:tcPr>
            <w:tcW w:w="1515" w:type="dxa"/>
          </w:tcPr>
          <w:p w14:paraId="1251C779"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5,0</w:t>
            </w:r>
          </w:p>
        </w:tc>
        <w:tc>
          <w:tcPr>
            <w:tcW w:w="1379" w:type="dxa"/>
          </w:tcPr>
          <w:p w14:paraId="665E1F75"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460,0-465,0</w:t>
            </w:r>
          </w:p>
        </w:tc>
        <w:tc>
          <w:tcPr>
            <w:tcW w:w="1515" w:type="dxa"/>
          </w:tcPr>
          <w:p w14:paraId="43E9B5AD" w14:textId="77777777" w:rsidR="00962742" w:rsidRPr="00A138B7"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10</w:t>
            </w:r>
          </w:p>
        </w:tc>
        <w:tc>
          <w:tcPr>
            <w:tcW w:w="1652" w:type="dxa"/>
          </w:tcPr>
          <w:p w14:paraId="77EB9672"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w:t>
            </w:r>
          </w:p>
        </w:tc>
      </w:tr>
      <w:tr w:rsidR="00962742" w:rsidRPr="001F7268" w14:paraId="4A6C104F" w14:textId="77777777" w:rsidTr="00104A8E">
        <w:trPr>
          <w:jc w:val="center"/>
        </w:trPr>
        <w:tc>
          <w:tcPr>
            <w:tcW w:w="1504" w:type="dxa"/>
          </w:tcPr>
          <w:p w14:paraId="696E8298"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D13</w:t>
            </w:r>
          </w:p>
        </w:tc>
        <w:tc>
          <w:tcPr>
            <w:tcW w:w="1789" w:type="dxa"/>
          </w:tcPr>
          <w:p w14:paraId="4F94F9DA"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451,0-456,0</w:t>
            </w:r>
          </w:p>
        </w:tc>
        <w:tc>
          <w:tcPr>
            <w:tcW w:w="1515" w:type="dxa"/>
          </w:tcPr>
          <w:p w14:paraId="21420AF8"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5,0</w:t>
            </w:r>
          </w:p>
        </w:tc>
        <w:tc>
          <w:tcPr>
            <w:tcW w:w="1379" w:type="dxa"/>
          </w:tcPr>
          <w:p w14:paraId="7DAB9FB6"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461,0-166,0</w:t>
            </w:r>
          </w:p>
        </w:tc>
        <w:tc>
          <w:tcPr>
            <w:tcW w:w="1515" w:type="dxa"/>
          </w:tcPr>
          <w:p w14:paraId="3C1AFE3B"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10</w:t>
            </w:r>
          </w:p>
        </w:tc>
        <w:tc>
          <w:tcPr>
            <w:tcW w:w="1652" w:type="dxa"/>
          </w:tcPr>
          <w:p w14:paraId="7297F3AC"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w:t>
            </w:r>
          </w:p>
        </w:tc>
      </w:tr>
      <w:tr w:rsidR="00962742" w:rsidRPr="001F7268" w14:paraId="0E54C177" w14:textId="77777777" w:rsidTr="00104A8E">
        <w:trPr>
          <w:jc w:val="center"/>
        </w:trPr>
        <w:tc>
          <w:tcPr>
            <w:tcW w:w="1504" w:type="dxa"/>
          </w:tcPr>
          <w:p w14:paraId="2EBA863C"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D14</w:t>
            </w:r>
          </w:p>
        </w:tc>
        <w:tc>
          <w:tcPr>
            <w:tcW w:w="1789" w:type="dxa"/>
          </w:tcPr>
          <w:p w14:paraId="44BC75FA"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452,5-457,5</w:t>
            </w:r>
          </w:p>
        </w:tc>
        <w:tc>
          <w:tcPr>
            <w:tcW w:w="1515" w:type="dxa"/>
          </w:tcPr>
          <w:p w14:paraId="0D06CAEB"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5,0</w:t>
            </w:r>
          </w:p>
        </w:tc>
        <w:tc>
          <w:tcPr>
            <w:tcW w:w="1379" w:type="dxa"/>
          </w:tcPr>
          <w:p w14:paraId="58A35DB4"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462,5-467,5</w:t>
            </w:r>
          </w:p>
        </w:tc>
        <w:tc>
          <w:tcPr>
            <w:tcW w:w="1515" w:type="dxa"/>
          </w:tcPr>
          <w:p w14:paraId="0E4EB569" w14:textId="77777777" w:rsidR="00962742" w:rsidRDefault="00962742" w:rsidP="00104A8E">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10</w:t>
            </w:r>
          </w:p>
        </w:tc>
        <w:tc>
          <w:tcPr>
            <w:tcW w:w="1652" w:type="dxa"/>
          </w:tcPr>
          <w:p w14:paraId="7C9229A6" w14:textId="77777777" w:rsidR="00962742" w:rsidRDefault="00962742" w:rsidP="00C106C7">
            <w:pPr>
              <w:pStyle w:val="Tabletext"/>
              <w:keepNext/>
              <w:jc w:val="center"/>
              <w:rPr>
                <w:rFonts w:asciiTheme="majorHAnsi" w:hAnsiTheme="majorHAnsi" w:cstheme="majorHAnsi"/>
                <w:sz w:val="16"/>
                <w:szCs w:val="16"/>
                <w:lang w:val="hu-HU"/>
              </w:rPr>
            </w:pPr>
            <w:r>
              <w:rPr>
                <w:rFonts w:asciiTheme="majorHAnsi" w:hAnsiTheme="majorHAnsi" w:cstheme="majorHAnsi"/>
                <w:sz w:val="16"/>
                <w:szCs w:val="16"/>
                <w:lang w:val="hu-HU"/>
              </w:rPr>
              <w:t>-</w:t>
            </w:r>
          </w:p>
        </w:tc>
      </w:tr>
    </w:tbl>
    <w:p w14:paraId="7131A785" w14:textId="626DBB2F" w:rsidR="005A29E7" w:rsidRPr="005A29E7" w:rsidRDefault="005A29E7" w:rsidP="005A29E7">
      <w:pPr>
        <w:pStyle w:val="Kpalrs"/>
        <w:rPr>
          <w:noProof/>
        </w:rPr>
      </w:pPr>
      <w:r w:rsidRPr="005A29E7">
        <w:rPr>
          <w:noProof/>
        </w:rPr>
        <w:fldChar w:fldCharType="begin"/>
      </w:r>
      <w:r w:rsidRPr="005A29E7">
        <w:rPr>
          <w:noProof/>
        </w:rPr>
        <w:instrText xml:space="preserve"> SEQ táblázat \* ARABIC </w:instrText>
      </w:r>
      <w:r w:rsidRPr="005A29E7">
        <w:rPr>
          <w:noProof/>
        </w:rPr>
        <w:fldChar w:fldCharType="separate"/>
      </w:r>
      <w:r w:rsidRPr="005A29E7">
        <w:rPr>
          <w:noProof/>
        </w:rPr>
        <w:t>1</w:t>
      </w:r>
      <w:r w:rsidRPr="005A29E7">
        <w:rPr>
          <w:noProof/>
        </w:rPr>
        <w:fldChar w:fldCharType="end"/>
      </w:r>
      <w:r w:rsidRPr="005A29E7">
        <w:rPr>
          <w:noProof/>
        </w:rPr>
        <w:t>. táblázat – Csatornaelrendezések (forrás: ITU-R M.1036-6 Ajánlás)</w:t>
      </w:r>
    </w:p>
    <w:p w14:paraId="4F5B23B8" w14:textId="132E459F" w:rsidR="00054C2D" w:rsidRDefault="00B838FE" w:rsidP="005A29E7">
      <w:pPr>
        <w:pStyle w:val="Behzottbekezdsnmhh"/>
        <w:spacing w:before="120"/>
      </w:pPr>
      <w:r>
        <w:t>A hivatkozott ITU</w:t>
      </w:r>
      <w:r w:rsidR="0004166A">
        <w:t>-R-</w:t>
      </w:r>
      <w:r>
        <w:t xml:space="preserve">ajánlás négy lehetséges csatornaelrendezést és felhasználási módot tartalmaz, ezek az 1. táblázatban láthatók. A D8-as elrendezés értelmében lehetőség van a sáv teljes szélességben történő, időosztásos </w:t>
      </w:r>
      <w:r w:rsidR="00437017">
        <w:t xml:space="preserve">duplexitáson </w:t>
      </w:r>
      <w:r>
        <w:t>(</w:t>
      </w:r>
      <w:r w:rsidR="0058480D" w:rsidRPr="0058480D">
        <w:t>Time Division Duplex</w:t>
      </w:r>
      <w:r w:rsidR="0058480D">
        <w:t xml:space="preserve">, </w:t>
      </w:r>
      <w:r>
        <w:t xml:space="preserve">TDD) alapuló felhasználására. A többi lehetséges </w:t>
      </w:r>
      <w:r w:rsidR="00D27FBC">
        <w:t xml:space="preserve">felhasználási mód (D12, D13 és D14) frekvenciaosztásos </w:t>
      </w:r>
      <w:r w:rsidR="00437017">
        <w:t xml:space="preserve">duplexitáson </w:t>
      </w:r>
      <w:r w:rsidR="00D27FBC">
        <w:t>(</w:t>
      </w:r>
      <w:r w:rsidR="0058480D" w:rsidRPr="0058480D">
        <w:t>Frequency Division Duplex</w:t>
      </w:r>
      <w:r w:rsidR="0058480D">
        <w:t xml:space="preserve">, </w:t>
      </w:r>
      <w:r w:rsidR="00D27FBC">
        <w:t>FDD) alapul, 5 MHz-es sávszélesség mellett, egymástól rendre 1 MHz és 1,5 MHz távolságra, 5 MHz-es duplex rés és 10 MHz-es duplex távolság mellett.</w:t>
      </w:r>
      <w:r w:rsidR="00BF0B04">
        <w:t xml:space="preserve"> A bázisállomások adója a 460-470 MHz, a mozgó állomások adója pedig a 450-460 MHz </w:t>
      </w:r>
      <w:r w:rsidR="00437017">
        <w:t>részsávban</w:t>
      </w:r>
      <w:r w:rsidR="00BF0B04">
        <w:t xml:space="preserve"> található.</w:t>
      </w:r>
    </w:p>
    <w:p w14:paraId="76762614" w14:textId="77777777" w:rsidR="00FC7EE8" w:rsidRDefault="005D7522" w:rsidP="00D27FBC">
      <w:pPr>
        <w:pStyle w:val="Behzottbekezdsnmhh"/>
      </w:pPr>
      <w:r>
        <w:t>A párosított elrendezések rendre megfelelnek a 3GPP Band 73, Band 72 és Band 31 jelölésű kiosztásának</w:t>
      </w:r>
      <w:r w:rsidR="00FC7EE8">
        <w:t>:</w:t>
      </w:r>
    </w:p>
    <w:p w14:paraId="2D9FBE1C" w14:textId="74A76BA5" w:rsidR="00FC7EE8" w:rsidRPr="00FC7EE8" w:rsidRDefault="00FC7EE8" w:rsidP="00FC7EE8">
      <w:pPr>
        <w:pStyle w:val="Lista1nmhh"/>
        <w:numPr>
          <w:ilvl w:val="0"/>
          <w:numId w:val="39"/>
        </w:numPr>
        <w:spacing w:after="120"/>
      </w:pPr>
      <w:r w:rsidRPr="00FC7EE8">
        <w:t>450 – 455 / 460 – 465 MHz (3GPP Band</w:t>
      </w:r>
      <w:r w:rsidR="006C5987">
        <w:t xml:space="preserve"> </w:t>
      </w:r>
      <w:r w:rsidRPr="00FC7EE8">
        <w:t>73),</w:t>
      </w:r>
    </w:p>
    <w:p w14:paraId="644D00ED" w14:textId="55D98A02" w:rsidR="00FC7EE8" w:rsidRPr="00FC7EE8" w:rsidRDefault="00FC7EE8" w:rsidP="00FC7EE8">
      <w:pPr>
        <w:pStyle w:val="Lista1nmhh"/>
        <w:numPr>
          <w:ilvl w:val="0"/>
          <w:numId w:val="39"/>
        </w:numPr>
      </w:pPr>
      <w:r w:rsidRPr="00FC7EE8">
        <w:t>451 – 456 / 461 – 466 MHz (3GPP Band 72),</w:t>
      </w:r>
    </w:p>
    <w:p w14:paraId="79296C3F" w14:textId="15904C51" w:rsidR="00FC7EE8" w:rsidRPr="00FC7EE8" w:rsidRDefault="00FC7EE8" w:rsidP="00FC7EE8">
      <w:pPr>
        <w:pStyle w:val="Lista1nmhh"/>
        <w:numPr>
          <w:ilvl w:val="0"/>
          <w:numId w:val="39"/>
        </w:numPr>
      </w:pPr>
      <w:r w:rsidRPr="00FC7EE8">
        <w:t>452,5 – 457,5 / 462,5 – 467,5 MHz (3GPP Band 31).</w:t>
      </w:r>
    </w:p>
    <w:p w14:paraId="0E427F82" w14:textId="77777777" w:rsidR="00D27FBC" w:rsidRPr="00B838FE" w:rsidRDefault="00C5262C" w:rsidP="00054C2D">
      <w:pPr>
        <w:rPr>
          <w:color w:val="43525A"/>
          <w:sz w:val="20"/>
          <w:szCs w:val="20"/>
        </w:rPr>
      </w:pPr>
      <w:r>
        <w:rPr>
          <w:color w:val="43525A"/>
          <w:sz w:val="20"/>
          <w:szCs w:val="20"/>
        </w:rPr>
        <w:t>A</w:t>
      </w:r>
      <w:r w:rsidR="00BF0B04">
        <w:rPr>
          <w:color w:val="43525A"/>
          <w:sz w:val="20"/>
          <w:szCs w:val="20"/>
        </w:rPr>
        <w:t xml:space="preserve"> táblázatban feltüntetett</w:t>
      </w:r>
      <w:r>
        <w:rPr>
          <w:color w:val="43525A"/>
          <w:sz w:val="20"/>
          <w:szCs w:val="20"/>
        </w:rPr>
        <w:t xml:space="preserve"> elrendezéseket az 1. ábra szemlélteti.</w:t>
      </w:r>
    </w:p>
    <w:p w14:paraId="282247E3" w14:textId="77777777" w:rsidR="00C106C7" w:rsidRDefault="00054C2D" w:rsidP="00054C2D">
      <w:pPr>
        <w:jc w:val="center"/>
      </w:pPr>
      <w:r>
        <w:rPr>
          <w:noProof/>
          <w:lang w:eastAsia="hu-HU"/>
        </w:rPr>
        <w:drawing>
          <wp:inline distT="0" distB="0" distL="0" distR="0" wp14:anchorId="1A88A787" wp14:editId="078F93AE">
            <wp:extent cx="3981450" cy="2203873"/>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9582" cy="2208374"/>
                    </a:xfrm>
                    <a:prstGeom prst="rect">
                      <a:avLst/>
                    </a:prstGeom>
                  </pic:spPr>
                </pic:pic>
              </a:graphicData>
            </a:graphic>
          </wp:inline>
        </w:drawing>
      </w:r>
    </w:p>
    <w:p w14:paraId="462CA901" w14:textId="77777777" w:rsidR="00C5262C" w:rsidRPr="00C5262C" w:rsidRDefault="000965E6" w:rsidP="00C5262C">
      <w:pPr>
        <w:pStyle w:val="Kpalrs"/>
      </w:pPr>
      <w:r>
        <w:fldChar w:fldCharType="begin"/>
      </w:r>
      <w:r>
        <w:instrText xml:space="preserve"> SEQ ábra \* ARABIC </w:instrText>
      </w:r>
      <w:r>
        <w:fldChar w:fldCharType="separate"/>
      </w:r>
      <w:r w:rsidR="00EA1A9D">
        <w:rPr>
          <w:noProof/>
        </w:rPr>
        <w:t>1</w:t>
      </w:r>
      <w:r>
        <w:rPr>
          <w:noProof/>
        </w:rPr>
        <w:fldChar w:fldCharType="end"/>
      </w:r>
      <w:r w:rsidR="00C5262C">
        <w:t>. ábra – Lehetséges csatornaelrendezések (forrás: ITU-R M.1036-6)</w:t>
      </w:r>
    </w:p>
    <w:p w14:paraId="3A5C6787" w14:textId="77777777" w:rsidR="00054C2D" w:rsidRPr="00C106C7" w:rsidRDefault="00054C2D" w:rsidP="00054C2D">
      <w:pPr>
        <w:jc w:val="center"/>
      </w:pPr>
    </w:p>
    <w:p w14:paraId="05FC698F" w14:textId="77777777" w:rsidR="003C0367" w:rsidRDefault="002E159D" w:rsidP="00FC7EE8">
      <w:pPr>
        <w:pStyle w:val="Cmsor3szmozottnmhh"/>
        <w:keepNext/>
        <w:widowControl w:val="0"/>
      </w:pPr>
      <w:r>
        <w:lastRenderedPageBreak/>
        <w:t xml:space="preserve"> </w:t>
      </w:r>
      <w:bookmarkStart w:id="5" w:name="_Toc95815166"/>
      <w:r>
        <w:t>CEPT</w:t>
      </w:r>
      <w:bookmarkEnd w:id="5"/>
    </w:p>
    <w:p w14:paraId="3F6A3950" w14:textId="65ADCD04" w:rsidR="002E159D" w:rsidRDefault="002E159D" w:rsidP="002E159D">
      <w:pPr>
        <w:pStyle w:val="Behzottbekezdsnmhh"/>
      </w:pPr>
      <w:r>
        <w:t>CEPT</w:t>
      </w:r>
      <w:r>
        <w:rPr>
          <w:rStyle w:val="Lbjegyzet-hivatkozs"/>
        </w:rPr>
        <w:footnoteReference w:id="9"/>
      </w:r>
      <w:r>
        <w:t xml:space="preserve"> szinten </w:t>
      </w:r>
      <w:r w:rsidR="00EB375C">
        <w:t>a 450 MHz</w:t>
      </w:r>
      <w:r w:rsidR="00A33122">
        <w:t>-es</w:t>
      </w:r>
      <w:r w:rsidR="00EB375C">
        <w:t xml:space="preserve"> frekvenciasáv használ</w:t>
      </w:r>
      <w:r w:rsidR="00A33122">
        <w:t>at</w:t>
      </w:r>
      <w:r w:rsidR="00EB375C">
        <w:t>ának szabály</w:t>
      </w:r>
      <w:r w:rsidR="00A33122">
        <w:t>ai</w:t>
      </w:r>
      <w:r w:rsidR="00EB375C">
        <w:t xml:space="preserve">t a földi mozgószolgálat egyes frekvenciasávjaira vonatkozó </w:t>
      </w:r>
      <w:r w:rsidR="00EB375C" w:rsidRPr="00EB375C">
        <w:t>ECC</w:t>
      </w:r>
      <w:r w:rsidR="00005517">
        <w:t>/DEC/</w:t>
      </w:r>
      <w:r w:rsidR="00EB375C" w:rsidRPr="00EB375C">
        <w:t>(19)02</w:t>
      </w:r>
      <w:r w:rsidR="00EB375C">
        <w:rPr>
          <w:rStyle w:val="Lbjegyzet-hivatkozs"/>
        </w:rPr>
        <w:footnoteReference w:id="10"/>
      </w:r>
      <w:r w:rsidR="00EB375C">
        <w:t xml:space="preserve"> </w:t>
      </w:r>
      <w:r w:rsidR="007E7686">
        <w:t>H</w:t>
      </w:r>
      <w:r w:rsidR="00EB375C">
        <w:t xml:space="preserve">atározat, valamint a BB-PPDR spektrumhasználati lehetőségeket és műszaki feltételeket tartalmazó </w:t>
      </w:r>
      <w:r w:rsidR="00EB375C" w:rsidRPr="00EB375C">
        <w:t>ECC</w:t>
      </w:r>
      <w:r w:rsidR="00005517">
        <w:t>/DEC/</w:t>
      </w:r>
      <w:r w:rsidR="00EB375C" w:rsidRPr="00EB375C">
        <w:t>(16)02</w:t>
      </w:r>
      <w:r w:rsidR="00EB375C">
        <w:rPr>
          <w:rStyle w:val="Lbjegyzet-hivatkozs"/>
        </w:rPr>
        <w:footnoteReference w:id="11"/>
      </w:r>
      <w:r w:rsidR="00EB375C">
        <w:t xml:space="preserve"> </w:t>
      </w:r>
      <w:r w:rsidR="007E7686">
        <w:t>H</w:t>
      </w:r>
      <w:r w:rsidR="00EB375C">
        <w:t xml:space="preserve">atározat </w:t>
      </w:r>
      <w:r w:rsidR="00A33122">
        <w:t>rögzíti</w:t>
      </w:r>
      <w:r w:rsidR="00EB375C">
        <w:t xml:space="preserve">. </w:t>
      </w:r>
    </w:p>
    <w:p w14:paraId="69258BE6" w14:textId="579EF2CF" w:rsidR="00A4292E" w:rsidRDefault="00A4292E" w:rsidP="00A4292E">
      <w:pPr>
        <w:pStyle w:val="Behzottbekezdsnmhh"/>
      </w:pPr>
      <w:r>
        <w:t>Az ECC</w:t>
      </w:r>
      <w:r w:rsidR="007E7686">
        <w:t>/DEC/</w:t>
      </w:r>
      <w:r>
        <w:t xml:space="preserve"> (19)02 </w:t>
      </w:r>
      <w:r w:rsidR="007E7686">
        <w:t>H</w:t>
      </w:r>
      <w:r>
        <w:t>atározat szerint 1,25 MHz</w:t>
      </w:r>
      <w:r w:rsidR="00A33122">
        <w:t>,</w:t>
      </w:r>
      <w:r>
        <w:t xml:space="preserve"> 1,4 MHz</w:t>
      </w:r>
      <w:r w:rsidR="00A33122">
        <w:t>,</w:t>
      </w:r>
      <w:r>
        <w:t xml:space="preserve"> 3 MHz és 5 MHz sávszélességű földi mozgószolgálati rendszerek a következő frekvenciasávokban vezethetők be:</w:t>
      </w:r>
    </w:p>
    <w:p w14:paraId="6074EE97" w14:textId="07D5DFAC" w:rsidR="00A4292E" w:rsidRDefault="00A4292E" w:rsidP="00A4292E">
      <w:pPr>
        <w:pStyle w:val="Behzottbekezdsnmhh"/>
      </w:pPr>
      <w:r>
        <w:t>•</w:t>
      </w:r>
      <w:r>
        <w:tab/>
        <w:t>451 – 456 / 461 – 466 MHz,</w:t>
      </w:r>
    </w:p>
    <w:p w14:paraId="00F1F040" w14:textId="32F26F40" w:rsidR="00A4292E" w:rsidRDefault="00A4292E" w:rsidP="00A4292E">
      <w:pPr>
        <w:pStyle w:val="Behzottbekezdsnmhh"/>
      </w:pPr>
      <w:r>
        <w:t>•</w:t>
      </w:r>
      <w:r>
        <w:tab/>
        <w:t>452,5 – 457,5 / 462,5 – 467,5 MHz.</w:t>
      </w:r>
    </w:p>
    <w:p w14:paraId="5C9A6F1C" w14:textId="19A2B2B5" w:rsidR="00A4292E" w:rsidRDefault="00A4292E" w:rsidP="00A4292E">
      <w:pPr>
        <w:pStyle w:val="Behzottbekezdsnmhh"/>
      </w:pPr>
      <w:r>
        <w:t xml:space="preserve">A műszaki feltételeket a határozat </w:t>
      </w:r>
      <w:r w:rsidR="00220BA1">
        <w:t xml:space="preserve">3. </w:t>
      </w:r>
      <w:r>
        <w:t xml:space="preserve">melléklete tartalmazza. </w:t>
      </w:r>
    </w:p>
    <w:p w14:paraId="2BA5774A" w14:textId="71BE874C" w:rsidR="00A4292E" w:rsidRDefault="00A4292E" w:rsidP="00A4292E">
      <w:pPr>
        <w:pStyle w:val="Behzottbekezdsnmhh"/>
      </w:pPr>
      <w:r>
        <w:t>Az ECC</w:t>
      </w:r>
      <w:r w:rsidR="00220BA1">
        <w:t>/DEC/</w:t>
      </w:r>
      <w:r>
        <w:t xml:space="preserve">(16)02 </w:t>
      </w:r>
      <w:r w:rsidR="00220BA1">
        <w:t>H</w:t>
      </w:r>
      <w:r>
        <w:t>atározat a BB-PPDR számára 1,4 MHz</w:t>
      </w:r>
      <w:r w:rsidR="00A33122">
        <w:t>,</w:t>
      </w:r>
      <w:r>
        <w:t xml:space="preserve"> 3 MHz és 5 MHz sávszélesség alkalmazásával az alábbi sávrészekben biztosít lehetőséget:</w:t>
      </w:r>
    </w:p>
    <w:p w14:paraId="05DE2954" w14:textId="35595902" w:rsidR="00A4292E" w:rsidRDefault="00A4292E" w:rsidP="00A4292E">
      <w:pPr>
        <w:pStyle w:val="Behzottbekezdsnmhh"/>
      </w:pPr>
      <w:r>
        <w:t>•</w:t>
      </w:r>
      <w:r>
        <w:tab/>
        <w:t>450,5 – 456 / 460,5 – 466 MHz,</w:t>
      </w:r>
    </w:p>
    <w:p w14:paraId="36E42E05" w14:textId="3FB878DE" w:rsidR="00A4292E" w:rsidRDefault="00A4292E" w:rsidP="00A4292E">
      <w:pPr>
        <w:pStyle w:val="Behzottbekezdsnmhh"/>
      </w:pPr>
      <w:r>
        <w:t>•</w:t>
      </w:r>
      <w:r>
        <w:tab/>
        <w:t>452 – 457,5 / 462 – 467,5 MHz.</w:t>
      </w:r>
    </w:p>
    <w:p w14:paraId="6AC639A0" w14:textId="3EAD71CD" w:rsidR="00A4292E" w:rsidRDefault="00A4292E" w:rsidP="00A4292E">
      <w:pPr>
        <w:pStyle w:val="Behzottbekezdsnmhh"/>
      </w:pPr>
    </w:p>
    <w:p w14:paraId="519D97B9" w14:textId="77777777" w:rsidR="00547816" w:rsidRDefault="00547816" w:rsidP="00547816">
      <w:pPr>
        <w:pStyle w:val="Cmsor2szmozottnmhh"/>
      </w:pPr>
      <w:bookmarkStart w:id="6" w:name="_Toc95815167"/>
      <w:r>
        <w:t>Nemzeti szabályozás</w:t>
      </w:r>
      <w:bookmarkEnd w:id="6"/>
    </w:p>
    <w:p w14:paraId="25D283ED" w14:textId="3E3CBDDA" w:rsidR="00547816" w:rsidRDefault="00D22CC8" w:rsidP="00547816">
      <w:pPr>
        <w:pStyle w:val="Behzottbekezdsnmhh"/>
      </w:pPr>
      <w:r w:rsidRPr="00D22CC8">
        <w:t>A</w:t>
      </w:r>
      <w:r w:rsidR="008843A1">
        <w:t>z NFFF</w:t>
      </w:r>
      <w:r w:rsidRPr="00D22CC8">
        <w:t xml:space="preserve"> alapján a 450-460/460-470 MHz frekvenciasávban 2x7,38 MHz rádióspektrum (450–457,38/460–467,38 MHz frekvenciasávrészben) szélesebb sávú digitális cellás rendszerek számára kijelölt.</w:t>
      </w:r>
    </w:p>
    <w:p w14:paraId="181BEE45" w14:textId="77777777" w:rsidR="00D22CC8" w:rsidRDefault="00D22CC8" w:rsidP="00547816">
      <w:pPr>
        <w:pStyle w:val="Behzottbekezdsnmhh"/>
      </w:pPr>
      <w:r w:rsidRPr="00D22CC8">
        <w:t>A fennmaradó 2x2,62 MHz frekvenciasávrész keskenysávú földi mozgószolgálati rendszerek számára kijelölt ezen belül, különböző részsávokban, analóg vasúti PMR rendszerek, analóg és digitális PMR rendszerek, valamint bázisállomással üzemelő, analóg rádiós személyhívó rendszerek üzemelhetnek.</w:t>
      </w:r>
    </w:p>
    <w:p w14:paraId="02909860" w14:textId="757FBE24" w:rsidR="005F6E96" w:rsidRDefault="005F6E96" w:rsidP="00547816">
      <w:pPr>
        <w:pStyle w:val="Behzottbekezdsnmhh"/>
      </w:pPr>
      <w:r>
        <w:t xml:space="preserve">A </w:t>
      </w:r>
      <w:r w:rsidR="009B52D6">
        <w:t>rádióspektrum</w:t>
      </w:r>
      <w:r w:rsidR="00C5678B">
        <w:t>-</w:t>
      </w:r>
      <w:r w:rsidR="009B52D6">
        <w:t xml:space="preserve">használati </w:t>
      </w:r>
      <w:r>
        <w:t>jog szerzésének</w:t>
      </w:r>
      <w:r w:rsidR="00E92B76">
        <w:t xml:space="preserve"> és</w:t>
      </w:r>
      <w:r>
        <w:t xml:space="preserve"> a </w:t>
      </w:r>
      <w:r w:rsidR="00E92B76">
        <w:t>sáv</w:t>
      </w:r>
      <w:r>
        <w:t>használ</w:t>
      </w:r>
      <w:r w:rsidR="009B52D6">
        <w:t>at</w:t>
      </w:r>
      <w:r>
        <w:t xml:space="preserve"> feltételeit az NFFF 3. mellékletének 3.2</w:t>
      </w:r>
      <w:r w:rsidR="00CC35C6">
        <w:t>.1.</w:t>
      </w:r>
      <w:r>
        <w:t xml:space="preserve"> pontja tartalmazza:</w:t>
      </w:r>
    </w:p>
    <w:tbl>
      <w:tblPr>
        <w:tblStyle w:val="Rcsostblzat"/>
        <w:tblW w:w="0" w:type="auto"/>
        <w:tblLook w:val="04A0" w:firstRow="1" w:lastRow="0" w:firstColumn="1" w:lastColumn="0" w:noHBand="0" w:noVBand="1"/>
      </w:tblPr>
      <w:tblGrid>
        <w:gridCol w:w="4531"/>
        <w:gridCol w:w="4531"/>
      </w:tblGrid>
      <w:tr w:rsidR="005F6E96" w14:paraId="56C90DCB" w14:textId="77777777" w:rsidTr="005F6E96">
        <w:tc>
          <w:tcPr>
            <w:tcW w:w="4531" w:type="dxa"/>
            <w:vAlign w:val="center"/>
          </w:tcPr>
          <w:p w14:paraId="00323D0C" w14:textId="77777777" w:rsidR="005F6E96" w:rsidRDefault="005F6E96" w:rsidP="005F6E96">
            <w:pPr>
              <w:keepNext/>
              <w:keepLines/>
              <w:jc w:val="center"/>
              <w:rPr>
                <w:b/>
                <w:color w:val="000000" w:themeColor="text1"/>
                <w:sz w:val="18"/>
              </w:rPr>
            </w:pPr>
            <w:r>
              <w:rPr>
                <w:b/>
                <w:color w:val="000000" w:themeColor="text1"/>
                <w:sz w:val="18"/>
              </w:rPr>
              <w:lastRenderedPageBreak/>
              <w:t>Feltétel tárgya</w:t>
            </w:r>
          </w:p>
        </w:tc>
        <w:tc>
          <w:tcPr>
            <w:tcW w:w="4531" w:type="dxa"/>
            <w:vAlign w:val="center"/>
          </w:tcPr>
          <w:p w14:paraId="225CA23F" w14:textId="77777777" w:rsidR="005F6E96" w:rsidRDefault="005F6E96" w:rsidP="005F6E96">
            <w:pPr>
              <w:pStyle w:val="Behzottbekezdsnmhh"/>
              <w:ind w:firstLine="0"/>
              <w:jc w:val="center"/>
            </w:pPr>
            <w:r>
              <w:rPr>
                <w:b/>
                <w:color w:val="000000" w:themeColor="text1"/>
                <w:sz w:val="18"/>
              </w:rPr>
              <w:t>Előírás</w:t>
            </w:r>
          </w:p>
        </w:tc>
      </w:tr>
      <w:tr w:rsidR="005F6E96" w14:paraId="325EDB0B" w14:textId="77777777" w:rsidTr="00104A8E">
        <w:tc>
          <w:tcPr>
            <w:tcW w:w="4531" w:type="dxa"/>
          </w:tcPr>
          <w:p w14:paraId="7A22F631"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Használat célja</w:t>
            </w:r>
          </w:p>
        </w:tc>
        <w:tc>
          <w:tcPr>
            <w:tcW w:w="4531" w:type="dxa"/>
          </w:tcPr>
          <w:p w14:paraId="2A4BA0A6"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 xml:space="preserve">elsődlegesen kormányzati céloknak (különösen a kormányzati elektronikus hírközlési infrastruktúrának, az e-közigazgatásnak, az elektronikus útdíj megvalósításának) a támogatása </w:t>
            </w:r>
            <w:r>
              <w:rPr>
                <w:color w:val="000000" w:themeColor="text1"/>
                <w:sz w:val="18"/>
              </w:rPr>
              <w:t>olyan</w:t>
            </w:r>
            <w:r>
              <w:rPr>
                <w:rFonts w:cs="Arial"/>
                <w:color w:val="000000" w:themeColor="text1"/>
                <w:sz w:val="18"/>
                <w:szCs w:val="18"/>
              </w:rPr>
              <w:t xml:space="preserve"> rendszerrel, </w:t>
            </w:r>
            <w:r>
              <w:rPr>
                <w:color w:val="000000" w:themeColor="text1"/>
                <w:sz w:val="18"/>
              </w:rPr>
              <w:t>amely csoportkommunikációs rendszerben jelentkező csoportkommunikációs, valamint elektronikus hírközlési szolgáltatás célú igényeket is kielégíthet</w:t>
            </w:r>
          </w:p>
        </w:tc>
      </w:tr>
      <w:tr w:rsidR="005F6E96" w14:paraId="1C8728D5" w14:textId="77777777" w:rsidTr="00104A8E">
        <w:tc>
          <w:tcPr>
            <w:tcW w:w="4531" w:type="dxa"/>
          </w:tcPr>
          <w:p w14:paraId="7C060D8F"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Frekvenciaelosztás módja</w:t>
            </w:r>
          </w:p>
        </w:tc>
        <w:tc>
          <w:tcPr>
            <w:tcW w:w="4531" w:type="dxa"/>
          </w:tcPr>
          <w:p w14:paraId="0F431B9E"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versenyeztetési eljárás</w:t>
            </w:r>
          </w:p>
        </w:tc>
      </w:tr>
      <w:tr w:rsidR="005F6E96" w14:paraId="41D2B7EA" w14:textId="77777777" w:rsidTr="00104A8E">
        <w:tc>
          <w:tcPr>
            <w:tcW w:w="4531" w:type="dxa"/>
          </w:tcPr>
          <w:p w14:paraId="08364235"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Megszerezhető frekvenciatartomány mennyisége</w:t>
            </w:r>
          </w:p>
        </w:tc>
        <w:tc>
          <w:tcPr>
            <w:tcW w:w="4531" w:type="dxa"/>
          </w:tcPr>
          <w:p w14:paraId="2496A207"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egy rádióspektrum-használati jogosultság a teljes sávra</w:t>
            </w:r>
          </w:p>
        </w:tc>
      </w:tr>
      <w:tr w:rsidR="005F6E96" w14:paraId="79AE2699" w14:textId="77777777" w:rsidTr="00104A8E">
        <w:tc>
          <w:tcPr>
            <w:tcW w:w="4531" w:type="dxa"/>
          </w:tcPr>
          <w:p w14:paraId="4BE66FE3"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Rádióspektrum-használati jog időtartama</w:t>
            </w:r>
          </w:p>
        </w:tc>
        <w:tc>
          <w:tcPr>
            <w:tcW w:w="4531" w:type="dxa"/>
          </w:tcPr>
          <w:p w14:paraId="625F362C"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 xml:space="preserve">legalább 9, legfeljebb 15 év, a tényleges időtartamot a versenyeztetési eljárás kiírási dokumentációja, valamint a versenyeztetési </w:t>
            </w:r>
            <w:r>
              <w:rPr>
                <w:color w:val="000000" w:themeColor="text1"/>
                <w:sz w:val="18"/>
              </w:rPr>
              <w:t>eljárást lezáró határozat</w:t>
            </w:r>
            <w:r>
              <w:rPr>
                <w:rFonts w:cs="Arial"/>
                <w:color w:val="000000" w:themeColor="text1"/>
                <w:sz w:val="18"/>
                <w:szCs w:val="18"/>
              </w:rPr>
              <w:t xml:space="preserve"> vagy hatósági szerződés határozza meg</w:t>
            </w:r>
          </w:p>
        </w:tc>
      </w:tr>
      <w:tr w:rsidR="005F6E96" w14:paraId="0C7E601B" w14:textId="77777777" w:rsidTr="00104A8E">
        <w:tc>
          <w:tcPr>
            <w:tcW w:w="4531" w:type="dxa"/>
          </w:tcPr>
          <w:p w14:paraId="290BBC03"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Rádióspektrum-használati jogosultság területi kiterjedése</w:t>
            </w:r>
          </w:p>
        </w:tc>
        <w:tc>
          <w:tcPr>
            <w:tcW w:w="4531" w:type="dxa"/>
          </w:tcPr>
          <w:p w14:paraId="42387F74"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országos</w:t>
            </w:r>
          </w:p>
        </w:tc>
      </w:tr>
      <w:tr w:rsidR="005F6E96" w14:paraId="0D32E18C" w14:textId="77777777" w:rsidTr="00104A8E">
        <w:tc>
          <w:tcPr>
            <w:tcW w:w="4531" w:type="dxa"/>
          </w:tcPr>
          <w:p w14:paraId="6739B2EA"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Gazdálkodás módja</w:t>
            </w:r>
          </w:p>
        </w:tc>
        <w:tc>
          <w:tcPr>
            <w:tcW w:w="4531" w:type="dxa"/>
          </w:tcPr>
          <w:p w14:paraId="2B91A34F" w14:textId="77777777" w:rsidR="005F6E96" w:rsidRDefault="005F6E96" w:rsidP="005F6E96">
            <w:pPr>
              <w:keepNext/>
              <w:keepLines/>
              <w:ind w:left="198" w:hanging="198"/>
              <w:jc w:val="left"/>
              <w:rPr>
                <w:rFonts w:cs="Arial"/>
                <w:color w:val="000000" w:themeColor="text1"/>
                <w:sz w:val="18"/>
                <w:szCs w:val="18"/>
              </w:rPr>
            </w:pPr>
            <w:r>
              <w:rPr>
                <w:rFonts w:cs="Arial"/>
                <w:color w:val="000000" w:themeColor="text1"/>
                <w:sz w:val="18"/>
                <w:szCs w:val="18"/>
              </w:rPr>
              <w:t>blokkgazdálkodás</w:t>
            </w:r>
          </w:p>
        </w:tc>
      </w:tr>
      <w:tr w:rsidR="005F6E96" w14:paraId="23F48127" w14:textId="77777777" w:rsidTr="00104A8E">
        <w:tc>
          <w:tcPr>
            <w:tcW w:w="4531" w:type="dxa"/>
          </w:tcPr>
          <w:p w14:paraId="74037526" w14:textId="77777777" w:rsidR="005F6E96" w:rsidRPr="005F6E96" w:rsidRDefault="005F6E96" w:rsidP="005F6E96">
            <w:pPr>
              <w:keepNext/>
              <w:keepLines/>
              <w:ind w:left="198" w:hanging="198"/>
              <w:jc w:val="left"/>
              <w:rPr>
                <w:rFonts w:cs="Arial"/>
                <w:b/>
                <w:color w:val="000000" w:themeColor="text1"/>
                <w:sz w:val="18"/>
                <w:szCs w:val="18"/>
              </w:rPr>
            </w:pPr>
            <w:r w:rsidRPr="005F6E96">
              <w:rPr>
                <w:rFonts w:cs="Arial"/>
                <w:b/>
                <w:color w:val="000000" w:themeColor="text1"/>
                <w:sz w:val="18"/>
                <w:szCs w:val="18"/>
              </w:rPr>
              <w:t>Másodlagos kereskedelem</w:t>
            </w:r>
          </w:p>
        </w:tc>
        <w:tc>
          <w:tcPr>
            <w:tcW w:w="4531" w:type="dxa"/>
          </w:tcPr>
          <w:p w14:paraId="43B222F9" w14:textId="77777777" w:rsidR="005F6E96" w:rsidRDefault="005F6E96" w:rsidP="005F6E96">
            <w:pPr>
              <w:ind w:left="198" w:hanging="198"/>
              <w:jc w:val="left"/>
              <w:rPr>
                <w:rFonts w:cs="Arial"/>
                <w:color w:val="000000" w:themeColor="text1"/>
                <w:sz w:val="18"/>
                <w:szCs w:val="18"/>
              </w:rPr>
            </w:pPr>
            <w:r>
              <w:rPr>
                <w:rFonts w:cs="Arial"/>
                <w:color w:val="000000" w:themeColor="text1"/>
                <w:sz w:val="18"/>
                <w:szCs w:val="18"/>
              </w:rPr>
              <w:t>a rádióspektrum-használati jogosultság, jog csak a frekvenciasáv tekintetében részben és egészben is átruházható, amennyiben ettől eltérő előírást a versenyeztetési eljárás kiírási dokumentációja nem határoz meg</w:t>
            </w:r>
          </w:p>
        </w:tc>
      </w:tr>
    </w:tbl>
    <w:p w14:paraId="760B6EB6" w14:textId="77777777" w:rsidR="005F6E96" w:rsidRDefault="000965E6" w:rsidP="00F05EFC">
      <w:pPr>
        <w:pStyle w:val="Kpalrs"/>
      </w:pPr>
      <w:r>
        <w:fldChar w:fldCharType="begin"/>
      </w:r>
      <w:r>
        <w:instrText xml:space="preserve"> SEQ táblázat \* ARABIC </w:instrText>
      </w:r>
      <w:r>
        <w:fldChar w:fldCharType="separate"/>
      </w:r>
      <w:r w:rsidR="00F05EFC">
        <w:rPr>
          <w:noProof/>
        </w:rPr>
        <w:t>2</w:t>
      </w:r>
      <w:r>
        <w:rPr>
          <w:noProof/>
        </w:rPr>
        <w:fldChar w:fldCharType="end"/>
      </w:r>
      <w:r w:rsidR="00F05EFC">
        <w:t>. táblázat –Sávhasználati feltételek (forrás: NFFF)</w:t>
      </w:r>
    </w:p>
    <w:p w14:paraId="2FA32924" w14:textId="77777777" w:rsidR="000D3D24" w:rsidRDefault="000D3D24" w:rsidP="00547816">
      <w:pPr>
        <w:pStyle w:val="Behzottbekezdsnmhh"/>
      </w:pPr>
      <w:r w:rsidRPr="000D3D24">
        <w:t>Az NFFF sávhasználati előírása szerint a 450–457,38/460–467,38 MHz frekvenciasávban a használat célja elsődlegesen kormányzati célok (különösen a kormányzati elektronikus hírközlési infrastruktúrának, az e-közigazgatásnak, az elektronikus útdíj megvalósításának) támogatása olyan rendszerrel, amely csoportkommunikációs rendszerben jelentkező csoportkommunikációs, valamint elektronikus hírközlési szolgáltatás célú igényeket is kielégíthet. Egy rádióspektrum-használati jogosultság szerezhető a teljes 450–457,38/460–467,38 MHz frekvenciasávra, így egy felhasználói blokk képezhető.</w:t>
      </w:r>
    </w:p>
    <w:p w14:paraId="216E08A5" w14:textId="77777777" w:rsidR="00AD6D0A" w:rsidRDefault="00AD6D0A" w:rsidP="00547816">
      <w:pPr>
        <w:pStyle w:val="Behzottbekezdsnmhh"/>
      </w:pPr>
    </w:p>
    <w:p w14:paraId="154E6F1F" w14:textId="77777777" w:rsidR="003A22F1" w:rsidRDefault="00D046E2" w:rsidP="008F203D">
      <w:pPr>
        <w:pStyle w:val="Cmsor1szmozottnmhh"/>
      </w:pPr>
      <w:bookmarkStart w:id="7" w:name="_Toc95815168"/>
      <w:r>
        <w:t>Jelenlegi</w:t>
      </w:r>
      <w:r w:rsidR="003A22F1">
        <w:t xml:space="preserve"> </w:t>
      </w:r>
      <w:r>
        <w:t>használat</w:t>
      </w:r>
      <w:bookmarkEnd w:id="7"/>
    </w:p>
    <w:p w14:paraId="7D09AF2E" w14:textId="77777777" w:rsidR="00AD6D0A" w:rsidRPr="00AD6D0A" w:rsidRDefault="00AD6D0A" w:rsidP="00065301">
      <w:pPr>
        <w:pStyle w:val="Cmsor2szmozottnmhh"/>
      </w:pPr>
      <w:r>
        <w:t xml:space="preserve"> </w:t>
      </w:r>
      <w:bookmarkStart w:id="8" w:name="_Toc95815169"/>
      <w:r>
        <w:t xml:space="preserve">Szélessávú </w:t>
      </w:r>
      <w:r w:rsidR="00D046E2">
        <w:t>használat</w:t>
      </w:r>
      <w:bookmarkEnd w:id="8"/>
    </w:p>
    <w:p w14:paraId="77927D61" w14:textId="77777777" w:rsidR="003A22F1" w:rsidRDefault="005D7522" w:rsidP="003A22F1">
      <w:pPr>
        <w:pStyle w:val="Behzottbekezdsnmhh"/>
      </w:pPr>
      <w:r w:rsidRPr="005D7522">
        <w:t>A 2014-ben lezajlott 450 MHz-es pályázat</w:t>
      </w:r>
      <w:r w:rsidRPr="005D7522">
        <w:rPr>
          <w:vertAlign w:val="superscript"/>
        </w:rPr>
        <w:footnoteReference w:id="12"/>
      </w:r>
      <w:r w:rsidRPr="005D7522">
        <w:t xml:space="preserve"> eredményeképpen a 450-457,38/460-467,38 MHz frekvenciasávrészben 2x7,38 MHz rádióspektrum-használati jogosultsággal rendelkező szolgáltató LTE</w:t>
      </w:r>
      <w:r w:rsidRPr="005D7522">
        <w:rPr>
          <w:vertAlign w:val="superscript"/>
        </w:rPr>
        <w:footnoteReference w:id="13"/>
      </w:r>
      <w:r w:rsidRPr="005D7522">
        <w:rPr>
          <w:vertAlign w:val="superscript"/>
        </w:rPr>
        <w:t xml:space="preserve"> </w:t>
      </w:r>
      <w:r w:rsidRPr="005D7522">
        <w:t xml:space="preserve">rendszert üzemeltet a 3GPP Band 31 </w:t>
      </w:r>
      <w:r>
        <w:t>(452,5-457,5/462,5-</w:t>
      </w:r>
      <w:r w:rsidRPr="005D7522">
        <w:t>467,5</w:t>
      </w:r>
      <w:r>
        <w:t xml:space="preserve"> MHz) </w:t>
      </w:r>
      <w:r w:rsidRPr="005D7522">
        <w:t>használatával.</w:t>
      </w:r>
    </w:p>
    <w:p w14:paraId="49E0F43D" w14:textId="5344524D" w:rsidR="005D7522" w:rsidRDefault="005D7522" w:rsidP="003A22F1">
      <w:pPr>
        <w:pStyle w:val="Behzottbekezdsnmhh"/>
      </w:pPr>
      <w:r>
        <w:t xml:space="preserve">Tekintettel arra, hogy a </w:t>
      </w:r>
      <w:r w:rsidR="00F5251E">
        <w:t xml:space="preserve">3GPP </w:t>
      </w:r>
      <w:r>
        <w:t xml:space="preserve">Band 31 nem helyezhető el teljes szélességében az NFFF szerint rendelkezésre álló </w:t>
      </w:r>
      <w:r w:rsidRPr="00D22CC8">
        <w:t>450–457,38/460–467,38 MHz</w:t>
      </w:r>
      <w:r>
        <w:t xml:space="preserve"> frekvenciasávban, az üzemeltett LTE rendszer a jelenlegi feltételek mellett </w:t>
      </w:r>
      <w:r w:rsidR="001171E6">
        <w:t xml:space="preserve">csökkentett sávszélességgel </w:t>
      </w:r>
      <w:r>
        <w:t>üzemeltethető</w:t>
      </w:r>
      <w:r w:rsidR="001171E6">
        <w:t xml:space="preserve"> (2. ábra)</w:t>
      </w:r>
      <w:r>
        <w:t>.</w:t>
      </w:r>
    </w:p>
    <w:p w14:paraId="5606A7B1" w14:textId="77777777" w:rsidR="00BD3A5C" w:rsidRDefault="00BD3A5C" w:rsidP="00BD3A5C">
      <w:pPr>
        <w:pStyle w:val="Behzottbekezdsnmhh"/>
        <w:jc w:val="center"/>
      </w:pPr>
      <w:r w:rsidRPr="004F0F8E">
        <w:rPr>
          <w:noProof/>
          <w:color w:val="auto"/>
          <w:lang w:eastAsia="hu-HU"/>
        </w:rPr>
        <w:lastRenderedPageBreak/>
        <w:drawing>
          <wp:inline distT="0" distB="0" distL="0" distR="0" wp14:anchorId="2A211F14" wp14:editId="53B203D4">
            <wp:extent cx="5486400" cy="124052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19211"/>
                    <a:stretch/>
                  </pic:blipFill>
                  <pic:spPr bwMode="auto">
                    <a:xfrm>
                      <a:off x="0" y="0"/>
                      <a:ext cx="5520774" cy="1248293"/>
                    </a:xfrm>
                    <a:prstGeom prst="rect">
                      <a:avLst/>
                    </a:prstGeom>
                    <a:noFill/>
                    <a:ln>
                      <a:noFill/>
                    </a:ln>
                    <a:extLst>
                      <a:ext uri="{53640926-AAD7-44D8-BBD7-CCE9431645EC}">
                        <a14:shadowObscured xmlns:a14="http://schemas.microsoft.com/office/drawing/2010/main"/>
                      </a:ext>
                    </a:extLst>
                  </pic:spPr>
                </pic:pic>
              </a:graphicData>
            </a:graphic>
          </wp:inline>
        </w:drawing>
      </w:r>
    </w:p>
    <w:p w14:paraId="585C21D8" w14:textId="77777777" w:rsidR="00BD3A5C" w:rsidRDefault="000965E6" w:rsidP="00BD3A5C">
      <w:pPr>
        <w:pStyle w:val="Kpalrs"/>
      </w:pPr>
      <w:r>
        <w:fldChar w:fldCharType="begin"/>
      </w:r>
      <w:r>
        <w:instrText xml:space="preserve"> SEQ ábra \* ARABIC </w:instrText>
      </w:r>
      <w:r>
        <w:fldChar w:fldCharType="separate"/>
      </w:r>
      <w:r w:rsidR="00EA1A9D">
        <w:rPr>
          <w:noProof/>
        </w:rPr>
        <w:t>2</w:t>
      </w:r>
      <w:r>
        <w:rPr>
          <w:noProof/>
        </w:rPr>
        <w:fldChar w:fldCharType="end"/>
      </w:r>
      <w:r w:rsidR="00BD3A5C">
        <w:t>. ábra – Jelenlegi használat</w:t>
      </w:r>
    </w:p>
    <w:p w14:paraId="618B2E90" w14:textId="2101F063" w:rsidR="00AD6D0A" w:rsidRPr="00AD6D0A" w:rsidRDefault="00AD6D0A" w:rsidP="00AD6D0A">
      <w:pPr>
        <w:pStyle w:val="Behzottbekezdsnmhh"/>
      </w:pPr>
      <w:r>
        <w:t>Tekintettel arra, hogy a</w:t>
      </w:r>
      <w:r w:rsidRPr="00AD6D0A">
        <w:t xml:space="preserve"> </w:t>
      </w:r>
      <w:r w:rsidR="00F5251E">
        <w:t xml:space="preserve">3GPP </w:t>
      </w:r>
      <w:r w:rsidRPr="00AD6D0A">
        <w:t>Band 31 csatorna sávközépi frekvenciája 455/465 M</w:t>
      </w:r>
      <w:r>
        <w:t xml:space="preserve">Hz, amely nem hangolható, </w:t>
      </w:r>
      <w:r w:rsidRPr="00AD6D0A">
        <w:t>a jelenlegi felhasználás hátránya, hogy a szélessávú rendszer 5 MHz-es csatornája „kilóg” a felhasználói blokkból, így forrásblokk kikapcsolására van szükség</w:t>
      </w:r>
      <w:r w:rsidR="008843A1">
        <w:t>,</w:t>
      </w:r>
      <w:r w:rsidRPr="00AD6D0A">
        <w:t xml:space="preserve"> csak egy csökkentett sávszélességű LTE használatára van lehetőség az MVM Net 2x7,38 MHz-es felhasználói blokkján belül. </w:t>
      </w:r>
    </w:p>
    <w:p w14:paraId="33863503" w14:textId="77777777" w:rsidR="00BD3A5C" w:rsidRDefault="00AD6D0A" w:rsidP="00065301">
      <w:pPr>
        <w:pStyle w:val="Cmsor2szmozottnmhh"/>
      </w:pPr>
      <w:r>
        <w:t xml:space="preserve"> </w:t>
      </w:r>
      <w:bookmarkStart w:id="9" w:name="_Toc95815170"/>
      <w:r>
        <w:t xml:space="preserve">Keskenysávú </w:t>
      </w:r>
      <w:r w:rsidR="00D046E2">
        <w:t>használat</w:t>
      </w:r>
      <w:bookmarkEnd w:id="9"/>
    </w:p>
    <w:p w14:paraId="3EAC80BE" w14:textId="4BCF870E" w:rsidR="004924BF" w:rsidRDefault="00080D00" w:rsidP="00080D00">
      <w:pPr>
        <w:pStyle w:val="Behzottbekezdsnmhh"/>
      </w:pPr>
      <w:r w:rsidRPr="00080D00">
        <w:t>A 450-457,38/460-467,38 MHz frekvenciasávrésszel szomszédos frekvenciasávrészben analóg, főként az UIC</w:t>
      </w:r>
      <w:r w:rsidR="008B566C">
        <w:rPr>
          <w:rStyle w:val="Lbjegyzet-hivatkozs"/>
        </w:rPr>
        <w:footnoteReference w:id="14"/>
      </w:r>
      <w:r w:rsidRPr="00080D00">
        <w:t xml:space="preserve"> csatornaosztást használó vasúti és más PMR rendszerek üzemelnek, amelyeknek a zavarmentes működését biztosítani kell a s</w:t>
      </w:r>
      <w:r>
        <w:t xml:space="preserve">zélessávú rendszerekkel szemben. </w:t>
      </w:r>
    </w:p>
    <w:p w14:paraId="7AD3CBE4" w14:textId="7C80FCB9" w:rsidR="00272EEC" w:rsidRDefault="00080D00" w:rsidP="00080D00">
      <w:pPr>
        <w:pStyle w:val="Behzottbekezdsnmhh"/>
      </w:pPr>
      <w:r>
        <w:t>Ezen rendszerek használata egyedi engedélyezési eljáráshoz kötött.</w:t>
      </w:r>
      <w:r w:rsidR="008843A1">
        <w:t xml:space="preserve"> </w:t>
      </w:r>
      <w:r w:rsidR="009B52D6">
        <w:t xml:space="preserve">A jelen sávismertető írásakor </w:t>
      </w:r>
      <w:r w:rsidR="00282CC6">
        <w:t>e</w:t>
      </w:r>
      <w:r w:rsidR="004924BF">
        <w:t xml:space="preserve">bben a sávrészben </w:t>
      </w:r>
      <w:r w:rsidR="008843A1">
        <w:t>mintegy</w:t>
      </w:r>
      <w:r w:rsidR="004924BF">
        <w:t xml:space="preserve"> hétezres nagyságrendben üzemelnek eszközök az ország teljes területén.</w:t>
      </w:r>
    </w:p>
    <w:p w14:paraId="2A41E5FC" w14:textId="77777777" w:rsidR="00272EEC" w:rsidRDefault="00272EEC" w:rsidP="004924BF">
      <w:pPr>
        <w:pStyle w:val="Cmsor1szmozottnmhh"/>
      </w:pPr>
      <w:bookmarkStart w:id="10" w:name="_Toc95815171"/>
      <w:r>
        <w:t>Lehetséges jövőbeni használat</w:t>
      </w:r>
      <w:bookmarkEnd w:id="10"/>
    </w:p>
    <w:p w14:paraId="3D20CDA3" w14:textId="77777777" w:rsidR="00065301" w:rsidRDefault="00065301" w:rsidP="00065301">
      <w:pPr>
        <w:pStyle w:val="Cmsor2szmozottnmhh"/>
      </w:pPr>
      <w:bookmarkStart w:id="11" w:name="_Toc95815172"/>
      <w:r>
        <w:t>Műszaki lehetőségek</w:t>
      </w:r>
      <w:bookmarkEnd w:id="11"/>
    </w:p>
    <w:p w14:paraId="2E7DBEEE" w14:textId="05C82173" w:rsidR="004924BF" w:rsidRDefault="004924BF" w:rsidP="004924BF">
      <w:pPr>
        <w:pStyle w:val="Behzottbekezdsnmhh"/>
      </w:pPr>
      <w:r w:rsidRPr="004924BF">
        <w:t xml:space="preserve">A 450-470 MHz frekvenciasávnak a szélessávú alkalmazásokra vonatkozó CEPT-en belüli szabályozásának elfogadása a frekvenciasáv magyarországi </w:t>
      </w:r>
      <w:r w:rsidR="009B52D6">
        <w:t>pályáz</w:t>
      </w:r>
      <w:r w:rsidR="00C456D4">
        <w:t>t</w:t>
      </w:r>
      <w:r w:rsidR="009B52D6">
        <w:t>atása</w:t>
      </w:r>
      <w:r w:rsidR="009B52D6" w:rsidRPr="004924BF">
        <w:t xml:space="preserve"> </w:t>
      </w:r>
      <w:r w:rsidRPr="004924BF">
        <w:t>után történt meg. Jelenleg a 3GPP szabványban 3 sáv érhető el a 450-470 MHz frekvenciasávban, azonban a frekvenciasáv versenyeztetése idején, 2014-ben még csak a Brazília számára kifejlesztett 3GPP Band 31 volt elérhető. A lehetséges csatornák e</w:t>
      </w:r>
      <w:r>
        <w:t>lhelyezkedését a sávon belül a 3</w:t>
      </w:r>
      <w:r w:rsidRPr="004924BF">
        <w:t>. ábra mutatja be.</w:t>
      </w:r>
    </w:p>
    <w:p w14:paraId="29128CB3" w14:textId="77777777" w:rsidR="004924BF" w:rsidRDefault="004924BF" w:rsidP="004924BF">
      <w:pPr>
        <w:pStyle w:val="Behzottbekezdsnmhh"/>
      </w:pPr>
      <w:r w:rsidRPr="004F0F8E">
        <w:rPr>
          <w:noProof/>
          <w:color w:val="auto"/>
          <w:lang w:eastAsia="hu-HU"/>
        </w:rPr>
        <w:drawing>
          <wp:inline distT="0" distB="0" distL="0" distR="0" wp14:anchorId="6F49B361" wp14:editId="7973887F">
            <wp:extent cx="5760000" cy="1413599"/>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t="17821"/>
                    <a:stretch/>
                  </pic:blipFill>
                  <pic:spPr bwMode="auto">
                    <a:xfrm>
                      <a:off x="0" y="0"/>
                      <a:ext cx="5760000" cy="1413599"/>
                    </a:xfrm>
                    <a:prstGeom prst="rect">
                      <a:avLst/>
                    </a:prstGeom>
                    <a:noFill/>
                    <a:ln>
                      <a:noFill/>
                    </a:ln>
                    <a:extLst>
                      <a:ext uri="{53640926-AAD7-44D8-BBD7-CCE9431645EC}">
                        <a14:shadowObscured xmlns:a14="http://schemas.microsoft.com/office/drawing/2010/main"/>
                      </a:ext>
                    </a:extLst>
                  </pic:spPr>
                </pic:pic>
              </a:graphicData>
            </a:graphic>
          </wp:inline>
        </w:drawing>
      </w:r>
    </w:p>
    <w:p w14:paraId="47AC7982" w14:textId="77777777" w:rsidR="004924BF" w:rsidRDefault="000965E6" w:rsidP="004924BF">
      <w:pPr>
        <w:pStyle w:val="Kpalrs"/>
      </w:pPr>
      <w:r>
        <w:fldChar w:fldCharType="begin"/>
      </w:r>
      <w:r>
        <w:instrText xml:space="preserve"> SEQ ábra \* ARABIC </w:instrText>
      </w:r>
      <w:r>
        <w:fldChar w:fldCharType="separate"/>
      </w:r>
      <w:r w:rsidR="00EA1A9D">
        <w:rPr>
          <w:noProof/>
        </w:rPr>
        <w:t>3</w:t>
      </w:r>
      <w:r>
        <w:rPr>
          <w:noProof/>
        </w:rPr>
        <w:fldChar w:fldCharType="end"/>
      </w:r>
      <w:r w:rsidR="004924BF">
        <w:t>. ábra – Jelenlegi sávhasználat és a lehetséges 3GPP sávok</w:t>
      </w:r>
    </w:p>
    <w:p w14:paraId="3EBE38D5" w14:textId="65C10B1E" w:rsidR="004924BF" w:rsidRDefault="004924BF" w:rsidP="004924BF">
      <w:pPr>
        <w:pStyle w:val="Behzottbekezdsnmhh"/>
      </w:pPr>
      <w:r w:rsidRPr="004924BF">
        <w:t>A BB</w:t>
      </w:r>
      <w:r w:rsidR="00826090">
        <w:t xml:space="preserve"> </w:t>
      </w:r>
      <w:r w:rsidRPr="004924BF">
        <w:t xml:space="preserve">PPDR és a szélessávú földi mozgószolgálati alkalmazások CEPT szinten harmonizált rádióspektrum-használati lehetőségeit a 3GPP sávokkal összehasonlítva a </w:t>
      </w:r>
      <w:r w:rsidRPr="004924BF">
        <w:fldChar w:fldCharType="begin"/>
      </w:r>
      <w:r w:rsidRPr="004924BF">
        <w:instrText xml:space="preserve"> REF _Ref89862738 \h </w:instrText>
      </w:r>
      <w:r>
        <w:instrText xml:space="preserve"> \* MERGEFORMAT </w:instrText>
      </w:r>
      <w:r w:rsidRPr="004924BF">
        <w:fldChar w:fldCharType="separate"/>
      </w:r>
      <w:r w:rsidR="00282CC6">
        <w:t>4</w:t>
      </w:r>
      <w:r w:rsidRPr="004924BF">
        <w:t>. ábra</w:t>
      </w:r>
      <w:r w:rsidRPr="004924BF">
        <w:fldChar w:fldCharType="end"/>
      </w:r>
      <w:r w:rsidRPr="004924BF">
        <w:t xml:space="preserve"> szemlélteti.</w:t>
      </w:r>
    </w:p>
    <w:p w14:paraId="22971D98" w14:textId="77777777" w:rsidR="004924BF" w:rsidRDefault="004924BF" w:rsidP="004924BF">
      <w:pPr>
        <w:pStyle w:val="Behzottbekezdsnmhh"/>
      </w:pPr>
      <w:r w:rsidRPr="004F0F8E">
        <w:rPr>
          <w:noProof/>
          <w:color w:val="auto"/>
          <w:lang w:eastAsia="hu-HU"/>
        </w:rPr>
        <w:lastRenderedPageBreak/>
        <w:drawing>
          <wp:inline distT="0" distB="0" distL="0" distR="0" wp14:anchorId="60485E81" wp14:editId="535E6A22">
            <wp:extent cx="5760000" cy="1967417"/>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t="14043"/>
                    <a:stretch/>
                  </pic:blipFill>
                  <pic:spPr bwMode="auto">
                    <a:xfrm>
                      <a:off x="0" y="0"/>
                      <a:ext cx="5760000" cy="1967417"/>
                    </a:xfrm>
                    <a:prstGeom prst="rect">
                      <a:avLst/>
                    </a:prstGeom>
                    <a:noFill/>
                    <a:ln>
                      <a:noFill/>
                    </a:ln>
                    <a:extLst>
                      <a:ext uri="{53640926-AAD7-44D8-BBD7-CCE9431645EC}">
                        <a14:shadowObscured xmlns:a14="http://schemas.microsoft.com/office/drawing/2010/main"/>
                      </a:ext>
                    </a:extLst>
                  </pic:spPr>
                </pic:pic>
              </a:graphicData>
            </a:graphic>
          </wp:inline>
        </w:drawing>
      </w:r>
    </w:p>
    <w:p w14:paraId="1A571E5F" w14:textId="77777777" w:rsidR="00282CC6" w:rsidRDefault="000965E6" w:rsidP="00282CC6">
      <w:pPr>
        <w:pStyle w:val="Kpalrs"/>
      </w:pPr>
      <w:r>
        <w:fldChar w:fldCharType="begin"/>
      </w:r>
      <w:r>
        <w:instrText xml:space="preserve"> SEQ ábra \* ARABIC </w:instrText>
      </w:r>
      <w:r>
        <w:fldChar w:fldCharType="separate"/>
      </w:r>
      <w:r w:rsidR="00EA1A9D">
        <w:rPr>
          <w:noProof/>
        </w:rPr>
        <w:t>4</w:t>
      </w:r>
      <w:r>
        <w:rPr>
          <w:noProof/>
        </w:rPr>
        <w:fldChar w:fldCharType="end"/>
      </w:r>
      <w:r w:rsidR="00282CC6">
        <w:t xml:space="preserve">. ábra – </w:t>
      </w:r>
      <w:r w:rsidR="00282CC6" w:rsidRPr="00282CC6">
        <w:t>BB-PPDR és a földi mozgószolgált lehetőségei a szabványosított 3GPP sávokkal összehasonlítva</w:t>
      </w:r>
    </w:p>
    <w:p w14:paraId="1B34E74C" w14:textId="77777777" w:rsidR="00282CC6" w:rsidRDefault="00282CC6" w:rsidP="00282CC6">
      <w:pPr>
        <w:ind w:firstLine="357"/>
        <w:rPr>
          <w:color w:val="43525A"/>
          <w:sz w:val="20"/>
          <w:szCs w:val="20"/>
        </w:rPr>
      </w:pPr>
      <w:r w:rsidRPr="00282CC6">
        <w:rPr>
          <w:color w:val="43525A"/>
          <w:sz w:val="20"/>
          <w:szCs w:val="20"/>
        </w:rPr>
        <w:t>A 450-457,38/460-467,38 MHz frekvenciasávrész jogosultság lejárta utáni időszakra vonatkozó hasznosítása szempontjából a szomszédos frekvenciasávban üzemelő PMR rendszereket is figyelembe kell venni, ezért a szélessávú rendszerek csatornájának elhelyezését úgy kell megválasztani, hogy biztosítva legyen a vasúti rendszerek védelme.</w:t>
      </w:r>
    </w:p>
    <w:p w14:paraId="579A1EB5" w14:textId="77777777" w:rsidR="00282CC6" w:rsidRDefault="00282CC6" w:rsidP="004924BF">
      <w:pPr>
        <w:rPr>
          <w:color w:val="43525A"/>
          <w:sz w:val="20"/>
          <w:szCs w:val="20"/>
        </w:rPr>
      </w:pPr>
      <w:r w:rsidRPr="004F0F8E">
        <w:rPr>
          <w:noProof/>
          <w:lang w:eastAsia="hu-HU"/>
        </w:rPr>
        <w:drawing>
          <wp:inline distT="0" distB="0" distL="0" distR="0" wp14:anchorId="681A6A13" wp14:editId="58643EEE">
            <wp:extent cx="5760720" cy="1144905"/>
            <wp:effectExtent l="0" t="0" r="0" b="0"/>
            <wp:docPr id="12" name="Kép 12" descr="D:\Munka\Documents\toth_laszlo\Projektek\2021\52_450MHz_elotajekoztato\Band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unka\Documents\toth_laszlo\Projektek\2021\52_450MHz_elotajekoztato\Band 7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144905"/>
                    </a:xfrm>
                    <a:prstGeom prst="rect">
                      <a:avLst/>
                    </a:prstGeom>
                    <a:noFill/>
                    <a:ln>
                      <a:noFill/>
                    </a:ln>
                  </pic:spPr>
                </pic:pic>
              </a:graphicData>
            </a:graphic>
          </wp:inline>
        </w:drawing>
      </w:r>
    </w:p>
    <w:p w14:paraId="4E98E643" w14:textId="77777777" w:rsidR="00A847D9" w:rsidRDefault="000965E6" w:rsidP="00A847D9">
      <w:pPr>
        <w:pStyle w:val="Kpalrs"/>
        <w:rPr>
          <w:sz w:val="20"/>
          <w:szCs w:val="20"/>
        </w:rPr>
      </w:pPr>
      <w:r>
        <w:fldChar w:fldCharType="begin"/>
      </w:r>
      <w:r>
        <w:instrText xml:space="preserve"> SEQ ábra \* ARABIC </w:instrText>
      </w:r>
      <w:r>
        <w:fldChar w:fldCharType="separate"/>
      </w:r>
      <w:r w:rsidR="00EA1A9D">
        <w:rPr>
          <w:noProof/>
        </w:rPr>
        <w:t>5</w:t>
      </w:r>
      <w:r>
        <w:rPr>
          <w:noProof/>
        </w:rPr>
        <w:fldChar w:fldCharType="end"/>
      </w:r>
      <w:r w:rsidR="00A847D9">
        <w:t xml:space="preserve">. ábra - </w:t>
      </w:r>
      <w:r w:rsidR="00A847D9" w:rsidRPr="00A847D9">
        <w:t>3GPP Band 72 lehetséges felhasználása</w:t>
      </w:r>
    </w:p>
    <w:p w14:paraId="5AC67061" w14:textId="77777777" w:rsidR="00A847D9" w:rsidRDefault="00A847D9" w:rsidP="00A847D9">
      <w:pPr>
        <w:ind w:firstLine="357"/>
        <w:rPr>
          <w:color w:val="43525A"/>
          <w:sz w:val="20"/>
          <w:szCs w:val="20"/>
        </w:rPr>
      </w:pPr>
      <w:r w:rsidRPr="00A847D9">
        <w:rPr>
          <w:color w:val="43525A"/>
          <w:sz w:val="20"/>
          <w:szCs w:val="20"/>
        </w:rPr>
        <w:t xml:space="preserve">A további rádióspektrumhasználat szempontjából </w:t>
      </w:r>
      <w:r w:rsidR="008843A1">
        <w:rPr>
          <w:color w:val="43525A"/>
          <w:sz w:val="20"/>
          <w:szCs w:val="20"/>
        </w:rPr>
        <w:t xml:space="preserve">felmerül </w:t>
      </w:r>
      <w:r w:rsidRPr="00A847D9">
        <w:rPr>
          <w:color w:val="43525A"/>
          <w:sz w:val="20"/>
          <w:szCs w:val="20"/>
        </w:rPr>
        <w:t>a 3GPP Band 31 helyett más lehetséges csatorn</w:t>
      </w:r>
      <w:r w:rsidR="008843A1">
        <w:rPr>
          <w:color w:val="43525A"/>
          <w:sz w:val="20"/>
          <w:szCs w:val="20"/>
        </w:rPr>
        <w:t>a választása</w:t>
      </w:r>
      <w:r w:rsidRPr="00A847D9">
        <w:rPr>
          <w:color w:val="43525A"/>
          <w:sz w:val="20"/>
          <w:szCs w:val="20"/>
        </w:rPr>
        <w:t>, hogy a</w:t>
      </w:r>
      <w:r w:rsidR="008843A1">
        <w:rPr>
          <w:color w:val="43525A"/>
          <w:sz w:val="20"/>
          <w:szCs w:val="20"/>
        </w:rPr>
        <w:t xml:space="preserve"> szélessávú</w:t>
      </w:r>
      <w:r w:rsidRPr="00A847D9">
        <w:rPr>
          <w:color w:val="43525A"/>
          <w:sz w:val="20"/>
          <w:szCs w:val="20"/>
        </w:rPr>
        <w:t xml:space="preserve"> csatorna elhelyezése teljes egészében, védősávokkal együtt lehetséges legyen, és ne legyen átlapolódás a szomszédos frekvenciasávrészekben az alkalmazások között. </w:t>
      </w:r>
    </w:p>
    <w:p w14:paraId="09D2237D" w14:textId="0E02AE56" w:rsidR="00A847D9" w:rsidRDefault="00A847D9" w:rsidP="00A847D9">
      <w:pPr>
        <w:ind w:firstLine="357"/>
        <w:rPr>
          <w:color w:val="43525A"/>
          <w:sz w:val="20"/>
          <w:szCs w:val="20"/>
        </w:rPr>
      </w:pPr>
      <w:r w:rsidRPr="00A847D9">
        <w:rPr>
          <w:color w:val="43525A"/>
          <w:sz w:val="20"/>
          <w:szCs w:val="20"/>
        </w:rPr>
        <w:t>Az említett ECC</w:t>
      </w:r>
      <w:r w:rsidR="00555B54">
        <w:rPr>
          <w:color w:val="43525A"/>
          <w:sz w:val="20"/>
          <w:szCs w:val="20"/>
        </w:rPr>
        <w:t>-</w:t>
      </w:r>
      <w:r w:rsidRPr="00A847D9">
        <w:rPr>
          <w:color w:val="43525A"/>
          <w:sz w:val="20"/>
          <w:szCs w:val="20"/>
        </w:rPr>
        <w:t xml:space="preserve">határozatok és a </w:t>
      </w:r>
      <w:r w:rsidR="008F203D">
        <w:rPr>
          <w:color w:val="43525A"/>
          <w:sz w:val="20"/>
          <w:szCs w:val="20"/>
        </w:rPr>
        <w:t xml:space="preserve">szabványosított </w:t>
      </w:r>
      <w:r w:rsidRPr="00A847D9">
        <w:rPr>
          <w:color w:val="43525A"/>
          <w:sz w:val="20"/>
          <w:szCs w:val="20"/>
        </w:rPr>
        <w:t xml:space="preserve">3GPP </w:t>
      </w:r>
      <w:r w:rsidR="008F203D">
        <w:rPr>
          <w:color w:val="43525A"/>
          <w:sz w:val="20"/>
          <w:szCs w:val="20"/>
        </w:rPr>
        <w:t>csatornák</w:t>
      </w:r>
      <w:r w:rsidRPr="00A847D9">
        <w:rPr>
          <w:color w:val="43525A"/>
          <w:sz w:val="20"/>
          <w:szCs w:val="20"/>
        </w:rPr>
        <w:t xml:space="preserve"> alapján szélessávú alkalmazás céljára </w:t>
      </w:r>
      <w:r w:rsidR="008843A1">
        <w:rPr>
          <w:color w:val="43525A"/>
          <w:sz w:val="20"/>
          <w:szCs w:val="20"/>
        </w:rPr>
        <w:t xml:space="preserve">egy lehetséges megoldás </w:t>
      </w:r>
      <w:r w:rsidRPr="00A847D9">
        <w:rPr>
          <w:color w:val="43525A"/>
          <w:sz w:val="20"/>
          <w:szCs w:val="20"/>
        </w:rPr>
        <w:t xml:space="preserve">a </w:t>
      </w:r>
      <w:r w:rsidR="00555B54">
        <w:rPr>
          <w:color w:val="43525A"/>
          <w:sz w:val="20"/>
          <w:szCs w:val="20"/>
        </w:rPr>
        <w:t xml:space="preserve">3GPP </w:t>
      </w:r>
      <w:r w:rsidRPr="00A847D9">
        <w:rPr>
          <w:color w:val="43525A"/>
          <w:sz w:val="20"/>
          <w:szCs w:val="20"/>
        </w:rPr>
        <w:t>Band 72 használata, szüks</w:t>
      </w:r>
      <w:r>
        <w:rPr>
          <w:color w:val="43525A"/>
          <w:sz w:val="20"/>
          <w:szCs w:val="20"/>
        </w:rPr>
        <w:t xml:space="preserve">ég szerint kiegészítve a </w:t>
      </w:r>
      <w:r w:rsidR="008843A1">
        <w:rPr>
          <w:color w:val="43525A"/>
          <w:sz w:val="20"/>
          <w:szCs w:val="20"/>
        </w:rPr>
        <w:t>szükséges</w:t>
      </w:r>
      <w:r>
        <w:rPr>
          <w:color w:val="43525A"/>
          <w:sz w:val="20"/>
          <w:szCs w:val="20"/>
        </w:rPr>
        <w:t xml:space="preserve"> védősávokkal (5</w:t>
      </w:r>
      <w:r w:rsidRPr="00A847D9">
        <w:rPr>
          <w:color w:val="43525A"/>
          <w:sz w:val="20"/>
          <w:szCs w:val="20"/>
        </w:rPr>
        <w:t>. ábra).</w:t>
      </w:r>
    </w:p>
    <w:p w14:paraId="5DA83B9D" w14:textId="163ECCAF" w:rsidR="00065301" w:rsidRPr="00065301" w:rsidRDefault="009B52D6" w:rsidP="00065301">
      <w:pPr>
        <w:pStyle w:val="Cmsor2szmozottnmhh"/>
      </w:pPr>
      <w:bookmarkStart w:id="12" w:name="_Toc95815173"/>
      <w:r>
        <w:t>Ú</w:t>
      </w:r>
      <w:r w:rsidR="00065301" w:rsidRPr="00065301">
        <w:t xml:space="preserve">jrahasznosítási </w:t>
      </w:r>
      <w:r w:rsidR="004F4BD6">
        <w:t>lehetőségek</w:t>
      </w:r>
      <w:bookmarkEnd w:id="12"/>
    </w:p>
    <w:p w14:paraId="03CD3689" w14:textId="110C4842" w:rsidR="00AB7998" w:rsidRDefault="00065301" w:rsidP="00065301">
      <w:pPr>
        <w:pStyle w:val="Behzottbekezdsnmhh"/>
      </w:pPr>
      <w:r>
        <w:t>A 450 MHz-es frekvenciasávban 2024-ben járnak le a rádióspektrum-használati jogosultságok</w:t>
      </w:r>
      <w:r w:rsidR="009B52D6">
        <w:t>.</w:t>
      </w:r>
      <w:r>
        <w:t xml:space="preserve"> A frekvenciasáv lejáratot követő időszakra vonatkozó használatáról a szabályozó megújult szabályozási környezetben, új elvek, új eljárási szabályok mentén kell, hogy döntsön, köszönhetően az Európai Elektronikus Hírközlési Kódex (a továbbiakban: Kódex</w:t>
      </w:r>
      <w:r w:rsidR="009B6BAD" w:rsidRPr="00826090">
        <w:rPr>
          <w:vertAlign w:val="superscript"/>
        </w:rPr>
        <w:footnoteReference w:id="15"/>
      </w:r>
      <w:r>
        <w:t>) hazai jogrendbe ültetésének</w:t>
      </w:r>
      <w:r w:rsidR="00AB7998">
        <w:t xml:space="preserve">. </w:t>
      </w:r>
      <w:r w:rsidR="00AB7998" w:rsidRPr="00534898">
        <w:t>A megújítás jogintézménye megjelenik az elektronikus hírközlésről szóló 2003. évi C. törvény (</w:t>
      </w:r>
      <w:r w:rsidR="005E7786">
        <w:t xml:space="preserve">azaz az </w:t>
      </w:r>
      <w:bookmarkStart w:id="13" w:name="_GoBack"/>
      <w:bookmarkEnd w:id="13"/>
      <w:r w:rsidR="00AB7998" w:rsidRPr="00534898">
        <w:t>Eht.) szintjén, de a részletszabályokat a polgári frekvenciagazdálkodás egyes hatósági eljárásairól szóló 7/2012. (I.</w:t>
      </w:r>
      <w:r w:rsidR="008F0CA0">
        <w:t> </w:t>
      </w:r>
      <w:r w:rsidR="00AB7998" w:rsidRPr="00534898">
        <w:t xml:space="preserve">26.) NMHH rendelet (a továbbiakban: Pfgr.) 34/D-34/G. §-a tartalmazza. </w:t>
      </w:r>
      <w:r>
        <w:t xml:space="preserve">A Hivatal, mint felelős rádióspektrum-gazdálkodó egy-egy frekvenciasáv egészére és a frekvenciasáv(ok)ban fennálló valamennyi rádióspektrum-használati jogosultságra tekintettel hoz döntést a megújítás esetén. Az </w:t>
      </w:r>
      <w:r>
        <w:lastRenderedPageBreak/>
        <w:t>eljárás indulhat kérelemre vagy hivatalból. A rádióspektrum-használati jogosultság megújítására irányuló kérelmet a jogosult a rádióspektrum-használati jogosultságának lejárata előtt legkorábban 5 évvel, legkésőbb 28 hónappal nyújthatja be a Hivatalhoz</w:t>
      </w:r>
      <w:r w:rsidR="008F0CA0">
        <w:t>. A 450 MHz-es frekvenciasá</w:t>
      </w:r>
      <w:r w:rsidR="00C456D4">
        <w:t>v</w:t>
      </w:r>
      <w:r w:rsidR="008F0CA0">
        <w:t>ban jogosultsággal ren</w:t>
      </w:r>
      <w:r w:rsidR="00C456D4">
        <w:t>d</w:t>
      </w:r>
      <w:r w:rsidR="008F0CA0">
        <w:t>elkező jogosult határidőben benyújtotta megújítás irán</w:t>
      </w:r>
      <w:r w:rsidR="008A4082">
        <w:t>t</w:t>
      </w:r>
      <w:r w:rsidR="008F0CA0">
        <w:t>i igényéről szóló kérelmét.</w:t>
      </w:r>
    </w:p>
    <w:p w14:paraId="275BDF9A" w14:textId="0F94CF71" w:rsidR="00AB7998" w:rsidRDefault="00AB7998" w:rsidP="00065301">
      <w:pPr>
        <w:pStyle w:val="Behzottbekezdsnmhh"/>
      </w:pPr>
      <w:r w:rsidRPr="0053482B">
        <w:t>Ha a rádióspektrum-használati jogosultság szerzésekor a megújítás lehetősége nem volt kizárva, a rádióspektrum-használati jogosultság a Hivatal mérlegelése alapján versenyeztetési eljárás lefolytatása nélkül megszerezhető legfeljebb 15 évre, amely egy alkalommal legfeljebb 5 évvel meghosszabbítható. Először a megújítás lehetőségét vizsgálja a Hivatal. Amennyiben lehetséges a m</w:t>
      </w:r>
      <w:r>
        <w:t>e</w:t>
      </w:r>
      <w:r w:rsidRPr="0053482B">
        <w:t>gújítás</w:t>
      </w:r>
      <w:r>
        <w:t>,</w:t>
      </w:r>
      <w:r w:rsidRPr="0053482B">
        <w:t xml:space="preserve"> a megújítás szükségességét kell értékelni. Annak értékelésekor, hogy szükség van-e a jogok megújítására, az odaítélt jogok megújítása által a versenyre gyakorolt hatást kell összevetni azzal a hatással, amely a hatékonyabb kiaknázás vagy új, innovatív használati módok előmozdítása révén lenne elérhető akkor, ha a sáv új frekvenciahasználati mód, új jogosult előtt nyílna meg. Természetesen a piaci igényeket is fel kell mérni, és mérlegelni kell azok megalapozottságát.</w:t>
      </w:r>
      <w:r>
        <w:t xml:space="preserve"> </w:t>
      </w:r>
      <w:r w:rsidR="00065301" w:rsidRPr="00065301">
        <w:t xml:space="preserve">Minden olyan esetben, amikor a megújítás nem lehetséges, nem szükséges, vagy nem tud megvalósulni (például nem vállalja a feltételeket a kérelmező), </w:t>
      </w:r>
      <w:r>
        <w:t>egyéb újrahasznosítási eljárás</w:t>
      </w:r>
      <w:r w:rsidR="00065301" w:rsidRPr="00065301">
        <w:t xml:space="preserve"> lehetséges. </w:t>
      </w:r>
    </w:p>
    <w:p w14:paraId="1A03E1A3" w14:textId="31B48B9A" w:rsidR="00065301" w:rsidRDefault="00065301" w:rsidP="00065301">
      <w:pPr>
        <w:pStyle w:val="Behzottbekezdsnmhh"/>
        <w:sectPr w:rsidR="00065301" w:rsidSect="00F52D89">
          <w:pgSz w:w="11906" w:h="16838"/>
          <w:pgMar w:top="1417" w:right="1417" w:bottom="1417" w:left="1417" w:header="1417" w:footer="709" w:gutter="0"/>
          <w:cols w:space="708"/>
          <w:docGrid w:linePitch="360"/>
        </w:sectPr>
      </w:pPr>
      <w:r w:rsidRPr="00065301">
        <w:t>A 450 MHz-es frekvenciasáv esetében jelentős szerepet játszik a Kormány BB</w:t>
      </w:r>
      <w:r w:rsidR="00255429">
        <w:t>-</w:t>
      </w:r>
      <w:r w:rsidRPr="00065301">
        <w:t>PPDR-ral kapcsolatos elképzelése</w:t>
      </w:r>
      <w:r>
        <w:t>.</w:t>
      </w:r>
    </w:p>
    <w:p w14:paraId="21F3D766" w14:textId="77777777" w:rsidR="00065301" w:rsidRDefault="00065301" w:rsidP="00A847D9">
      <w:pPr>
        <w:ind w:firstLine="357"/>
        <w:rPr>
          <w:color w:val="43525A"/>
          <w:sz w:val="20"/>
          <w:szCs w:val="20"/>
        </w:rPr>
      </w:pPr>
    </w:p>
    <w:p w14:paraId="229B2BD7" w14:textId="3A84DE57" w:rsidR="000F6623" w:rsidRDefault="000F6623" w:rsidP="000F6623">
      <w:pPr>
        <w:pStyle w:val="Cmsor1szmozottnmhh"/>
      </w:pPr>
      <w:bookmarkStart w:id="14" w:name="_Toc95815174"/>
      <w:r>
        <w:t>Nemzetközi koordináció helyzete</w:t>
      </w:r>
      <w:bookmarkEnd w:id="14"/>
    </w:p>
    <w:p w14:paraId="35ED8B08" w14:textId="7DFB9506" w:rsidR="00796CA1" w:rsidRDefault="00226C38" w:rsidP="00796CA1">
      <w:pPr>
        <w:pStyle w:val="Behzottbekezdsnmhh"/>
      </w:pPr>
      <w:r w:rsidRPr="00226C38">
        <w:t>A 450 MHz-es frekvenciasávra jelenleg három érvényes nemzetközi koordinációs megállapodással rendelkezünk a szomszédos országokkal, Ausztria, Horvátország, Szlovénia, Szlovákia és Ukrajna viszonylatában. Szerbiával és Romániával nem rendelkezünk koordinációs megállapodással ebben a frekvenciasávban. A megkötött megállapodások a keskenysávú rendszerek és a CDMA határövezeti helyzetét kezelik 1,25 MHz sávszélességig, nem tartalmazzák az 5 MHz-es rendszerek koordinációs feltételeit.</w:t>
      </w:r>
    </w:p>
    <w:p w14:paraId="74FB8706" w14:textId="77777777" w:rsidR="004D1525" w:rsidRDefault="001128FA" w:rsidP="00796CA1">
      <w:pPr>
        <w:pStyle w:val="Behzottbekezdsnmhh"/>
      </w:pPr>
      <w:r>
        <w:rPr>
          <w:noProof/>
          <w:lang w:eastAsia="hu-HU"/>
        </w:rPr>
        <w:drawing>
          <wp:inline distT="0" distB="0" distL="0" distR="0" wp14:anchorId="18CF1D1C" wp14:editId="5C9C7D2F">
            <wp:extent cx="5491711" cy="2107359"/>
            <wp:effectExtent l="0" t="0" r="0" b="762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9285" cy="2117940"/>
                    </a:xfrm>
                    <a:prstGeom prst="rect">
                      <a:avLst/>
                    </a:prstGeom>
                    <a:noFill/>
                  </pic:spPr>
                </pic:pic>
              </a:graphicData>
            </a:graphic>
          </wp:inline>
        </w:drawing>
      </w:r>
    </w:p>
    <w:p w14:paraId="7077D834" w14:textId="32E48673" w:rsidR="00ED346D" w:rsidRDefault="000965E6" w:rsidP="00ED346D">
      <w:pPr>
        <w:pStyle w:val="Kpalrs"/>
      </w:pPr>
      <w:r>
        <w:fldChar w:fldCharType="begin"/>
      </w:r>
      <w:r>
        <w:instrText xml:space="preserve"> SEQ ábra \* ARABIC </w:instrText>
      </w:r>
      <w:r>
        <w:fldChar w:fldCharType="separate"/>
      </w:r>
      <w:r w:rsidR="00EA1A9D">
        <w:rPr>
          <w:noProof/>
        </w:rPr>
        <w:t>7</w:t>
      </w:r>
      <w:r>
        <w:rPr>
          <w:noProof/>
        </w:rPr>
        <w:fldChar w:fldCharType="end"/>
      </w:r>
      <w:r w:rsidR="00ED346D">
        <w:t xml:space="preserve">. </w:t>
      </w:r>
      <w:r w:rsidR="00826090">
        <w:t>táblázat</w:t>
      </w:r>
      <w:r w:rsidR="00826090">
        <w:t xml:space="preserve"> </w:t>
      </w:r>
      <w:r w:rsidR="00ED346D">
        <w:t>– Koordinációs megállapodások a 450-470 MHz frekvenciasávban a szomszédos országokkal</w:t>
      </w:r>
    </w:p>
    <w:p w14:paraId="40AE39CD" w14:textId="1007FD09" w:rsidR="005E6E3F" w:rsidRDefault="005E6E3F" w:rsidP="005E6E3F">
      <w:pPr>
        <w:pStyle w:val="Behzottbekezdsnmhh"/>
      </w:pPr>
      <w:r w:rsidRPr="005E6E3F">
        <w:t xml:space="preserve">2019 végén Szlovénia kezdeményezésére Ausztria és Horvátország bevonásával megkezdődött egy olyan négyoldalú megállapodástervezet kidolgozása, amely már tartalmazza az 5 MHz-es LTE rendszereket is. Az 5 MHz-es rendszerekre vonatkozó megállapodások megkötése szempontjából fontosak a hazai </w:t>
      </w:r>
      <w:r w:rsidR="00B27386">
        <w:t>rádióspektrum-használat</w:t>
      </w:r>
      <w:r w:rsidR="00B27386" w:rsidRPr="005E6E3F">
        <w:t xml:space="preserve"> </w:t>
      </w:r>
      <w:r w:rsidRPr="005E6E3F">
        <w:t xml:space="preserve">jövőjével kapcsolatos tervek ismerete, különösen tekintettel a szélessávú csatorna frekvenciasávon belüli elhelyezésére. </w:t>
      </w:r>
    </w:p>
    <w:p w14:paraId="76EC5180" w14:textId="6AB258E8" w:rsidR="00ED346D" w:rsidRDefault="005E6E3F" w:rsidP="00ED346D">
      <w:pPr>
        <w:pStyle w:val="Behzottbekezdsnmhh"/>
      </w:pPr>
      <w:r w:rsidRPr="005E6E3F">
        <w:t xml:space="preserve">A határövezeti rádióspektrum-használatra vonatkozó nemzetközi koordinációs feltételeket </w:t>
      </w:r>
      <w:r w:rsidR="00C24D60">
        <w:t xml:space="preserve">a </w:t>
      </w:r>
      <w:r w:rsidRPr="005E6E3F">
        <w:t xml:space="preserve">T/R 25-08 </w:t>
      </w:r>
      <w:r w:rsidR="00B27386">
        <w:t>A</w:t>
      </w:r>
      <w:r w:rsidRPr="005E6E3F">
        <w:t>jánlás</w:t>
      </w:r>
      <w:r w:rsidRPr="005E6E3F">
        <w:rPr>
          <w:vertAlign w:val="superscript"/>
        </w:rPr>
        <w:footnoteReference w:id="16"/>
      </w:r>
      <w:r w:rsidRPr="005E6E3F">
        <w:t xml:space="preserve"> tartalmazza. Ez a dokumentum részben kezeli a keskenysávú és szélessávú rendszerek közötti koordinációs feltételeket, azonban nem tartalmaz minden, gyakorlatban előforduló esetet.</w:t>
      </w:r>
    </w:p>
    <w:p w14:paraId="7F5B057D" w14:textId="77777777" w:rsidR="00826090" w:rsidRDefault="00826090">
      <w:pPr>
        <w:spacing w:after="200"/>
        <w:jc w:val="left"/>
        <w:rPr>
          <w:color w:val="43525A"/>
          <w:sz w:val="20"/>
          <w:szCs w:val="20"/>
        </w:rPr>
      </w:pPr>
      <w:r>
        <w:br w:type="page"/>
      </w:r>
    </w:p>
    <w:p w14:paraId="62FF8825" w14:textId="77777777" w:rsidR="005175D7" w:rsidRDefault="00D046E2" w:rsidP="005175D7">
      <w:pPr>
        <w:pStyle w:val="Cmsor1szmozottnmhh"/>
      </w:pPr>
      <w:bookmarkStart w:id="15" w:name="_Toc95815175"/>
      <w:r>
        <w:lastRenderedPageBreak/>
        <w:t>R</w:t>
      </w:r>
      <w:r w:rsidR="005175D7">
        <w:t>ádióspektrumdíjak</w:t>
      </w:r>
      <w:bookmarkEnd w:id="15"/>
    </w:p>
    <w:p w14:paraId="0016DBF8" w14:textId="77777777" w:rsidR="00A60586" w:rsidRDefault="00A60586" w:rsidP="00A60586">
      <w:pPr>
        <w:pStyle w:val="Behzottbekezdsnmhh"/>
        <w:spacing w:after="0"/>
      </w:pPr>
      <w:r>
        <w:t>A rendszeres rádióspektrumdíj számítási módszerét a frekvencialekötés és -használat díjáról szóló 1/2011. (III. 31.) NMHH rendelet (a továbbiakban: Díjrendelet) írja le. Az NFFF alapján blokkgazdálkodás körébe tartozó, szolgáltatás célú és versenyeztetési eljárás eredményeként, a rádióspektrum-használati jogosultság meghosszabbítása eredményeként vagy a rádióspektrum-használati jogosultság megújítása eredményeként szerzett, valamint a szerzést követően továbbértékesített rádióspektrum esetén a rádióspektrum-használati jogosultság időtartama alatt a jogosítottnak a rádióengedély érvényességének a frekvenciahasználati jogosultság megszerzését szolgáló árverés és pályázat szabályairól szóló 4/2011. (X. 6.) NMHH rendelet 22. § (3) bekezdésében meghatározott legkorábbi időpontjától a rádióspektrum-használati jogot szerzőnek havonta sávdíjat kell fizetnie.</w:t>
      </w:r>
    </w:p>
    <w:p w14:paraId="08017B7C" w14:textId="77777777" w:rsidR="00A60586" w:rsidRDefault="00A60586" w:rsidP="00FC7EE8">
      <w:pPr>
        <w:pStyle w:val="Behzottbekezdsnmhh"/>
        <w:spacing w:after="0"/>
      </w:pPr>
      <w:r>
        <w:t xml:space="preserve">A fizetendő sávdíj képzési szabályát a Díjrendeletben a “Blokkgazdálkodás körébe tartozó sávok után fizetendő díjak” címmel szereplő 20. § és a 9. számú melléklet tartalmazza. A sávdíj megállapításához az egységdíjat meg kell szorozni az értékesített, megszerzett sávok kHz-ben kifejezett összegével és a sávszorzóval. Duplex sáv esetén az értékesített, megszerzett sávok mennyiségének meghatározásakor a sáv mindkét részét figyelembe kell venni. </w:t>
      </w:r>
    </w:p>
    <w:p w14:paraId="3BEAF4FA" w14:textId="460B4025" w:rsidR="00A60586" w:rsidRDefault="00A60586" w:rsidP="00FC7EE8">
      <w:pPr>
        <w:pStyle w:val="Behzottbekezdsnmhh"/>
        <w:spacing w:after="0"/>
      </w:pPr>
      <w:r>
        <w:t xml:space="preserve">A 450 MHz-es </w:t>
      </w:r>
      <w:r w:rsidR="0079538D">
        <w:t>frekvencia</w:t>
      </w:r>
      <w:r>
        <w:t xml:space="preserve">sávra vonatkozó sávdíjat meghatározó tényezők a következők: </w:t>
      </w:r>
    </w:p>
    <w:p w14:paraId="3FC4F368" w14:textId="7D831AD9" w:rsidR="00A60586" w:rsidRDefault="00A60586" w:rsidP="00FC7EE8">
      <w:pPr>
        <w:pStyle w:val="Behzottbekezdsnmhh"/>
        <w:spacing w:after="0"/>
      </w:pPr>
      <w:r>
        <w:t>•</w:t>
      </w:r>
      <w:r>
        <w:tab/>
        <w:t xml:space="preserve">országos sávhasználat esetére a 450-470 MHz sávra megállapított sávszorzó értéke 0,4, </w:t>
      </w:r>
    </w:p>
    <w:p w14:paraId="01BAA338" w14:textId="77777777" w:rsidR="00A60586" w:rsidRDefault="00A60586" w:rsidP="00FC7EE8">
      <w:pPr>
        <w:pStyle w:val="Behzottbekezdsnmhh"/>
        <w:spacing w:after="0"/>
      </w:pPr>
      <w:r>
        <w:t>•</w:t>
      </w:r>
      <w:r>
        <w:tab/>
        <w:t>egységdíj 6500 Ft/kHz/hó,</w:t>
      </w:r>
    </w:p>
    <w:p w14:paraId="701444ED" w14:textId="29A9EC79" w:rsidR="005175D7" w:rsidRDefault="00A60586" w:rsidP="00FC7EE8">
      <w:pPr>
        <w:pStyle w:val="Behzottbekezdsnmhh"/>
        <w:spacing w:after="0"/>
      </w:pPr>
      <w:r>
        <w:t>•</w:t>
      </w:r>
      <w:r>
        <w:tab/>
        <w:t>elsődleges kormányzati célú távközlést megvalósító hálózatokra a Díjrendelet 2.</w:t>
      </w:r>
      <w:r w:rsidR="008F0CA0">
        <w:t xml:space="preserve"> </w:t>
      </w:r>
      <w:r>
        <w:t xml:space="preserve">§ (5) </w:t>
      </w:r>
      <w:r w:rsidR="008F0CA0">
        <w:t xml:space="preserve">bekezdése </w:t>
      </w:r>
      <w:r>
        <w:t>alapján 50%-os díjfizetési kedvezmény van érvényben.</w:t>
      </w:r>
    </w:p>
    <w:p w14:paraId="54A53109" w14:textId="77777777" w:rsidR="00A60586" w:rsidRDefault="00A60586" w:rsidP="00FC7EE8">
      <w:pPr>
        <w:pStyle w:val="Behzottbekezdsnmhh"/>
        <w:spacing w:after="0"/>
      </w:pPr>
    </w:p>
    <w:p w14:paraId="34B48474" w14:textId="77777777" w:rsidR="00EA1A9D" w:rsidRPr="00EA1A9D" w:rsidRDefault="00EA1A9D" w:rsidP="00826090">
      <w:pPr>
        <w:pStyle w:val="Lista1nmhh"/>
        <w:numPr>
          <w:ilvl w:val="0"/>
          <w:numId w:val="0"/>
        </w:numPr>
        <w:contextualSpacing w:val="0"/>
        <w:jc w:val="left"/>
      </w:pPr>
      <w:bookmarkStart w:id="16" w:name="_Toc95815314"/>
      <w:bookmarkStart w:id="17" w:name="_Toc95815343"/>
      <w:bookmarkStart w:id="18" w:name="_Toc95815351"/>
      <w:bookmarkStart w:id="19" w:name="_Toc95815359"/>
      <w:bookmarkStart w:id="20" w:name="_Toc95815367"/>
      <w:bookmarkStart w:id="21" w:name="_Toc95815375"/>
      <w:bookmarkStart w:id="22" w:name="_Toc95815385"/>
      <w:bookmarkStart w:id="23" w:name="_Toc95815393"/>
      <w:bookmarkStart w:id="24" w:name="_Toc95815422"/>
      <w:bookmarkStart w:id="25" w:name="_Toc95815430"/>
      <w:bookmarkStart w:id="26" w:name="_Toc95815438"/>
      <w:bookmarkStart w:id="27" w:name="_Toc95815467"/>
      <w:bookmarkStart w:id="28" w:name="_Toc95815475"/>
      <w:bookmarkStart w:id="29" w:name="_Toc95815500"/>
      <w:bookmarkStart w:id="30" w:name="_Toc95815513"/>
      <w:bookmarkStart w:id="31" w:name="_Toc95815522"/>
      <w:bookmarkStart w:id="32" w:name="_Toc95815538"/>
      <w:bookmarkStart w:id="33" w:name="_Toc95815551"/>
      <w:bookmarkStart w:id="34" w:name="_Toc95815563"/>
      <w:bookmarkStart w:id="35" w:name="_Toc95815571"/>
      <w:bookmarkStart w:id="36" w:name="_Toc95815579"/>
      <w:bookmarkStart w:id="37" w:name="_Toc95815616"/>
      <w:bookmarkStart w:id="38" w:name="_Toc95815624"/>
      <w:bookmarkStart w:id="39" w:name="_Toc95815632"/>
      <w:bookmarkStart w:id="40" w:name="_Toc95815657"/>
      <w:bookmarkStart w:id="41" w:name="_Toc95815670"/>
      <w:bookmarkStart w:id="42" w:name="_Toc95815679"/>
      <w:bookmarkStart w:id="43" w:name="_Toc95815695"/>
      <w:bookmarkStart w:id="44" w:name="_Toc95815708"/>
      <w:bookmarkStart w:id="45" w:name="_Toc95815728"/>
      <w:bookmarkStart w:id="46" w:name="_Toc95815736"/>
      <w:bookmarkStart w:id="47" w:name="_Toc9581574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sectPr w:rsidR="00EA1A9D" w:rsidRPr="00EA1A9D" w:rsidSect="00826090">
      <w:pgSz w:w="11906" w:h="16838"/>
      <w:pgMar w:top="1417" w:right="1417" w:bottom="1417" w:left="1417" w:header="141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782D" w14:textId="77777777" w:rsidR="00DB6490" w:rsidRDefault="00DB6490">
      <w:pPr>
        <w:spacing w:after="0" w:line="240" w:lineRule="auto"/>
      </w:pPr>
      <w:r>
        <w:separator/>
      </w:r>
    </w:p>
  </w:endnote>
  <w:endnote w:type="continuationSeparator" w:id="0">
    <w:p w14:paraId="5C8912DA" w14:textId="77777777" w:rsidR="00DB6490" w:rsidRDefault="00DB6490">
      <w:pPr>
        <w:spacing w:after="0" w:line="240" w:lineRule="auto"/>
      </w:pPr>
      <w:r>
        <w:continuationSeparator/>
      </w:r>
    </w:p>
  </w:endnote>
  <w:endnote w:type="continuationNotice" w:id="1">
    <w:p w14:paraId="060D6920" w14:textId="77777777" w:rsidR="00DB6490" w:rsidRDefault="00DB6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Content>
      <w:p w14:paraId="1EF7A022" w14:textId="3BA913F5" w:rsidR="000965E6" w:rsidRDefault="000965E6">
        <w:pPr>
          <w:pStyle w:val="llb"/>
          <w:jc w:val="left"/>
          <w:rPr>
            <w:color w:val="43525A"/>
          </w:rPr>
        </w:pPr>
        <w:r>
          <w:rPr>
            <w:color w:val="43525A"/>
          </w:rPr>
          <w:fldChar w:fldCharType="begin"/>
        </w:r>
        <w:r>
          <w:rPr>
            <w:color w:val="43525A"/>
          </w:rPr>
          <w:instrText>PAGE   \* MERGEFORMAT</w:instrText>
        </w:r>
        <w:r>
          <w:rPr>
            <w:color w:val="43525A"/>
          </w:rPr>
          <w:fldChar w:fldCharType="separate"/>
        </w:r>
        <w:r w:rsidR="005E7786">
          <w:rPr>
            <w:noProof/>
            <w:color w:val="43525A"/>
          </w:rPr>
          <w:t>12</w:t>
        </w:r>
        <w:r>
          <w:rPr>
            <w:color w:val="43525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1ABE82BC" w14:textId="00E4422B" w:rsidR="000965E6" w:rsidRDefault="000965E6">
        <w:pPr>
          <w:pStyle w:val="llb"/>
          <w:jc w:val="right"/>
          <w:rPr>
            <w:color w:val="43525A"/>
          </w:rPr>
        </w:pPr>
        <w:r>
          <w:rPr>
            <w:color w:val="43525A"/>
          </w:rPr>
          <w:fldChar w:fldCharType="begin"/>
        </w:r>
        <w:r>
          <w:rPr>
            <w:color w:val="43525A"/>
          </w:rPr>
          <w:instrText>PAGE   \* MERGEFORMAT</w:instrText>
        </w:r>
        <w:r>
          <w:rPr>
            <w:color w:val="43525A"/>
          </w:rPr>
          <w:fldChar w:fldCharType="separate"/>
        </w:r>
        <w:r w:rsidR="005E7786">
          <w:rPr>
            <w:noProof/>
            <w:color w:val="43525A"/>
          </w:rPr>
          <w:t>11</w:t>
        </w:r>
        <w:r>
          <w:rPr>
            <w:color w:val="43525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9EFE" w14:textId="77777777" w:rsidR="00DB6490" w:rsidRDefault="00DB6490">
      <w:pPr>
        <w:spacing w:after="0" w:line="240" w:lineRule="auto"/>
      </w:pPr>
      <w:r>
        <w:separator/>
      </w:r>
    </w:p>
  </w:footnote>
  <w:footnote w:type="continuationSeparator" w:id="0">
    <w:p w14:paraId="2D2FDBD5" w14:textId="77777777" w:rsidR="00DB6490" w:rsidRDefault="00DB6490">
      <w:pPr>
        <w:spacing w:after="0" w:line="240" w:lineRule="auto"/>
      </w:pPr>
      <w:r>
        <w:continuationSeparator/>
      </w:r>
    </w:p>
  </w:footnote>
  <w:footnote w:type="continuationNotice" w:id="1">
    <w:p w14:paraId="535FFF72" w14:textId="77777777" w:rsidR="00DB6490" w:rsidRDefault="00DB6490">
      <w:pPr>
        <w:spacing w:after="0" w:line="240" w:lineRule="auto"/>
      </w:pPr>
    </w:p>
  </w:footnote>
  <w:footnote w:id="2">
    <w:p w14:paraId="0570D3A7" w14:textId="7F81489B" w:rsidR="008409F3" w:rsidRPr="0058365A" w:rsidRDefault="008409F3">
      <w:pPr>
        <w:pStyle w:val="Lbjegyzetszveg"/>
        <w:rPr>
          <w:sz w:val="16"/>
          <w:szCs w:val="16"/>
        </w:rPr>
      </w:pPr>
      <w:r w:rsidRPr="0058365A">
        <w:rPr>
          <w:rStyle w:val="Lbjegyzet-hivatkozs"/>
          <w:sz w:val="16"/>
          <w:szCs w:val="16"/>
        </w:rPr>
        <w:footnoteRef/>
      </w:r>
      <w:r w:rsidRPr="0058365A">
        <w:rPr>
          <w:sz w:val="16"/>
          <w:szCs w:val="16"/>
        </w:rPr>
        <w:t xml:space="preserve"> </w:t>
      </w:r>
      <w:r w:rsidRPr="0058365A">
        <w:rPr>
          <w:sz w:val="16"/>
          <w:szCs w:val="16"/>
        </w:rPr>
        <w:t>közrendvédelem és katasztrófavédelem – Public Protection and Disaster Relief, PPDR</w:t>
      </w:r>
    </w:p>
  </w:footnote>
  <w:footnote w:id="3">
    <w:p w14:paraId="522F0413" w14:textId="0D1C1D8E" w:rsidR="000965E6" w:rsidRPr="00DA148E" w:rsidRDefault="000965E6">
      <w:pPr>
        <w:pStyle w:val="Lbjegyzetszveg"/>
        <w:rPr>
          <w:sz w:val="16"/>
          <w:szCs w:val="16"/>
        </w:rPr>
      </w:pPr>
      <w:r w:rsidRPr="00DA148E">
        <w:rPr>
          <w:rStyle w:val="Lbjegyzet-hivatkozs"/>
          <w:sz w:val="16"/>
          <w:szCs w:val="16"/>
        </w:rPr>
        <w:footnoteRef/>
      </w:r>
      <w:r w:rsidRPr="00DA148E">
        <w:rPr>
          <w:sz w:val="16"/>
          <w:szCs w:val="16"/>
        </w:rPr>
        <w:t xml:space="preserve"> </w:t>
      </w:r>
      <w:r>
        <w:rPr>
          <w:sz w:val="16"/>
          <w:szCs w:val="16"/>
        </w:rPr>
        <w:t>P</w:t>
      </w:r>
      <w:r w:rsidRPr="00DA148E">
        <w:rPr>
          <w:sz w:val="16"/>
          <w:szCs w:val="16"/>
        </w:rPr>
        <w:t>MR: Professional/Private Mobile Radio - Professzionális/Magán mozgórádió (pl. vasúti felhasználások)</w:t>
      </w:r>
    </w:p>
  </w:footnote>
  <w:footnote w:id="4">
    <w:p w14:paraId="70BC3C05" w14:textId="0AA69479" w:rsidR="000965E6" w:rsidRDefault="000965E6" w:rsidP="00A41C00">
      <w:pPr>
        <w:pStyle w:val="Lbjegyzetszveg"/>
      </w:pPr>
      <w:r>
        <w:rPr>
          <w:rStyle w:val="Lbjegyzet-hivatkozs"/>
        </w:rPr>
        <w:footnoteRef/>
      </w:r>
      <w:r>
        <w:t xml:space="preserve"> </w:t>
      </w:r>
      <w:r w:rsidRPr="0060328D">
        <w:rPr>
          <w:sz w:val="16"/>
          <w:szCs w:val="16"/>
        </w:rPr>
        <w:t xml:space="preserve">MFCN: Mobile/Fixed Communication Network </w:t>
      </w:r>
      <w:r>
        <w:rPr>
          <w:sz w:val="16"/>
          <w:szCs w:val="16"/>
        </w:rPr>
        <w:t>(M</w:t>
      </w:r>
      <w:r w:rsidRPr="0060328D">
        <w:rPr>
          <w:sz w:val="16"/>
          <w:szCs w:val="16"/>
        </w:rPr>
        <w:t>ozgó és ál</w:t>
      </w:r>
      <w:r>
        <w:rPr>
          <w:sz w:val="16"/>
          <w:szCs w:val="16"/>
        </w:rPr>
        <w:t>landóhelyű hírközlési hálózatok)</w:t>
      </w:r>
    </w:p>
  </w:footnote>
  <w:footnote w:id="5">
    <w:p w14:paraId="165D3B22" w14:textId="2030101A" w:rsidR="000965E6" w:rsidRDefault="000965E6" w:rsidP="003600B4">
      <w:pPr>
        <w:pStyle w:val="Lbjegyzetszveg"/>
      </w:pPr>
      <w:r>
        <w:rPr>
          <w:rStyle w:val="Lbjegyzet-hivatkozs"/>
        </w:rPr>
        <w:footnoteRef/>
      </w:r>
      <w:r>
        <w:t xml:space="preserve"> </w:t>
      </w:r>
      <w:r w:rsidRPr="00C456D4">
        <w:rPr>
          <w:sz w:val="16"/>
          <w:szCs w:val="16"/>
        </w:rPr>
        <w:t xml:space="preserve">Kódosztásos többszörös hozzáférés </w:t>
      </w:r>
      <w:r>
        <w:rPr>
          <w:sz w:val="16"/>
          <w:szCs w:val="16"/>
        </w:rPr>
        <w:t>(</w:t>
      </w:r>
      <w:r w:rsidRPr="00C456D4">
        <w:rPr>
          <w:sz w:val="16"/>
          <w:szCs w:val="16"/>
        </w:rPr>
        <w:t>Code Division Multiple Access</w:t>
      </w:r>
      <w:r>
        <w:rPr>
          <w:sz w:val="16"/>
          <w:szCs w:val="16"/>
        </w:rPr>
        <w:t xml:space="preserve">, azaz CDMA) - </w:t>
      </w:r>
      <w:r w:rsidRPr="003600B4">
        <w:rPr>
          <w:sz w:val="16"/>
          <w:szCs w:val="16"/>
        </w:rPr>
        <w:t>CDMA használatos a digitális cellás telefonrendszerekben, mint többszörös csatorna-hozzáférési rendszer, amelynek az úttörője a Qualcomm volt, és az eljárás W-CDMA néven ismert.</w:t>
      </w:r>
    </w:p>
  </w:footnote>
  <w:footnote w:id="6">
    <w:p w14:paraId="005773F9" w14:textId="77777777" w:rsidR="000965E6" w:rsidRPr="00EB375C" w:rsidRDefault="000965E6">
      <w:pPr>
        <w:pStyle w:val="Lbjegyzetszveg"/>
        <w:rPr>
          <w:sz w:val="16"/>
          <w:szCs w:val="16"/>
        </w:rPr>
      </w:pPr>
      <w:r w:rsidRPr="00EB375C">
        <w:rPr>
          <w:rStyle w:val="Lbjegyzet-hivatkozs"/>
          <w:sz w:val="16"/>
          <w:szCs w:val="16"/>
        </w:rPr>
        <w:footnoteRef/>
      </w:r>
      <w:r w:rsidRPr="00EB375C">
        <w:rPr>
          <w:sz w:val="16"/>
          <w:szCs w:val="16"/>
        </w:rPr>
        <w:t xml:space="preserve"> International Telecommunication Union (Nemzetközi Távközlési Egyesület)</w:t>
      </w:r>
    </w:p>
  </w:footnote>
  <w:footnote w:id="7">
    <w:p w14:paraId="3608B727" w14:textId="339AAF2A" w:rsidR="000965E6" w:rsidRPr="00EB375C" w:rsidRDefault="000965E6">
      <w:pPr>
        <w:pStyle w:val="Lbjegyzetszveg"/>
        <w:rPr>
          <w:sz w:val="16"/>
          <w:szCs w:val="16"/>
        </w:rPr>
      </w:pPr>
      <w:r w:rsidRPr="00EB375C">
        <w:rPr>
          <w:rStyle w:val="Lbjegyzet-hivatkozs"/>
          <w:sz w:val="16"/>
          <w:szCs w:val="16"/>
        </w:rPr>
        <w:footnoteRef/>
      </w:r>
      <w:r w:rsidRPr="00EB375C">
        <w:rPr>
          <w:sz w:val="16"/>
          <w:szCs w:val="16"/>
        </w:rPr>
        <w:t xml:space="preserve"> International Mobile Telecommunication (</w:t>
      </w:r>
      <w:r>
        <w:rPr>
          <w:sz w:val="16"/>
          <w:szCs w:val="16"/>
        </w:rPr>
        <w:t>N</w:t>
      </w:r>
      <w:r w:rsidRPr="00EB375C">
        <w:rPr>
          <w:sz w:val="16"/>
          <w:szCs w:val="16"/>
        </w:rPr>
        <w:t xml:space="preserve">emzetközi </w:t>
      </w:r>
      <w:r>
        <w:rPr>
          <w:sz w:val="16"/>
          <w:szCs w:val="16"/>
        </w:rPr>
        <w:t>Mozgó</w:t>
      </w:r>
      <w:r w:rsidRPr="00EB375C">
        <w:rPr>
          <w:sz w:val="16"/>
          <w:szCs w:val="16"/>
        </w:rPr>
        <w:t xml:space="preserve"> </w:t>
      </w:r>
      <w:r>
        <w:rPr>
          <w:sz w:val="16"/>
          <w:szCs w:val="16"/>
        </w:rPr>
        <w:t>T</w:t>
      </w:r>
      <w:r w:rsidRPr="00EB375C">
        <w:rPr>
          <w:sz w:val="16"/>
          <w:szCs w:val="16"/>
        </w:rPr>
        <w:t>ávközlés)</w:t>
      </w:r>
    </w:p>
  </w:footnote>
  <w:footnote w:id="8">
    <w:p w14:paraId="076726A5" w14:textId="2490BA2B" w:rsidR="000965E6" w:rsidRDefault="000965E6" w:rsidP="00FC7EE8">
      <w:pPr>
        <w:pStyle w:val="Lbjegyzetszvegnmhh"/>
        <w:rPr>
          <w:lang w:val="en-GB"/>
        </w:rPr>
      </w:pPr>
      <w:r>
        <w:rPr>
          <w:rStyle w:val="Lbjegyzet-hivatkozs"/>
        </w:rPr>
        <w:footnoteRef/>
      </w:r>
      <w:r>
        <w:t xml:space="preserve"> </w:t>
      </w:r>
      <w:r>
        <w:rPr>
          <w:lang w:val="en-GB"/>
        </w:rPr>
        <w:t>Recommendation</w:t>
      </w:r>
      <w:r>
        <w:t xml:space="preserve"> ITU-R M.1036-6 (10/2019) – </w:t>
      </w:r>
      <w:r>
        <w:rPr>
          <w:lang w:val="en-GB"/>
        </w:rPr>
        <w:t>Frequency arrangements for implementation of the terrestrial component of International Mobile Telecommunications in the bands identified for IMT in the Radio Regulations</w:t>
      </w:r>
    </w:p>
  </w:footnote>
  <w:footnote w:id="9">
    <w:p w14:paraId="1B4230C8" w14:textId="1EE1311D" w:rsidR="000965E6" w:rsidRPr="00EB375C" w:rsidRDefault="000965E6">
      <w:pPr>
        <w:pStyle w:val="Lbjegyzetszveg"/>
        <w:rPr>
          <w:sz w:val="16"/>
          <w:szCs w:val="16"/>
        </w:rPr>
      </w:pPr>
      <w:r w:rsidRPr="00EB375C">
        <w:rPr>
          <w:rStyle w:val="Lbjegyzet-hivatkozs"/>
          <w:sz w:val="16"/>
          <w:szCs w:val="16"/>
        </w:rPr>
        <w:footnoteRef/>
      </w:r>
      <w:r w:rsidRPr="00EB375C">
        <w:rPr>
          <w:sz w:val="16"/>
          <w:szCs w:val="16"/>
        </w:rPr>
        <w:t xml:space="preserve"> Postai és Távközlési Igazgatások Európai Értekezlete </w:t>
      </w:r>
      <w:r>
        <w:rPr>
          <w:sz w:val="16"/>
          <w:szCs w:val="16"/>
        </w:rPr>
        <w:t>(</w:t>
      </w:r>
      <w:r w:rsidRPr="00EB375C">
        <w:rPr>
          <w:sz w:val="16"/>
          <w:szCs w:val="16"/>
        </w:rPr>
        <w:t>Conférence européenne des Administrations des postes et des télécommunications</w:t>
      </w:r>
      <w:r>
        <w:rPr>
          <w:sz w:val="16"/>
          <w:szCs w:val="16"/>
        </w:rPr>
        <w:t>, CEPT</w:t>
      </w:r>
      <w:r w:rsidRPr="00EB375C">
        <w:rPr>
          <w:sz w:val="16"/>
          <w:szCs w:val="16"/>
        </w:rPr>
        <w:t>)</w:t>
      </w:r>
    </w:p>
  </w:footnote>
  <w:footnote w:id="10">
    <w:p w14:paraId="55561BE8" w14:textId="3BE8C8DF" w:rsidR="000965E6" w:rsidRDefault="000965E6">
      <w:pPr>
        <w:pStyle w:val="Lbjegyzetszveg"/>
      </w:pPr>
      <w:r w:rsidRPr="00EB375C">
        <w:rPr>
          <w:rStyle w:val="Lbjegyzet-hivatkozs"/>
          <w:sz w:val="16"/>
          <w:szCs w:val="16"/>
        </w:rPr>
        <w:footnoteRef/>
      </w:r>
      <w:r w:rsidRPr="00EB375C">
        <w:rPr>
          <w:sz w:val="16"/>
          <w:szCs w:val="16"/>
        </w:rPr>
        <w:t xml:space="preserve"> Land mobile systems in the frequency ranges 68-87.5 MHz, 146-174 MHz, 406.1-410 MHz, 410-430 MHz, 440- 450 MHz and 450-470 MHz</w:t>
      </w:r>
      <w:r>
        <w:rPr>
          <w:sz w:val="16"/>
          <w:szCs w:val="16"/>
        </w:rPr>
        <w:t>,</w:t>
      </w:r>
      <w:r w:rsidRPr="00EB375C">
        <w:rPr>
          <w:sz w:val="16"/>
          <w:szCs w:val="16"/>
        </w:rPr>
        <w:t xml:space="preserve"> Approved 8 March 2019</w:t>
      </w:r>
    </w:p>
  </w:footnote>
  <w:footnote w:id="11">
    <w:p w14:paraId="63797669" w14:textId="41494816" w:rsidR="000965E6" w:rsidRPr="00EB375C" w:rsidRDefault="000965E6">
      <w:pPr>
        <w:pStyle w:val="Lbjegyzetszveg"/>
        <w:rPr>
          <w:sz w:val="16"/>
          <w:szCs w:val="16"/>
        </w:rPr>
      </w:pPr>
      <w:r w:rsidRPr="00EB375C">
        <w:rPr>
          <w:rStyle w:val="Lbjegyzet-hivatkozs"/>
          <w:sz w:val="16"/>
          <w:szCs w:val="16"/>
        </w:rPr>
        <w:footnoteRef/>
      </w:r>
      <w:r w:rsidRPr="00EB375C">
        <w:rPr>
          <w:sz w:val="16"/>
          <w:szCs w:val="16"/>
        </w:rPr>
        <w:t xml:space="preserve"> Harmonised technical conditions and frequency bands for the implementation of Broadband Public Protection and Disaster Relief (BB-PPDR) systems</w:t>
      </w:r>
      <w:r>
        <w:rPr>
          <w:sz w:val="16"/>
          <w:szCs w:val="16"/>
        </w:rPr>
        <w:t>,</w:t>
      </w:r>
      <w:r w:rsidRPr="00EB375C">
        <w:rPr>
          <w:sz w:val="16"/>
          <w:szCs w:val="16"/>
        </w:rPr>
        <w:t xml:space="preserve"> Approved 17 June 2016</w:t>
      </w:r>
      <w:r>
        <w:rPr>
          <w:sz w:val="16"/>
          <w:szCs w:val="16"/>
        </w:rPr>
        <w:t>,</w:t>
      </w:r>
      <w:r w:rsidRPr="00EB375C">
        <w:rPr>
          <w:sz w:val="16"/>
          <w:szCs w:val="16"/>
        </w:rPr>
        <w:t xml:space="preserve"> Amended 8 March 2019</w:t>
      </w:r>
    </w:p>
  </w:footnote>
  <w:footnote w:id="12">
    <w:p w14:paraId="45C07FE6" w14:textId="77777777" w:rsidR="000965E6" w:rsidRDefault="000965E6" w:rsidP="005D7522">
      <w:pPr>
        <w:pStyle w:val="Lbjegyzetszvegnmhh"/>
      </w:pPr>
      <w:r>
        <w:rPr>
          <w:rStyle w:val="Lbjegyzet-hivatkozs"/>
        </w:rPr>
        <w:footnoteRef/>
      </w:r>
      <w:hyperlink r:id="rId1" w:history="1">
        <w:r>
          <w:t>https://nmhh.hu/cikk/184611/A_450_MHzes_frekvenciasav_frekvenciahasznalati_jogosultsaga_targyaban_kiirt_palyazat_dokumentacioja</w:t>
        </w:r>
      </w:hyperlink>
    </w:p>
  </w:footnote>
  <w:footnote w:id="13">
    <w:p w14:paraId="04F767A9" w14:textId="77777777" w:rsidR="000965E6" w:rsidRDefault="000965E6" w:rsidP="005D7522">
      <w:pPr>
        <w:pStyle w:val="Lbjegyzetszvegnmhh"/>
      </w:pPr>
      <w:r>
        <w:rPr>
          <w:rStyle w:val="Lbjegyzet-hivatkozs"/>
        </w:rPr>
        <w:footnoteRef/>
      </w:r>
      <w:r>
        <w:t xml:space="preserve"> Long Term </w:t>
      </w:r>
      <w:r>
        <w:rPr>
          <w:lang w:val="en-GB"/>
        </w:rPr>
        <w:t>Evolution</w:t>
      </w:r>
      <w:r>
        <w:t xml:space="preserve"> - Hosszú távú fejlődés (4. generációs mobil rendszer)</w:t>
      </w:r>
    </w:p>
  </w:footnote>
  <w:footnote w:id="14">
    <w:p w14:paraId="737D1407" w14:textId="2037A307" w:rsidR="008B566C" w:rsidRDefault="008B566C" w:rsidP="008B566C">
      <w:pPr>
        <w:pStyle w:val="Lbjegyzetszveg"/>
      </w:pPr>
      <w:r>
        <w:rPr>
          <w:rStyle w:val="Lbjegyzet-hivatkozs"/>
        </w:rPr>
        <w:footnoteRef/>
      </w:r>
      <w:r>
        <w:t xml:space="preserve"> </w:t>
      </w:r>
      <w:r w:rsidRPr="00F55B54">
        <w:rPr>
          <w:color w:val="43525A"/>
          <w:sz w:val="16"/>
          <w:szCs w:val="16"/>
        </w:rPr>
        <w:t>Nemzetközi Vasúti Egyesület</w:t>
      </w:r>
      <w:r w:rsidRPr="00F55B54">
        <w:rPr>
          <w:color w:val="43525A"/>
          <w:sz w:val="16"/>
          <w:szCs w:val="16"/>
        </w:rPr>
        <w:t xml:space="preserve"> - </w:t>
      </w:r>
      <w:r w:rsidRPr="00F55B54">
        <w:rPr>
          <w:color w:val="43525A"/>
          <w:sz w:val="16"/>
          <w:szCs w:val="16"/>
        </w:rPr>
        <w:t>Union Internationale des Chemins de fer</w:t>
      </w:r>
      <w:r w:rsidRPr="00F55B54">
        <w:rPr>
          <w:color w:val="43525A"/>
          <w:sz w:val="16"/>
          <w:szCs w:val="16"/>
        </w:rPr>
        <w:t>, UIC</w:t>
      </w:r>
    </w:p>
  </w:footnote>
  <w:footnote w:id="15">
    <w:p w14:paraId="2D7D6104" w14:textId="77777777" w:rsidR="000965E6" w:rsidRDefault="000965E6" w:rsidP="009B6BAD">
      <w:pPr>
        <w:pStyle w:val="Lbjegyzetszveg"/>
      </w:pPr>
      <w:r>
        <w:rPr>
          <w:rStyle w:val="Lbjegyzet-hivatkozs"/>
        </w:rPr>
        <w:footnoteRef/>
      </w:r>
      <w:r>
        <w:t xml:space="preserve"> </w:t>
      </w:r>
      <w:r w:rsidRPr="00C456D4">
        <w:rPr>
          <w:color w:val="43525A"/>
          <w:sz w:val="16"/>
          <w:szCs w:val="16"/>
        </w:rPr>
        <w:t xml:space="preserve">Az Európai Parlament és Tanács 2018/1972 irányelve (2018. december 11.) az Európai Elektronikus Hírközlési Kódex létrehozásáról (HL L 321, 2018.12.17., 36. o.) </w:t>
      </w:r>
    </w:p>
  </w:footnote>
  <w:footnote w:id="16">
    <w:p w14:paraId="02A62FC4" w14:textId="77777777" w:rsidR="000965E6" w:rsidRDefault="000965E6" w:rsidP="005E6E3F">
      <w:pPr>
        <w:pStyle w:val="Lbjegyzetszvegnmhh"/>
      </w:pPr>
      <w:r>
        <w:rPr>
          <w:rStyle w:val="Lbjegyzet-hivatkozs"/>
        </w:rPr>
        <w:footnoteRef/>
      </w:r>
      <w:r>
        <w:t xml:space="preserve"> </w:t>
      </w:r>
      <w:r>
        <w:rPr>
          <w:lang w:val="en-GB"/>
        </w:rPr>
        <w:t>Recommendation T/R of 30 May 2008 on Planning criteria and cross-border coordination of frequencies for land mobile systems in the range</w:t>
      </w:r>
      <w:r>
        <w:t xml:space="preserve"> 29.7-470 MHz. (utolsó módosítás: 2018. szeptember 28.)</w:t>
      </w:r>
    </w:p>
    <w:p w14:paraId="3C83271A" w14:textId="77777777" w:rsidR="000965E6" w:rsidRPr="001128FA" w:rsidRDefault="000965E6" w:rsidP="001128FA">
      <w:pPr>
        <w:pStyle w:val="Lbjegyzetszvegnmhh"/>
        <w:rPr>
          <w:lang w:val="en-GB"/>
        </w:rPr>
      </w:pPr>
      <w:r>
        <w:t xml:space="preserve">*: </w:t>
      </w:r>
      <w:r w:rsidRPr="001128FA">
        <w:t>Az Ukrajnával kötött megállapodás esetén külön melléklet kezeli az egyes országok által szélessávú célra használni kívánt frekvenciasávokat.</w:t>
      </w:r>
      <w:r w:rsidRPr="001128FA">
        <w:br/>
        <w:t>Magyarország: 450,0-457,38/460,0-467,38 MHz;</w:t>
      </w:r>
    </w:p>
    <w:p w14:paraId="0E7FF36E" w14:textId="77777777" w:rsidR="000965E6" w:rsidRPr="001128FA" w:rsidRDefault="000965E6" w:rsidP="001128FA">
      <w:pPr>
        <w:pStyle w:val="Lbjegyzetszvegnmhh"/>
        <w:rPr>
          <w:lang w:val="en-GB"/>
        </w:rPr>
      </w:pPr>
      <w:r w:rsidRPr="001128FA">
        <w:t>Szlovákia: 451,310-455,730/461,310-465,730 MHz;</w:t>
      </w:r>
    </w:p>
    <w:p w14:paraId="5DAA8B6A" w14:textId="77777777" w:rsidR="000965E6" w:rsidRPr="001128FA" w:rsidRDefault="000965E6" w:rsidP="005E6E3F">
      <w:pPr>
        <w:pStyle w:val="Lbjegyzetszvegnmhh"/>
        <w:rPr>
          <w:lang w:val="en-GB"/>
        </w:rPr>
      </w:pPr>
      <w:r w:rsidRPr="001128FA">
        <w:t>Ukrajna: 453,0-457,5/463,0-467,5 MHz.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25F9" w14:textId="77777777" w:rsidR="000965E6" w:rsidRDefault="000965E6">
    <w:pPr>
      <w:pStyle w:val="lfej"/>
    </w:pPr>
    <w:r>
      <w:rPr>
        <w:noProof/>
        <w:lang w:eastAsia="hu-HU"/>
      </w:rPr>
      <w:drawing>
        <wp:anchor distT="0" distB="0" distL="114300" distR="114300" simplePos="0" relativeHeight="251664896" behindDoc="0" locked="0" layoutInCell="1" allowOverlap="1" wp14:anchorId="7DF00CCD" wp14:editId="7D28157F">
          <wp:simplePos x="0" y="0"/>
          <wp:positionH relativeFrom="margin">
            <wp:posOffset>-883920</wp:posOffset>
          </wp:positionH>
          <wp:positionV relativeFrom="page">
            <wp:posOffset>0</wp:posOffset>
          </wp:positionV>
          <wp:extent cx="7529195" cy="1077595"/>
          <wp:effectExtent l="0" t="0" r="0" b="0"/>
          <wp:wrapTopAndBottom/>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6449" w14:textId="77777777" w:rsidR="000965E6" w:rsidRDefault="000965E6">
    <w:pPr>
      <w:pStyle w:val="lfej"/>
    </w:pPr>
    <w:r>
      <w:rPr>
        <w:noProof/>
        <w:lang w:eastAsia="hu-HU"/>
      </w:rPr>
      <w:drawing>
        <wp:anchor distT="0" distB="0" distL="114300" distR="114300" simplePos="0" relativeHeight="251662848" behindDoc="0" locked="0" layoutInCell="1" allowOverlap="1" wp14:anchorId="05CDA140" wp14:editId="3CAFCE52">
          <wp:simplePos x="0" y="0"/>
          <wp:positionH relativeFrom="margin">
            <wp:posOffset>-883920</wp:posOffset>
          </wp:positionH>
          <wp:positionV relativeFrom="page">
            <wp:posOffset>0</wp:posOffset>
          </wp:positionV>
          <wp:extent cx="7529195" cy="1077595"/>
          <wp:effectExtent l="0" t="0" r="0" b="0"/>
          <wp:wrapTopAndBottom/>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E6A2" w14:textId="77777777" w:rsidR="000965E6" w:rsidRDefault="000965E6">
    <w:pPr>
      <w:pStyle w:val="lfej"/>
    </w:pPr>
    <w:r>
      <w:rPr>
        <w:noProof/>
        <w:lang w:eastAsia="hu-HU"/>
      </w:rPr>
      <w:drawing>
        <wp:anchor distT="0" distB="1011555" distL="114300" distR="114300" simplePos="0" relativeHeight="251666944" behindDoc="1" locked="0" layoutInCell="1" allowOverlap="1" wp14:anchorId="3F8AF0DD" wp14:editId="5047164A">
          <wp:simplePos x="0" y="0"/>
          <wp:positionH relativeFrom="page">
            <wp:posOffset>0</wp:posOffset>
          </wp:positionH>
          <wp:positionV relativeFrom="page">
            <wp:posOffset>0</wp:posOffset>
          </wp:positionV>
          <wp:extent cx="7556500" cy="3351530"/>
          <wp:effectExtent l="0" t="0" r="6350" b="1270"/>
          <wp:wrapTopAndBottom/>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11A10836"/>
    <w:multiLevelType w:val="hybridMultilevel"/>
    <w:tmpl w:val="9C7A7D0A"/>
    <w:lvl w:ilvl="0" w:tplc="667AD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E52E65"/>
    <w:multiLevelType w:val="hybridMultilevel"/>
    <w:tmpl w:val="735E77BE"/>
    <w:lvl w:ilvl="0" w:tplc="1B88B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8A3C1C"/>
    <w:multiLevelType w:val="multilevel"/>
    <w:tmpl w:val="778CD83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7"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C709A4"/>
    <w:multiLevelType w:val="hybridMultilevel"/>
    <w:tmpl w:val="E3D4C258"/>
    <w:lvl w:ilvl="0" w:tplc="38F2EE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937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6202B"/>
    <w:multiLevelType w:val="hybridMultilevel"/>
    <w:tmpl w:val="B21ED882"/>
    <w:lvl w:ilvl="0" w:tplc="7FD0D24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45CD32"/>
    <w:multiLevelType w:val="hybridMultilevel"/>
    <w:tmpl w:val="FC65B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D946E4"/>
    <w:multiLevelType w:val="hybridMultilevel"/>
    <w:tmpl w:val="8F309E66"/>
    <w:lvl w:ilvl="0" w:tplc="040E0001">
      <w:start w:val="1"/>
      <w:numFmt w:val="bullet"/>
      <w:lvlText w:val=""/>
      <w:lvlJc w:val="left"/>
      <w:pPr>
        <w:ind w:left="720" w:hanging="360"/>
      </w:pPr>
      <w:rPr>
        <w:rFonts w:ascii="Symbol" w:hAnsi="Symbol" w:hint="default"/>
      </w:rPr>
    </w:lvl>
    <w:lvl w:ilvl="1" w:tplc="4470E0BE">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AAB2E8F"/>
    <w:multiLevelType w:val="hybridMultilevel"/>
    <w:tmpl w:val="3E20B338"/>
    <w:lvl w:ilvl="0" w:tplc="DE82B7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abstractNumId w:val="19"/>
  </w:num>
  <w:num w:numId="2">
    <w:abstractNumId w:val="19"/>
  </w:num>
  <w:num w:numId="3">
    <w:abstractNumId w:val="19"/>
  </w:num>
  <w:num w:numId="4">
    <w:abstractNumId w:val="19"/>
  </w:num>
  <w:num w:numId="5">
    <w:abstractNumId w:val="11"/>
  </w:num>
  <w:num w:numId="6">
    <w:abstractNumId w:val="11"/>
  </w:num>
  <w:num w:numId="7">
    <w:abstractNumId w:val="7"/>
  </w:num>
  <w:num w:numId="8">
    <w:abstractNumId w:val="20"/>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7"/>
  </w:num>
  <w:num w:numId="19">
    <w:abstractNumId w:val="16"/>
  </w:num>
  <w:num w:numId="20">
    <w:abstractNumId w:val="8"/>
  </w:num>
  <w:num w:numId="21">
    <w:abstractNumId w:val="13"/>
  </w:num>
  <w:num w:numId="22">
    <w:abstractNumId w:val="4"/>
  </w:num>
  <w:num w:numId="23">
    <w:abstractNumId w:val="1"/>
  </w:num>
  <w:num w:numId="24">
    <w:abstractNumId w:val="0"/>
  </w:num>
  <w:num w:numId="25">
    <w:abstractNumId w:val="12"/>
  </w:num>
  <w:num w:numId="26">
    <w:abstractNumId w:val="18"/>
  </w:num>
  <w:num w:numId="27">
    <w:abstractNumId w:val="10"/>
  </w:num>
  <w:num w:numId="28">
    <w:abstractNumId w:val="5"/>
  </w:num>
  <w:num w:numId="29">
    <w:abstractNumId w:val="6"/>
  </w:num>
  <w:num w:numId="30">
    <w:abstractNumId w:val="9"/>
  </w:num>
  <w:num w:numId="31">
    <w:abstractNumId w:val="14"/>
  </w:num>
  <w:num w:numId="32">
    <w:abstractNumId w:val="21"/>
  </w:num>
  <w:num w:numId="33">
    <w:abstractNumId w:val="9"/>
  </w:num>
  <w:num w:numId="34">
    <w:abstractNumId w:val="6"/>
  </w:num>
  <w:num w:numId="35">
    <w:abstractNumId w:val="15"/>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9"/>
  </w:num>
  <w:num w:numId="40">
    <w:abstractNumId w:val="6"/>
  </w:num>
  <w:num w:numId="41">
    <w:abstractNumId w:val="6"/>
  </w:num>
  <w:num w:numId="42">
    <w:abstractNumId w:val="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04"/>
    <w:rsid w:val="00005517"/>
    <w:rsid w:val="00006043"/>
    <w:rsid w:val="00011216"/>
    <w:rsid w:val="00026EF4"/>
    <w:rsid w:val="0004166A"/>
    <w:rsid w:val="00044801"/>
    <w:rsid w:val="00054C2D"/>
    <w:rsid w:val="00065301"/>
    <w:rsid w:val="00080D00"/>
    <w:rsid w:val="000951D4"/>
    <w:rsid w:val="000965E6"/>
    <w:rsid w:val="000A2B4E"/>
    <w:rsid w:val="000A5FF3"/>
    <w:rsid w:val="000D3D24"/>
    <w:rsid w:val="000E566F"/>
    <w:rsid w:val="000F6623"/>
    <w:rsid w:val="00104A8E"/>
    <w:rsid w:val="001128FA"/>
    <w:rsid w:val="001171E6"/>
    <w:rsid w:val="00121D83"/>
    <w:rsid w:val="00124A0B"/>
    <w:rsid w:val="00145E35"/>
    <w:rsid w:val="001B2A89"/>
    <w:rsid w:val="001E289F"/>
    <w:rsid w:val="001F1A0D"/>
    <w:rsid w:val="00215B68"/>
    <w:rsid w:val="00220BA1"/>
    <w:rsid w:val="00226C38"/>
    <w:rsid w:val="002329C9"/>
    <w:rsid w:val="00255429"/>
    <w:rsid w:val="00272EEC"/>
    <w:rsid w:val="00282CC6"/>
    <w:rsid w:val="00294A18"/>
    <w:rsid w:val="002C3B11"/>
    <w:rsid w:val="002D21C6"/>
    <w:rsid w:val="002E159D"/>
    <w:rsid w:val="002E22B6"/>
    <w:rsid w:val="002E2415"/>
    <w:rsid w:val="002E2FC0"/>
    <w:rsid w:val="002F55F5"/>
    <w:rsid w:val="002F7850"/>
    <w:rsid w:val="00314231"/>
    <w:rsid w:val="003213E2"/>
    <w:rsid w:val="00327704"/>
    <w:rsid w:val="003600B4"/>
    <w:rsid w:val="0037093F"/>
    <w:rsid w:val="0038014E"/>
    <w:rsid w:val="003A22F1"/>
    <w:rsid w:val="003C0367"/>
    <w:rsid w:val="003C498C"/>
    <w:rsid w:val="003D1C41"/>
    <w:rsid w:val="003D2526"/>
    <w:rsid w:val="0040727D"/>
    <w:rsid w:val="00413E07"/>
    <w:rsid w:val="00424D2A"/>
    <w:rsid w:val="00437017"/>
    <w:rsid w:val="0044027E"/>
    <w:rsid w:val="00462BFB"/>
    <w:rsid w:val="004924BF"/>
    <w:rsid w:val="004B3D72"/>
    <w:rsid w:val="004B4B87"/>
    <w:rsid w:val="004D1525"/>
    <w:rsid w:val="004F0F8E"/>
    <w:rsid w:val="004F4BD6"/>
    <w:rsid w:val="00502C60"/>
    <w:rsid w:val="005175D7"/>
    <w:rsid w:val="0053482B"/>
    <w:rsid w:val="00534898"/>
    <w:rsid w:val="00547816"/>
    <w:rsid w:val="00555B54"/>
    <w:rsid w:val="00566A94"/>
    <w:rsid w:val="00573774"/>
    <w:rsid w:val="0058365A"/>
    <w:rsid w:val="0058480D"/>
    <w:rsid w:val="00597E59"/>
    <w:rsid w:val="005A29E7"/>
    <w:rsid w:val="005D624A"/>
    <w:rsid w:val="005D7522"/>
    <w:rsid w:val="005E3C81"/>
    <w:rsid w:val="005E3E79"/>
    <w:rsid w:val="005E4675"/>
    <w:rsid w:val="005E6E3F"/>
    <w:rsid w:val="005E7786"/>
    <w:rsid w:val="005F05B9"/>
    <w:rsid w:val="005F3E4F"/>
    <w:rsid w:val="005F6E96"/>
    <w:rsid w:val="006211F6"/>
    <w:rsid w:val="00681C6C"/>
    <w:rsid w:val="00694D52"/>
    <w:rsid w:val="006C5987"/>
    <w:rsid w:val="006D40CA"/>
    <w:rsid w:val="0071446C"/>
    <w:rsid w:val="007167C2"/>
    <w:rsid w:val="00770EC5"/>
    <w:rsid w:val="00792C8B"/>
    <w:rsid w:val="0079538D"/>
    <w:rsid w:val="007962BF"/>
    <w:rsid w:val="00796CA1"/>
    <w:rsid w:val="007B2348"/>
    <w:rsid w:val="007C481A"/>
    <w:rsid w:val="007D691F"/>
    <w:rsid w:val="007E2348"/>
    <w:rsid w:val="007E2FEB"/>
    <w:rsid w:val="007E7686"/>
    <w:rsid w:val="00805D43"/>
    <w:rsid w:val="00816162"/>
    <w:rsid w:val="00826090"/>
    <w:rsid w:val="008409F3"/>
    <w:rsid w:val="00844F17"/>
    <w:rsid w:val="008574F8"/>
    <w:rsid w:val="008742B0"/>
    <w:rsid w:val="00874494"/>
    <w:rsid w:val="008843A1"/>
    <w:rsid w:val="00891108"/>
    <w:rsid w:val="008A4082"/>
    <w:rsid w:val="008B566C"/>
    <w:rsid w:val="008D19CA"/>
    <w:rsid w:val="008D21A2"/>
    <w:rsid w:val="008F0CA0"/>
    <w:rsid w:val="008F203D"/>
    <w:rsid w:val="009161AA"/>
    <w:rsid w:val="00935571"/>
    <w:rsid w:val="00941E99"/>
    <w:rsid w:val="0095193D"/>
    <w:rsid w:val="00955F75"/>
    <w:rsid w:val="00960908"/>
    <w:rsid w:val="00962742"/>
    <w:rsid w:val="0097393E"/>
    <w:rsid w:val="009B4FEB"/>
    <w:rsid w:val="009B52D6"/>
    <w:rsid w:val="009B6BAD"/>
    <w:rsid w:val="009F4B63"/>
    <w:rsid w:val="00A13432"/>
    <w:rsid w:val="00A24336"/>
    <w:rsid w:val="00A33122"/>
    <w:rsid w:val="00A34D26"/>
    <w:rsid w:val="00A41C00"/>
    <w:rsid w:val="00A4292E"/>
    <w:rsid w:val="00A60586"/>
    <w:rsid w:val="00A631DD"/>
    <w:rsid w:val="00A73E77"/>
    <w:rsid w:val="00A774C4"/>
    <w:rsid w:val="00A847D9"/>
    <w:rsid w:val="00A862EE"/>
    <w:rsid w:val="00AB7998"/>
    <w:rsid w:val="00AD2B54"/>
    <w:rsid w:val="00AD6D0A"/>
    <w:rsid w:val="00B27386"/>
    <w:rsid w:val="00B3360F"/>
    <w:rsid w:val="00B4777F"/>
    <w:rsid w:val="00B708DB"/>
    <w:rsid w:val="00B838FE"/>
    <w:rsid w:val="00B93A0B"/>
    <w:rsid w:val="00B97743"/>
    <w:rsid w:val="00BA04D3"/>
    <w:rsid w:val="00BC3078"/>
    <w:rsid w:val="00BD3A5C"/>
    <w:rsid w:val="00BE1371"/>
    <w:rsid w:val="00BF0B04"/>
    <w:rsid w:val="00BF3D4F"/>
    <w:rsid w:val="00C106C7"/>
    <w:rsid w:val="00C118A1"/>
    <w:rsid w:val="00C24D60"/>
    <w:rsid w:val="00C456D4"/>
    <w:rsid w:val="00C5262C"/>
    <w:rsid w:val="00C5678B"/>
    <w:rsid w:val="00C57A15"/>
    <w:rsid w:val="00C618D9"/>
    <w:rsid w:val="00CB2EE8"/>
    <w:rsid w:val="00CB62E9"/>
    <w:rsid w:val="00CB7015"/>
    <w:rsid w:val="00CC35C6"/>
    <w:rsid w:val="00CC3A15"/>
    <w:rsid w:val="00CC6AF6"/>
    <w:rsid w:val="00D046E2"/>
    <w:rsid w:val="00D139FF"/>
    <w:rsid w:val="00D22CC8"/>
    <w:rsid w:val="00D27FBC"/>
    <w:rsid w:val="00D51C3E"/>
    <w:rsid w:val="00D8614D"/>
    <w:rsid w:val="00DA148E"/>
    <w:rsid w:val="00DA6555"/>
    <w:rsid w:val="00DB6490"/>
    <w:rsid w:val="00DB745A"/>
    <w:rsid w:val="00DD50E9"/>
    <w:rsid w:val="00E17AE9"/>
    <w:rsid w:val="00E21671"/>
    <w:rsid w:val="00E512E6"/>
    <w:rsid w:val="00E61452"/>
    <w:rsid w:val="00E7014D"/>
    <w:rsid w:val="00E73C84"/>
    <w:rsid w:val="00E80ABD"/>
    <w:rsid w:val="00E92B76"/>
    <w:rsid w:val="00EA1A9D"/>
    <w:rsid w:val="00EA4E43"/>
    <w:rsid w:val="00EB0B53"/>
    <w:rsid w:val="00EB2A75"/>
    <w:rsid w:val="00EB375C"/>
    <w:rsid w:val="00ED1C4B"/>
    <w:rsid w:val="00ED346D"/>
    <w:rsid w:val="00ED6F7C"/>
    <w:rsid w:val="00EE35E9"/>
    <w:rsid w:val="00F05EFC"/>
    <w:rsid w:val="00F127F7"/>
    <w:rsid w:val="00F364FF"/>
    <w:rsid w:val="00F50DAD"/>
    <w:rsid w:val="00F5251E"/>
    <w:rsid w:val="00F5261A"/>
    <w:rsid w:val="00F52D89"/>
    <w:rsid w:val="00F55B54"/>
    <w:rsid w:val="00F81F1E"/>
    <w:rsid w:val="00F847FC"/>
    <w:rsid w:val="00FC7EE8"/>
    <w:rsid w:val="00FE71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8625"/>
  <w15:docId w15:val="{7A84C8CC-7ED0-40AE-A24B-A16E2BC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basedOn w:val="Norml"/>
    <w:next w:val="Norml"/>
    <w:link w:val="Cmsor1Char"/>
    <w:uiPriority w:val="9"/>
    <w:pPr>
      <w:keepNext/>
      <w:keepLines/>
      <w:numPr>
        <w:numId w:val="17"/>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pPr>
      <w:keepNext/>
      <w:keepLines/>
      <w:numPr>
        <w:ilvl w:val="1"/>
        <w:numId w:val="17"/>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pPr>
      <w:keepNext/>
      <w:keepLines/>
      <w:numPr>
        <w:ilvl w:val="2"/>
        <w:numId w:val="17"/>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pPr>
      <w:keepNext/>
      <w:keepLines/>
      <w:numPr>
        <w:ilvl w:val="3"/>
        <w:numId w:val="17"/>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iPriority w:val="9"/>
    <w:semiHidden/>
    <w:unhideWhenUsed/>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qFormat/>
    <w:pPr>
      <w:numPr>
        <w:numId w:val="0"/>
      </w:numPr>
      <w:outlineLvl w:val="9"/>
    </w:pPr>
  </w:style>
  <w:style w:type="paragraph" w:styleId="lfej">
    <w:name w:val="header"/>
    <w:basedOn w:val="Norml"/>
    <w:link w:val="lfejChar"/>
    <w:uiPriority w:val="99"/>
    <w:unhideWhenUsed/>
    <w:pPr>
      <w:tabs>
        <w:tab w:val="center" w:pos="4536"/>
        <w:tab w:val="right" w:pos="9072"/>
      </w:tabs>
      <w:spacing w:after="0" w:line="240" w:lineRule="auto"/>
    </w:pPr>
  </w:style>
  <w:style w:type="paragraph" w:styleId="Listaszerbekezds">
    <w:name w:val="List Paragraph"/>
    <w:basedOn w:val="Norml"/>
    <w:link w:val="ListaszerbekezdsChar"/>
    <w:uiPriority w:val="34"/>
    <w:pPr>
      <w:ind w:left="720"/>
      <w:contextualSpacing/>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color w:val="43525A"/>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color w:val="43525A"/>
      <w:sz w:val="20"/>
      <w:szCs w:val="20"/>
    </w:rPr>
  </w:style>
  <w:style w:type="character" w:customStyle="1" w:styleId="BekezdsnmhhChar">
    <w:name w:val="Bekezdés_nmhh Char"/>
    <w:basedOn w:val="Bekezdsalapbettpusa"/>
    <w:link w:val="Bekezdsnmhh"/>
    <w:rPr>
      <w:color w:val="43525A"/>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color w:val="43525A"/>
      <w:sz w:val="20"/>
      <w:szCs w:val="20"/>
    </w:rPr>
  </w:style>
  <w:style w:type="paragraph" w:customStyle="1" w:styleId="Felsorolsnmhh">
    <w:name w:val="Felsorolás_nmhh"/>
    <w:basedOn w:val="Listaszerbekezds"/>
    <w:link w:val="FelsorolsnmhhChar"/>
    <w:qFormat/>
    <w:pPr>
      <w:numPr>
        <w:numId w:val="26"/>
      </w:numPr>
      <w:ind w:left="714" w:hanging="357"/>
    </w:pPr>
    <w:rPr>
      <w:b/>
      <w:color w:val="43525A"/>
      <w:sz w:val="20"/>
      <w:szCs w:val="20"/>
    </w:rPr>
  </w:style>
  <w:style w:type="paragraph" w:customStyle="1" w:styleId="Felsorols1nmhh">
    <w:name w:val="Felsorolás1_nmhh"/>
    <w:basedOn w:val="Listaszerbekezds"/>
    <w:link w:val="Felsorols1nmhhChar"/>
    <w:qFormat/>
    <w:pPr>
      <w:numPr>
        <w:numId w:val="28"/>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after="240" w:line="240" w:lineRule="auto"/>
      <w:jc w:val="center"/>
    </w:pPr>
    <w:rPr>
      <w:b/>
      <w:bCs/>
      <w:color w:val="43525A"/>
      <w:sz w:val="18"/>
      <w:szCs w:val="18"/>
    </w:rPr>
  </w:style>
  <w:style w:type="paragraph" w:customStyle="1" w:styleId="Felsorols2nmhh">
    <w:name w:val="Felsorolás2_nmhh"/>
    <w:basedOn w:val="Listaszerbekezds"/>
    <w:link w:val="Felsorols2nmhhChar"/>
    <w:qFormat/>
    <w:pPr>
      <w:numPr>
        <w:numId w:val="27"/>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30"/>
      </w:numPr>
      <w:spacing w:after="0"/>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31"/>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center"/>
    </w:pPr>
    <w:rPr>
      <w:rFonts w:asciiTheme="majorHAnsi" w:hAnsiTheme="majorHAnsi" w:cstheme="majorHAnsi"/>
      <w:b/>
      <w:color w:val="43525A"/>
      <w:sz w:val="28"/>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rsid w:val="00941E99"/>
    <w:pPr>
      <w:numPr>
        <w:numId w:val="29"/>
      </w:numPr>
      <w:spacing w:after="240"/>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28"/>
      <w:szCs w:val="36"/>
    </w:rPr>
  </w:style>
  <w:style w:type="paragraph" w:customStyle="1" w:styleId="Cmsor2szmozottnmhh">
    <w:name w:val="Címsor2_számozott_nmhh"/>
    <w:basedOn w:val="Listaszerbekezds"/>
    <w:next w:val="Behzottbekezdsnmhh"/>
    <w:link w:val="Cmsor2szmozottnmhhChar"/>
    <w:qFormat/>
    <w:rsid w:val="00941E99"/>
    <w:pPr>
      <w:keepNext/>
      <w:numPr>
        <w:ilvl w:val="1"/>
        <w:numId w:val="29"/>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sid w:val="00941E99"/>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29"/>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sid w:val="00941E99"/>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29"/>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32"/>
      </w:numPr>
      <w:jc w:val="left"/>
    </w:p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iPriority w:val="99"/>
    <w:unhideWhenUsed/>
    <w:qFormat/>
    <w:pPr>
      <w:spacing w:after="0" w:line="240" w:lineRule="auto"/>
    </w:pPr>
    <w:rPr>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Pr>
      <w:sz w:val="20"/>
      <w:szCs w:val="20"/>
    </w:rPr>
  </w:style>
  <w:style w:type="character" w:styleId="Lbjegyzet-hivatkozs">
    <w:name w:val="footnote reference"/>
    <w:aliases w:val="Footnote symbol,Footnote,Nota"/>
    <w:basedOn w:val="Bekezdsalapbettpusa"/>
    <w:uiPriority w:val="99"/>
    <w:unhideWhenUsed/>
    <w:rPr>
      <w:vertAlign w:val="superscript"/>
    </w:rPr>
  </w:style>
  <w:style w:type="paragraph" w:customStyle="1" w:styleId="Lbjegyzetszvegnmhh">
    <w:name w:val="Lábjegyzetszöveg_nmhh"/>
    <w:basedOn w:val="Lbjegyzetszveg"/>
    <w:link w:val="LbjegyzetszvegnmhhChar"/>
    <w:qFormat/>
    <w:rPr>
      <w:color w:val="43525A"/>
      <w:sz w:val="16"/>
      <w:szCs w:val="16"/>
    </w:rPr>
  </w:style>
  <w:style w:type="character" w:customStyle="1" w:styleId="LbjegyzetszvegnmhhChar">
    <w:name w:val="Lábjegyzetszöveg_nmhh Char"/>
    <w:basedOn w:val="LbjegyzetszvegChar"/>
    <w:link w:val="Lbjegyzetszvegnmhh"/>
    <w:rPr>
      <w:color w:val="43525A"/>
      <w:sz w:val="16"/>
      <w:szCs w:val="16"/>
    </w:rPr>
  </w:style>
  <w:style w:type="character" w:styleId="Mrltotthiperhivatkozs">
    <w:name w:val="FollowedHyperlink"/>
    <w:basedOn w:val="Bekezdsalapbettpusa"/>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mellekletpontformazott">
    <w:name w:val="melleklet_pont_formazott"/>
    <w:basedOn w:val="Norml"/>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Pr>
      <w:b/>
      <w:bCs/>
    </w:rPr>
  </w:style>
  <w:style w:type="table" w:customStyle="1" w:styleId="Rcsostblzat2">
    <w:name w:val="Rácsos táblázat2"/>
    <w:basedOn w:val="Normltblzat"/>
    <w:next w:val="Rcsostblzat"/>
    <w:uiPriority w:val="59"/>
    <w:rsid w:val="001F1A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l"/>
    <w:next w:val="Norml"/>
    <w:link w:val="TableheadChar"/>
    <w:rsid w:val="0096274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val="fr-FR"/>
    </w:rPr>
  </w:style>
  <w:style w:type="paragraph" w:customStyle="1" w:styleId="Tabletext">
    <w:name w:val="Table_text"/>
    <w:basedOn w:val="Norml"/>
    <w:link w:val="TabletextChar"/>
    <w:rsid w:val="009627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fr-FR"/>
    </w:rPr>
  </w:style>
  <w:style w:type="character" w:customStyle="1" w:styleId="TableheadChar">
    <w:name w:val="Table_head Char"/>
    <w:basedOn w:val="Bekezdsalapbettpusa"/>
    <w:link w:val="Tablehead"/>
    <w:locked/>
    <w:rsid w:val="00962742"/>
    <w:rPr>
      <w:rFonts w:ascii="Times New Roman" w:eastAsia="Times New Roman" w:hAnsi="Times New Roman" w:cs="Times New Roman"/>
      <w:b/>
      <w:szCs w:val="20"/>
      <w:lang w:val="fr-FR"/>
    </w:rPr>
  </w:style>
  <w:style w:type="character" w:customStyle="1" w:styleId="TabletextChar">
    <w:name w:val="Table_text Char"/>
    <w:basedOn w:val="Bekezdsalapbettpusa"/>
    <w:link w:val="Tabletext"/>
    <w:locked/>
    <w:rsid w:val="00962742"/>
    <w:rPr>
      <w:rFonts w:ascii="Times New Roman" w:eastAsia="Times New Roman" w:hAnsi="Times New Roman" w:cs="Times New Roman"/>
      <w:szCs w:val="20"/>
      <w:lang w:val="fr-FR"/>
    </w:rPr>
  </w:style>
  <w:style w:type="paragraph" w:customStyle="1" w:styleId="fnot1">
    <w:name w:val="fnot1"/>
    <w:basedOn w:val="Norml"/>
    <w:qFormat/>
    <w:rsid w:val="00EA1A9D"/>
    <w:pPr>
      <w:spacing w:after="0" w:line="260" w:lineRule="atLeast"/>
      <w:jc w:val="left"/>
    </w:pPr>
    <w:rPr>
      <w:rFonts w:ascii="Arial" w:eastAsia="Times New Roman" w:hAnsi="Arial" w:cs="Times New Roman"/>
      <w:sz w:val="20"/>
      <w:szCs w:val="20"/>
      <w:lang w:val="en-GB" w:eastAsia="hu-HU"/>
    </w:rPr>
  </w:style>
  <w:style w:type="paragraph" w:customStyle="1" w:styleId="serv1">
    <w:name w:val="serv1"/>
    <w:basedOn w:val="fnot1"/>
    <w:rsid w:val="00EA1A9D"/>
    <w:pPr>
      <w:ind w:left="170" w:hanging="170"/>
    </w:pPr>
    <w:rPr>
      <w:lang w:val="hu-HU"/>
    </w:rPr>
  </w:style>
  <w:style w:type="paragraph" w:customStyle="1" w:styleId="Hanging035">
    <w:name w:val="Hanging0_35"/>
    <w:basedOn w:val="Norml"/>
    <w:rsid w:val="00EA1A9D"/>
    <w:pPr>
      <w:spacing w:after="0" w:line="240" w:lineRule="auto"/>
      <w:ind w:left="198" w:hanging="198"/>
      <w:jc w:val="left"/>
    </w:pPr>
    <w:rPr>
      <w:rFonts w:ascii="Arial" w:eastAsia="Times New Roman" w:hAnsi="Arial" w:cs="Times New Roman"/>
      <w:sz w:val="14"/>
      <w:szCs w:val="20"/>
      <w:lang w:eastAsia="hu-HU"/>
    </w:rPr>
  </w:style>
  <w:style w:type="paragraph" w:customStyle="1" w:styleId="fr1or2">
    <w:name w:val="fr1or2"/>
    <w:basedOn w:val="serv1"/>
    <w:rsid w:val="00EA1A9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0567">
      <w:bodyDiv w:val="1"/>
      <w:marLeft w:val="0"/>
      <w:marRight w:val="0"/>
      <w:marTop w:val="0"/>
      <w:marBottom w:val="0"/>
      <w:divBdr>
        <w:top w:val="none" w:sz="0" w:space="0" w:color="auto"/>
        <w:left w:val="none" w:sz="0" w:space="0" w:color="auto"/>
        <w:bottom w:val="none" w:sz="0" w:space="0" w:color="auto"/>
        <w:right w:val="none" w:sz="0" w:space="0" w:color="auto"/>
      </w:divBdr>
    </w:div>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210847023">
      <w:bodyDiv w:val="1"/>
      <w:marLeft w:val="0"/>
      <w:marRight w:val="0"/>
      <w:marTop w:val="0"/>
      <w:marBottom w:val="0"/>
      <w:divBdr>
        <w:top w:val="none" w:sz="0" w:space="0" w:color="auto"/>
        <w:left w:val="none" w:sz="0" w:space="0" w:color="auto"/>
        <w:bottom w:val="none" w:sz="0" w:space="0" w:color="auto"/>
        <w:right w:val="none" w:sz="0" w:space="0" w:color="auto"/>
      </w:divBdr>
    </w:div>
    <w:div w:id="323705560">
      <w:bodyDiv w:val="1"/>
      <w:marLeft w:val="0"/>
      <w:marRight w:val="0"/>
      <w:marTop w:val="0"/>
      <w:marBottom w:val="0"/>
      <w:divBdr>
        <w:top w:val="none" w:sz="0" w:space="0" w:color="auto"/>
        <w:left w:val="none" w:sz="0" w:space="0" w:color="auto"/>
        <w:bottom w:val="none" w:sz="0" w:space="0" w:color="auto"/>
        <w:right w:val="none" w:sz="0" w:space="0" w:color="auto"/>
      </w:divBdr>
    </w:div>
    <w:div w:id="328335965">
      <w:bodyDiv w:val="1"/>
      <w:marLeft w:val="0"/>
      <w:marRight w:val="0"/>
      <w:marTop w:val="0"/>
      <w:marBottom w:val="0"/>
      <w:divBdr>
        <w:top w:val="none" w:sz="0" w:space="0" w:color="auto"/>
        <w:left w:val="none" w:sz="0" w:space="0" w:color="auto"/>
        <w:bottom w:val="none" w:sz="0" w:space="0" w:color="auto"/>
        <w:right w:val="none" w:sz="0" w:space="0" w:color="auto"/>
      </w:divBdr>
    </w:div>
    <w:div w:id="423379091">
      <w:bodyDiv w:val="1"/>
      <w:marLeft w:val="0"/>
      <w:marRight w:val="0"/>
      <w:marTop w:val="0"/>
      <w:marBottom w:val="0"/>
      <w:divBdr>
        <w:top w:val="none" w:sz="0" w:space="0" w:color="auto"/>
        <w:left w:val="none" w:sz="0" w:space="0" w:color="auto"/>
        <w:bottom w:val="none" w:sz="0" w:space="0" w:color="auto"/>
        <w:right w:val="none" w:sz="0" w:space="0" w:color="auto"/>
      </w:divBdr>
    </w:div>
    <w:div w:id="499809182">
      <w:bodyDiv w:val="1"/>
      <w:marLeft w:val="0"/>
      <w:marRight w:val="0"/>
      <w:marTop w:val="0"/>
      <w:marBottom w:val="0"/>
      <w:divBdr>
        <w:top w:val="none" w:sz="0" w:space="0" w:color="auto"/>
        <w:left w:val="none" w:sz="0" w:space="0" w:color="auto"/>
        <w:bottom w:val="none" w:sz="0" w:space="0" w:color="auto"/>
        <w:right w:val="none" w:sz="0" w:space="0" w:color="auto"/>
      </w:divBdr>
    </w:div>
    <w:div w:id="506867982">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886338303">
      <w:bodyDiv w:val="1"/>
      <w:marLeft w:val="0"/>
      <w:marRight w:val="0"/>
      <w:marTop w:val="0"/>
      <w:marBottom w:val="0"/>
      <w:divBdr>
        <w:top w:val="none" w:sz="0" w:space="0" w:color="auto"/>
        <w:left w:val="none" w:sz="0" w:space="0" w:color="auto"/>
        <w:bottom w:val="none" w:sz="0" w:space="0" w:color="auto"/>
        <w:right w:val="none" w:sz="0" w:space="0" w:color="auto"/>
      </w:divBdr>
    </w:div>
    <w:div w:id="931814536">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008754193">
      <w:bodyDiv w:val="1"/>
      <w:marLeft w:val="0"/>
      <w:marRight w:val="0"/>
      <w:marTop w:val="0"/>
      <w:marBottom w:val="0"/>
      <w:divBdr>
        <w:top w:val="none" w:sz="0" w:space="0" w:color="auto"/>
        <w:left w:val="none" w:sz="0" w:space="0" w:color="auto"/>
        <w:bottom w:val="none" w:sz="0" w:space="0" w:color="auto"/>
        <w:right w:val="none" w:sz="0" w:space="0" w:color="auto"/>
      </w:divBdr>
    </w:div>
    <w:div w:id="1130591074">
      <w:bodyDiv w:val="1"/>
      <w:marLeft w:val="0"/>
      <w:marRight w:val="0"/>
      <w:marTop w:val="0"/>
      <w:marBottom w:val="0"/>
      <w:divBdr>
        <w:top w:val="none" w:sz="0" w:space="0" w:color="auto"/>
        <w:left w:val="none" w:sz="0" w:space="0" w:color="auto"/>
        <w:bottom w:val="none" w:sz="0" w:space="0" w:color="auto"/>
        <w:right w:val="none" w:sz="0" w:space="0" w:color="auto"/>
      </w:divBdr>
    </w:div>
    <w:div w:id="1290281840">
      <w:bodyDiv w:val="1"/>
      <w:marLeft w:val="0"/>
      <w:marRight w:val="0"/>
      <w:marTop w:val="0"/>
      <w:marBottom w:val="0"/>
      <w:divBdr>
        <w:top w:val="none" w:sz="0" w:space="0" w:color="auto"/>
        <w:left w:val="none" w:sz="0" w:space="0" w:color="auto"/>
        <w:bottom w:val="none" w:sz="0" w:space="0" w:color="auto"/>
        <w:right w:val="none" w:sz="0" w:space="0" w:color="auto"/>
      </w:divBdr>
    </w:div>
    <w:div w:id="1370106836">
      <w:bodyDiv w:val="1"/>
      <w:marLeft w:val="0"/>
      <w:marRight w:val="0"/>
      <w:marTop w:val="0"/>
      <w:marBottom w:val="0"/>
      <w:divBdr>
        <w:top w:val="none" w:sz="0" w:space="0" w:color="auto"/>
        <w:left w:val="none" w:sz="0" w:space="0" w:color="auto"/>
        <w:bottom w:val="none" w:sz="0" w:space="0" w:color="auto"/>
        <w:right w:val="none" w:sz="0" w:space="0" w:color="auto"/>
      </w:divBdr>
    </w:div>
    <w:div w:id="1516993892">
      <w:bodyDiv w:val="1"/>
      <w:marLeft w:val="0"/>
      <w:marRight w:val="0"/>
      <w:marTop w:val="0"/>
      <w:marBottom w:val="0"/>
      <w:divBdr>
        <w:top w:val="none" w:sz="0" w:space="0" w:color="auto"/>
        <w:left w:val="none" w:sz="0" w:space="0" w:color="auto"/>
        <w:bottom w:val="none" w:sz="0" w:space="0" w:color="auto"/>
        <w:right w:val="none" w:sz="0" w:space="0" w:color="auto"/>
      </w:divBdr>
    </w:div>
    <w:div w:id="1542355748">
      <w:bodyDiv w:val="1"/>
      <w:marLeft w:val="0"/>
      <w:marRight w:val="0"/>
      <w:marTop w:val="0"/>
      <w:marBottom w:val="0"/>
      <w:divBdr>
        <w:top w:val="none" w:sz="0" w:space="0" w:color="auto"/>
        <w:left w:val="none" w:sz="0" w:space="0" w:color="auto"/>
        <w:bottom w:val="none" w:sz="0" w:space="0" w:color="auto"/>
        <w:right w:val="none" w:sz="0" w:space="0" w:color="auto"/>
      </w:divBdr>
    </w:div>
    <w:div w:id="1583373179">
      <w:bodyDiv w:val="1"/>
      <w:marLeft w:val="0"/>
      <w:marRight w:val="0"/>
      <w:marTop w:val="0"/>
      <w:marBottom w:val="0"/>
      <w:divBdr>
        <w:top w:val="none" w:sz="0" w:space="0" w:color="auto"/>
        <w:left w:val="none" w:sz="0" w:space="0" w:color="auto"/>
        <w:bottom w:val="none" w:sz="0" w:space="0" w:color="auto"/>
        <w:right w:val="none" w:sz="0" w:space="0" w:color="auto"/>
      </w:divBdr>
    </w:div>
    <w:div w:id="1732969834">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mhh.hu/cikk/184611/A_450_MHzes_frekvenciasav_frekvenciahasznalati_jogosultsaga_targyaban_kiirt_palyazat_dokumentaci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C077C9" w:rsidRDefault="006F2A34">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C9"/>
    <w:rsid w:val="000F5C2D"/>
    <w:rsid w:val="00335182"/>
    <w:rsid w:val="003E7E38"/>
    <w:rsid w:val="00443097"/>
    <w:rsid w:val="004F432C"/>
    <w:rsid w:val="006F2A34"/>
    <w:rsid w:val="00771BB9"/>
    <w:rsid w:val="007823DA"/>
    <w:rsid w:val="008361DB"/>
    <w:rsid w:val="008563ED"/>
    <w:rsid w:val="009A59BD"/>
    <w:rsid w:val="009E5A52"/>
    <w:rsid w:val="00A21EF0"/>
    <w:rsid w:val="00A27A94"/>
    <w:rsid w:val="00AC11F8"/>
    <w:rsid w:val="00B13A17"/>
    <w:rsid w:val="00B37946"/>
    <w:rsid w:val="00BA19B0"/>
    <w:rsid w:val="00C077C9"/>
    <w:rsid w:val="00D21E2E"/>
    <w:rsid w:val="00F50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Pr>
      <w:color w:val="808080"/>
    </w:rPr>
  </w:style>
  <w:style w:type="paragraph" w:customStyle="1" w:styleId="30DC8A570EDC46E2A7B9493A59A3EDBF">
    <w:name w:val="30DC8A570EDC46E2A7B9493A59A3EDBF"/>
  </w:style>
  <w:style w:type="paragraph" w:customStyle="1" w:styleId="FCC917EE3B024B3F913875042D158217">
    <w:name w:val="FCC917EE3B024B3F913875042D158217"/>
  </w:style>
  <w:style w:type="paragraph" w:customStyle="1" w:styleId="86D7C883F23B4F748C3F17F33531F509">
    <w:name w:val="86D7C883F23B4F748C3F17F33531F509"/>
    <w:rPr>
      <w:lang w:val="en-GB" w:eastAsia="en-GB"/>
    </w:rPr>
  </w:style>
  <w:style w:type="paragraph" w:customStyle="1" w:styleId="326E0995190047C39B46A88D237FB39B">
    <w:name w:val="326E0995190047C39B46A88D237FB39B"/>
    <w:rPr>
      <w:lang w:val="en-GB" w:eastAsia="en-GB"/>
    </w:rPr>
  </w:style>
  <w:style w:type="paragraph" w:customStyle="1" w:styleId="4DCFE0C6C1574C519E9289A710F223E5">
    <w:name w:val="4DCFE0C6C1574C519E9289A710F223E5"/>
  </w:style>
  <w:style w:type="paragraph" w:customStyle="1" w:styleId="58BEF39C01FE43A99680DBF1E45096EF">
    <w:name w:val="58BEF39C01FE43A99680DBF1E4509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B3C1-DAD0-48F1-8366-F3230023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6</TotalTime>
  <Pages>12</Pages>
  <Words>2650</Words>
  <Characters>18286</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SGO</dc:creator>
  <cp:lastModifiedBy>ibalint</cp:lastModifiedBy>
  <cp:revision>6</cp:revision>
  <dcterms:created xsi:type="dcterms:W3CDTF">2022-02-15T11:27:00Z</dcterms:created>
  <dcterms:modified xsi:type="dcterms:W3CDTF">2022-02-15T11:38:00Z</dcterms:modified>
</cp:coreProperties>
</file>