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6CF1E2AC" w14:textId="0244BF87" w:rsidR="00517579" w:rsidRDefault="00537B19" w:rsidP="007B2341">
          <w:pPr>
            <w:pStyle w:val="Cmnmhh"/>
            <w:jc w:val="center"/>
          </w:pPr>
          <w:r>
            <w:rPr>
              <w:noProof/>
              <w:lang w:eastAsia="hu-HU"/>
            </w:rPr>
            <w:drawing>
              <wp:anchor distT="0" distB="1011555" distL="114300" distR="114300" simplePos="0" relativeHeight="251652608" behindDoc="1" locked="0" layoutInCell="1" allowOverlap="1" wp14:anchorId="1CFE83A5" wp14:editId="6B0D210A">
                <wp:simplePos x="0" y="0"/>
                <wp:positionH relativeFrom="page">
                  <wp:posOffset>0</wp:posOffset>
                </wp:positionH>
                <wp:positionV relativeFrom="page">
                  <wp:posOffset>4445</wp:posOffset>
                </wp:positionV>
                <wp:extent cx="7556500" cy="3351530"/>
                <wp:effectExtent l="0" t="0" r="0" b="0"/>
                <wp:wrapTopAndBottom/>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sdt>
            <w:sdtPr>
              <w:alias w:val="Cím"/>
              <w:tag w:val="Cím"/>
              <w:id w:val="11965258"/>
              <w:placeholder>
                <w:docPart w:val="A7E85A2A3E904405895CBFB5452ECE0A"/>
              </w:placeholder>
            </w:sdtPr>
            <w:sdtEndPr/>
            <w:sdtContent>
              <w:sdt>
                <w:sdtPr>
                  <w:alias w:val="Cím"/>
                  <w:tag w:val="Cím"/>
                  <w:id w:val="1727338726"/>
                </w:sdtPr>
                <w:sdtEndPr/>
                <w:sdtContent>
                  <w:sdt>
                    <w:sdtPr>
                      <w:alias w:val="Cím"/>
                      <w:tag w:val="Cím"/>
                      <w:id w:val="27217761"/>
                    </w:sdtPr>
                    <w:sdtEndPr/>
                    <w:sdtContent>
                      <w:r w:rsidR="009166F7">
                        <w:t>Sávismertető</w:t>
                      </w:r>
                      <w:r w:rsidR="009166F7">
                        <w:br/>
                        <w:t>26</w:t>
                      </w:r>
                      <w:r w:rsidR="003D13B9">
                        <w:t>00 M</w:t>
                      </w:r>
                      <w:r w:rsidR="009166F7">
                        <w:t>Hz</w:t>
                      </w:r>
                      <w:r w:rsidR="00F85032">
                        <w:t>-es</w:t>
                      </w:r>
                      <w:r w:rsidR="009166F7">
                        <w:t xml:space="preserve"> frekvenciasáv</w:t>
                      </w:r>
                    </w:sdtContent>
                  </w:sdt>
                </w:sdtContent>
              </w:sdt>
            </w:sdtContent>
          </w:sdt>
        </w:p>
        <w:p w14:paraId="1135F73A" w14:textId="1DB99195" w:rsidR="009166F7" w:rsidRDefault="009166F7">
          <w:pPr>
            <w:pStyle w:val="Bortlapegybnmhh"/>
            <w:spacing w:before="240"/>
            <w:rPr>
              <w:rStyle w:val="BortlapegybnmhhChar"/>
            </w:rPr>
          </w:pPr>
        </w:p>
        <w:p w14:paraId="41429D80" w14:textId="77777777" w:rsidR="009166F7" w:rsidRDefault="009166F7">
          <w:pPr>
            <w:pStyle w:val="Bortlapegybnmhh"/>
            <w:spacing w:before="240"/>
            <w:rPr>
              <w:rStyle w:val="BortlapegybnmhhChar"/>
            </w:rPr>
          </w:pPr>
        </w:p>
        <w:p w14:paraId="42C76370" w14:textId="77777777" w:rsidR="009166F7" w:rsidRDefault="009166F7">
          <w:pPr>
            <w:pStyle w:val="Bortlapegybnmhh"/>
            <w:spacing w:before="240"/>
            <w:rPr>
              <w:rStyle w:val="BortlapegybnmhhChar"/>
            </w:rPr>
          </w:pPr>
        </w:p>
        <w:p w14:paraId="57F9BFB8" w14:textId="77777777" w:rsidR="009166F7" w:rsidRDefault="009166F7">
          <w:pPr>
            <w:pStyle w:val="Bortlapegybnmhh"/>
            <w:spacing w:before="240"/>
            <w:rPr>
              <w:rStyle w:val="BortlapegybnmhhChar"/>
            </w:rPr>
          </w:pPr>
        </w:p>
        <w:p w14:paraId="6E79C3EF" w14:textId="77777777" w:rsidR="009166F7" w:rsidRDefault="009166F7">
          <w:pPr>
            <w:pStyle w:val="Bortlapegybnmhh"/>
            <w:spacing w:before="240"/>
            <w:rPr>
              <w:rStyle w:val="BortlapegybnmhhChar"/>
            </w:rPr>
          </w:pPr>
        </w:p>
        <w:p w14:paraId="58BD392C" w14:textId="77777777" w:rsidR="009166F7" w:rsidRDefault="009166F7">
          <w:pPr>
            <w:pStyle w:val="Bortlapegybnmhh"/>
            <w:spacing w:before="240"/>
            <w:rPr>
              <w:rStyle w:val="BortlapegybnmhhChar"/>
            </w:rPr>
          </w:pPr>
        </w:p>
        <w:p w14:paraId="30032F6B" w14:textId="37AA1615" w:rsidR="009166F7" w:rsidRDefault="009166F7">
          <w:pPr>
            <w:pStyle w:val="Bortlapegybnmhh"/>
            <w:spacing w:before="240"/>
            <w:rPr>
              <w:rStyle w:val="BortlapegybnmhhChar"/>
            </w:rPr>
          </w:pPr>
        </w:p>
        <w:p w14:paraId="131DFC59" w14:textId="4073EF49" w:rsidR="00453CAD" w:rsidRDefault="00453CAD">
          <w:pPr>
            <w:pStyle w:val="Bortlapegybnmhh"/>
            <w:spacing w:before="240"/>
            <w:rPr>
              <w:rStyle w:val="BortlapegybnmhhChar"/>
            </w:rPr>
          </w:pPr>
        </w:p>
        <w:p w14:paraId="3AAFA12E" w14:textId="77777777" w:rsidR="00453CAD" w:rsidRDefault="00453CAD">
          <w:pPr>
            <w:pStyle w:val="Bortlapegybnmhh"/>
            <w:spacing w:before="240"/>
            <w:rPr>
              <w:rStyle w:val="BortlapegybnmhhChar"/>
            </w:rPr>
          </w:pPr>
        </w:p>
        <w:p w14:paraId="02733B07" w14:textId="6619EB44" w:rsidR="00517579" w:rsidRDefault="00ED259D" w:rsidP="00891608">
          <w:pPr>
            <w:pStyle w:val="Bortlapegybnmhh"/>
            <w:spacing w:before="240"/>
            <w:jc w:val="center"/>
          </w:pPr>
          <w:sdt>
            <w:sdtPr>
              <w:rPr>
                <w:rStyle w:val="BortlapegybnmhhChar"/>
              </w:rPr>
              <w:alias w:val="Dátum"/>
              <w:tag w:val="Dátum"/>
              <w:id w:val="11965270"/>
              <w:date w:fullDate="2022-02-15T00:00:00Z">
                <w:dateFormat w:val="yyyy. MMMM d."/>
                <w:lid w:val="hu-HU"/>
                <w:storeMappedDataAs w:val="dateTime"/>
                <w:calendar w:val="gregorian"/>
              </w:date>
            </w:sdtPr>
            <w:sdtEndPr>
              <w:rPr>
                <w:rStyle w:val="Bekezdsalapbettpusa"/>
              </w:rPr>
            </w:sdtEndPr>
            <w:sdtContent>
              <w:r w:rsidR="007E37CE">
                <w:rPr>
                  <w:rStyle w:val="BortlapegybnmhhChar"/>
                </w:rPr>
                <w:t>2022. február 15.</w:t>
              </w:r>
            </w:sdtContent>
          </w:sdt>
        </w:p>
        <w:p w14:paraId="19AC32EB" w14:textId="77777777" w:rsidR="00517579" w:rsidRDefault="00ED259D">
          <w:pPr>
            <w:spacing w:after="200"/>
            <w:jc w:val="left"/>
            <w:rPr>
              <w:b/>
              <w:bCs/>
            </w:rPr>
            <w:sectPr w:rsidR="00517579">
              <w:headerReference w:type="even" r:id="rId9"/>
              <w:headerReference w:type="default" r:id="rId10"/>
              <w:footerReference w:type="even" r:id="rId11"/>
              <w:footerReference w:type="default" r:id="rId12"/>
              <w:headerReference w:type="first" r:id="rId13"/>
              <w:pgSz w:w="11906" w:h="16838"/>
              <w:pgMar w:top="1417" w:right="1417" w:bottom="1417" w:left="1417" w:header="1417" w:footer="709" w:gutter="0"/>
              <w:cols w:space="708"/>
              <w:titlePg/>
              <w:docGrid w:linePitch="360"/>
            </w:sectPr>
          </w:pPr>
        </w:p>
      </w:sdtContent>
    </w:sd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EndPr/>
      <w:sdtContent>
        <w:p w14:paraId="7E2A1DC3" w14:textId="77777777" w:rsidR="00517579" w:rsidRDefault="00537B19">
          <w:pPr>
            <w:pStyle w:val="Tartalomjegyzkcmsoranmhh"/>
          </w:pPr>
          <w:r>
            <w:t>Tartalom</w:t>
          </w:r>
          <w:bookmarkStart w:id="0" w:name="_GoBack"/>
          <w:bookmarkEnd w:id="0"/>
          <w:r>
            <w:t>jegyzék</w:t>
          </w:r>
        </w:p>
        <w:p w14:paraId="462B6B88" w14:textId="3A25399F" w:rsidR="004A4E5B" w:rsidRDefault="00537B19">
          <w:pPr>
            <w:pStyle w:val="TJ1"/>
            <w:tabs>
              <w:tab w:val="left" w:pos="440"/>
              <w:tab w:val="right" w:leader="dot" w:pos="9062"/>
            </w:tabs>
            <w:rPr>
              <w:rFonts w:eastAsiaTheme="minorEastAsia" w:cstheme="minorBidi"/>
              <w:noProof/>
              <w:lang w:eastAsia="hu-HU"/>
            </w:rPr>
          </w:pPr>
          <w:r>
            <w:fldChar w:fldCharType="begin"/>
          </w:r>
          <w:r>
            <w:instrText xml:space="preserve"> TOC \o "1-3" \h \z \u </w:instrText>
          </w:r>
          <w:r>
            <w:fldChar w:fldCharType="separate"/>
          </w:r>
          <w:hyperlink w:anchor="_Toc96075711" w:history="1">
            <w:r w:rsidR="004A4E5B" w:rsidRPr="00A016E7">
              <w:rPr>
                <w:rStyle w:val="Hiperhivatkozs"/>
                <w:noProof/>
              </w:rPr>
              <w:t>1.</w:t>
            </w:r>
            <w:r w:rsidR="004A4E5B">
              <w:rPr>
                <w:rFonts w:eastAsiaTheme="minorEastAsia" w:cstheme="minorBidi"/>
                <w:noProof/>
                <w:lang w:eastAsia="hu-HU"/>
              </w:rPr>
              <w:tab/>
            </w:r>
            <w:r w:rsidR="004A4E5B" w:rsidRPr="00A016E7">
              <w:rPr>
                <w:rStyle w:val="Hiperhivatkozs"/>
                <w:noProof/>
              </w:rPr>
              <w:t>Összefoglaló</w:t>
            </w:r>
            <w:r w:rsidR="004A4E5B">
              <w:rPr>
                <w:noProof/>
                <w:webHidden/>
              </w:rPr>
              <w:tab/>
            </w:r>
            <w:r w:rsidR="004A4E5B">
              <w:rPr>
                <w:noProof/>
                <w:webHidden/>
              </w:rPr>
              <w:fldChar w:fldCharType="begin"/>
            </w:r>
            <w:r w:rsidR="004A4E5B">
              <w:rPr>
                <w:noProof/>
                <w:webHidden/>
              </w:rPr>
              <w:instrText xml:space="preserve"> PAGEREF _Toc96075711 \h </w:instrText>
            </w:r>
            <w:r w:rsidR="004A4E5B">
              <w:rPr>
                <w:noProof/>
                <w:webHidden/>
              </w:rPr>
            </w:r>
            <w:r w:rsidR="004A4E5B">
              <w:rPr>
                <w:noProof/>
                <w:webHidden/>
              </w:rPr>
              <w:fldChar w:fldCharType="separate"/>
            </w:r>
            <w:r w:rsidR="004A4E5B">
              <w:rPr>
                <w:noProof/>
                <w:webHidden/>
              </w:rPr>
              <w:t>3</w:t>
            </w:r>
            <w:r w:rsidR="004A4E5B">
              <w:rPr>
                <w:noProof/>
                <w:webHidden/>
              </w:rPr>
              <w:fldChar w:fldCharType="end"/>
            </w:r>
          </w:hyperlink>
        </w:p>
        <w:p w14:paraId="0AC91C46" w14:textId="53EE464B" w:rsidR="004A4E5B" w:rsidRDefault="004A4E5B">
          <w:pPr>
            <w:pStyle w:val="TJ1"/>
            <w:tabs>
              <w:tab w:val="left" w:pos="440"/>
              <w:tab w:val="right" w:leader="dot" w:pos="9062"/>
            </w:tabs>
            <w:rPr>
              <w:rFonts w:eastAsiaTheme="minorEastAsia" w:cstheme="minorBidi"/>
              <w:noProof/>
              <w:lang w:eastAsia="hu-HU"/>
            </w:rPr>
          </w:pPr>
          <w:hyperlink w:anchor="_Toc96075712" w:history="1">
            <w:r w:rsidRPr="00A016E7">
              <w:rPr>
                <w:rStyle w:val="Hiperhivatkozs"/>
                <w:noProof/>
              </w:rPr>
              <w:t>2.</w:t>
            </w:r>
            <w:r>
              <w:rPr>
                <w:rFonts w:eastAsiaTheme="minorEastAsia" w:cstheme="minorBidi"/>
                <w:noProof/>
                <w:lang w:eastAsia="hu-HU"/>
              </w:rPr>
              <w:tab/>
            </w:r>
            <w:r w:rsidRPr="00A016E7">
              <w:rPr>
                <w:rStyle w:val="Hiperhivatkozs"/>
                <w:noProof/>
              </w:rPr>
              <w:t>Bevezetés</w:t>
            </w:r>
            <w:r>
              <w:rPr>
                <w:noProof/>
                <w:webHidden/>
              </w:rPr>
              <w:tab/>
            </w:r>
            <w:r>
              <w:rPr>
                <w:noProof/>
                <w:webHidden/>
              </w:rPr>
              <w:fldChar w:fldCharType="begin"/>
            </w:r>
            <w:r>
              <w:rPr>
                <w:noProof/>
                <w:webHidden/>
              </w:rPr>
              <w:instrText xml:space="preserve"> PAGEREF _Toc96075712 \h </w:instrText>
            </w:r>
            <w:r>
              <w:rPr>
                <w:noProof/>
                <w:webHidden/>
              </w:rPr>
            </w:r>
            <w:r>
              <w:rPr>
                <w:noProof/>
                <w:webHidden/>
              </w:rPr>
              <w:fldChar w:fldCharType="separate"/>
            </w:r>
            <w:r>
              <w:rPr>
                <w:noProof/>
                <w:webHidden/>
              </w:rPr>
              <w:t>4</w:t>
            </w:r>
            <w:r>
              <w:rPr>
                <w:noProof/>
                <w:webHidden/>
              </w:rPr>
              <w:fldChar w:fldCharType="end"/>
            </w:r>
          </w:hyperlink>
        </w:p>
        <w:p w14:paraId="604E5111" w14:textId="71642A60" w:rsidR="004A4E5B" w:rsidRDefault="004A4E5B">
          <w:pPr>
            <w:pStyle w:val="TJ1"/>
            <w:tabs>
              <w:tab w:val="left" w:pos="440"/>
              <w:tab w:val="right" w:leader="dot" w:pos="9062"/>
            </w:tabs>
            <w:rPr>
              <w:rFonts w:eastAsiaTheme="minorEastAsia" w:cstheme="minorBidi"/>
              <w:noProof/>
              <w:lang w:eastAsia="hu-HU"/>
            </w:rPr>
          </w:pPr>
          <w:hyperlink w:anchor="_Toc96075713" w:history="1">
            <w:r w:rsidRPr="00A016E7">
              <w:rPr>
                <w:rStyle w:val="Hiperhivatkozs"/>
                <w:noProof/>
              </w:rPr>
              <w:t>3.</w:t>
            </w:r>
            <w:r>
              <w:rPr>
                <w:rFonts w:eastAsiaTheme="minorEastAsia" w:cstheme="minorBidi"/>
                <w:noProof/>
                <w:lang w:eastAsia="hu-HU"/>
              </w:rPr>
              <w:tab/>
            </w:r>
            <w:r w:rsidRPr="00A016E7">
              <w:rPr>
                <w:rStyle w:val="Hiperhivatkozs"/>
                <w:noProof/>
              </w:rPr>
              <w:t>A 2600 MHz-es frekvenciasáv szabályozása</w:t>
            </w:r>
            <w:r>
              <w:rPr>
                <w:noProof/>
                <w:webHidden/>
              </w:rPr>
              <w:tab/>
            </w:r>
            <w:r>
              <w:rPr>
                <w:noProof/>
                <w:webHidden/>
              </w:rPr>
              <w:fldChar w:fldCharType="begin"/>
            </w:r>
            <w:r>
              <w:rPr>
                <w:noProof/>
                <w:webHidden/>
              </w:rPr>
              <w:instrText xml:space="preserve"> PAGEREF _Toc96075713 \h </w:instrText>
            </w:r>
            <w:r>
              <w:rPr>
                <w:noProof/>
                <w:webHidden/>
              </w:rPr>
            </w:r>
            <w:r>
              <w:rPr>
                <w:noProof/>
                <w:webHidden/>
              </w:rPr>
              <w:fldChar w:fldCharType="separate"/>
            </w:r>
            <w:r>
              <w:rPr>
                <w:noProof/>
                <w:webHidden/>
              </w:rPr>
              <w:t>5</w:t>
            </w:r>
            <w:r>
              <w:rPr>
                <w:noProof/>
                <w:webHidden/>
              </w:rPr>
              <w:fldChar w:fldCharType="end"/>
            </w:r>
          </w:hyperlink>
        </w:p>
        <w:p w14:paraId="3788D663" w14:textId="6C69591B" w:rsidR="004A4E5B" w:rsidRDefault="004A4E5B">
          <w:pPr>
            <w:pStyle w:val="TJ2"/>
            <w:tabs>
              <w:tab w:val="left" w:pos="880"/>
              <w:tab w:val="right" w:leader="dot" w:pos="9062"/>
            </w:tabs>
            <w:rPr>
              <w:rFonts w:eastAsiaTheme="minorEastAsia" w:cstheme="minorBidi"/>
              <w:noProof/>
              <w:lang w:eastAsia="hu-HU"/>
            </w:rPr>
          </w:pPr>
          <w:hyperlink w:anchor="_Toc96075714" w:history="1">
            <w:r w:rsidRPr="00A016E7">
              <w:rPr>
                <w:rStyle w:val="Hiperhivatkozs"/>
                <w:noProof/>
              </w:rPr>
              <w:t>3.1.</w:t>
            </w:r>
            <w:r>
              <w:rPr>
                <w:rFonts w:eastAsiaTheme="minorEastAsia" w:cstheme="minorBidi"/>
                <w:noProof/>
                <w:lang w:eastAsia="hu-HU"/>
              </w:rPr>
              <w:tab/>
            </w:r>
            <w:r w:rsidRPr="00A016E7">
              <w:rPr>
                <w:rStyle w:val="Hiperhivatkozs"/>
                <w:noProof/>
              </w:rPr>
              <w:t>Nemzetközi szabályozás</w:t>
            </w:r>
            <w:r>
              <w:rPr>
                <w:noProof/>
                <w:webHidden/>
              </w:rPr>
              <w:tab/>
            </w:r>
            <w:r>
              <w:rPr>
                <w:noProof/>
                <w:webHidden/>
              </w:rPr>
              <w:fldChar w:fldCharType="begin"/>
            </w:r>
            <w:r>
              <w:rPr>
                <w:noProof/>
                <w:webHidden/>
              </w:rPr>
              <w:instrText xml:space="preserve"> PAGEREF _Toc96075714 \h </w:instrText>
            </w:r>
            <w:r>
              <w:rPr>
                <w:noProof/>
                <w:webHidden/>
              </w:rPr>
            </w:r>
            <w:r>
              <w:rPr>
                <w:noProof/>
                <w:webHidden/>
              </w:rPr>
              <w:fldChar w:fldCharType="separate"/>
            </w:r>
            <w:r>
              <w:rPr>
                <w:noProof/>
                <w:webHidden/>
              </w:rPr>
              <w:t>5</w:t>
            </w:r>
            <w:r>
              <w:rPr>
                <w:noProof/>
                <w:webHidden/>
              </w:rPr>
              <w:fldChar w:fldCharType="end"/>
            </w:r>
          </w:hyperlink>
        </w:p>
        <w:p w14:paraId="17956C4F" w14:textId="187F42F1" w:rsidR="004A4E5B" w:rsidRDefault="004A4E5B">
          <w:pPr>
            <w:pStyle w:val="TJ3"/>
            <w:tabs>
              <w:tab w:val="left" w:pos="1320"/>
              <w:tab w:val="right" w:leader="dot" w:pos="9062"/>
            </w:tabs>
            <w:rPr>
              <w:rFonts w:eastAsiaTheme="minorEastAsia" w:cstheme="minorBidi"/>
              <w:noProof/>
              <w:lang w:eastAsia="hu-HU"/>
            </w:rPr>
          </w:pPr>
          <w:hyperlink w:anchor="_Toc96075715" w:history="1">
            <w:r w:rsidRPr="00A016E7">
              <w:rPr>
                <w:rStyle w:val="Hiperhivatkozs"/>
                <w:noProof/>
              </w:rPr>
              <w:t>3.1.1.</w:t>
            </w:r>
            <w:r>
              <w:rPr>
                <w:rFonts w:eastAsiaTheme="minorEastAsia" w:cstheme="minorBidi"/>
                <w:noProof/>
                <w:lang w:eastAsia="hu-HU"/>
              </w:rPr>
              <w:tab/>
            </w:r>
            <w:r w:rsidRPr="00A016E7">
              <w:rPr>
                <w:rStyle w:val="Hiperhivatkozs"/>
                <w:noProof/>
              </w:rPr>
              <w:t>ITU</w:t>
            </w:r>
            <w:r>
              <w:rPr>
                <w:noProof/>
                <w:webHidden/>
              </w:rPr>
              <w:tab/>
            </w:r>
            <w:r>
              <w:rPr>
                <w:noProof/>
                <w:webHidden/>
              </w:rPr>
              <w:fldChar w:fldCharType="begin"/>
            </w:r>
            <w:r>
              <w:rPr>
                <w:noProof/>
                <w:webHidden/>
              </w:rPr>
              <w:instrText xml:space="preserve"> PAGEREF _Toc96075715 \h </w:instrText>
            </w:r>
            <w:r>
              <w:rPr>
                <w:noProof/>
                <w:webHidden/>
              </w:rPr>
            </w:r>
            <w:r>
              <w:rPr>
                <w:noProof/>
                <w:webHidden/>
              </w:rPr>
              <w:fldChar w:fldCharType="separate"/>
            </w:r>
            <w:r>
              <w:rPr>
                <w:noProof/>
                <w:webHidden/>
              </w:rPr>
              <w:t>5</w:t>
            </w:r>
            <w:r>
              <w:rPr>
                <w:noProof/>
                <w:webHidden/>
              </w:rPr>
              <w:fldChar w:fldCharType="end"/>
            </w:r>
          </w:hyperlink>
        </w:p>
        <w:p w14:paraId="5A68CC18" w14:textId="5E376B7E" w:rsidR="004A4E5B" w:rsidRDefault="004A4E5B">
          <w:pPr>
            <w:pStyle w:val="TJ3"/>
            <w:tabs>
              <w:tab w:val="left" w:pos="1320"/>
              <w:tab w:val="right" w:leader="dot" w:pos="9062"/>
            </w:tabs>
            <w:rPr>
              <w:rFonts w:eastAsiaTheme="minorEastAsia" w:cstheme="minorBidi"/>
              <w:noProof/>
              <w:lang w:eastAsia="hu-HU"/>
            </w:rPr>
          </w:pPr>
          <w:hyperlink w:anchor="_Toc96075716" w:history="1">
            <w:r w:rsidRPr="00A016E7">
              <w:rPr>
                <w:rStyle w:val="Hiperhivatkozs"/>
                <w:noProof/>
              </w:rPr>
              <w:t>3.1.2.</w:t>
            </w:r>
            <w:r>
              <w:rPr>
                <w:rFonts w:eastAsiaTheme="minorEastAsia" w:cstheme="minorBidi"/>
                <w:noProof/>
                <w:lang w:eastAsia="hu-HU"/>
              </w:rPr>
              <w:tab/>
            </w:r>
            <w:r w:rsidRPr="00A016E7">
              <w:rPr>
                <w:rStyle w:val="Hiperhivatkozs"/>
                <w:noProof/>
              </w:rPr>
              <w:t>CEPT</w:t>
            </w:r>
            <w:r>
              <w:rPr>
                <w:noProof/>
                <w:webHidden/>
              </w:rPr>
              <w:tab/>
            </w:r>
            <w:r>
              <w:rPr>
                <w:noProof/>
                <w:webHidden/>
              </w:rPr>
              <w:fldChar w:fldCharType="begin"/>
            </w:r>
            <w:r>
              <w:rPr>
                <w:noProof/>
                <w:webHidden/>
              </w:rPr>
              <w:instrText xml:space="preserve"> PAGEREF _Toc96075716 \h </w:instrText>
            </w:r>
            <w:r>
              <w:rPr>
                <w:noProof/>
                <w:webHidden/>
              </w:rPr>
            </w:r>
            <w:r>
              <w:rPr>
                <w:noProof/>
                <w:webHidden/>
              </w:rPr>
              <w:fldChar w:fldCharType="separate"/>
            </w:r>
            <w:r>
              <w:rPr>
                <w:noProof/>
                <w:webHidden/>
              </w:rPr>
              <w:t>5</w:t>
            </w:r>
            <w:r>
              <w:rPr>
                <w:noProof/>
                <w:webHidden/>
              </w:rPr>
              <w:fldChar w:fldCharType="end"/>
            </w:r>
          </w:hyperlink>
        </w:p>
        <w:p w14:paraId="016A93CF" w14:textId="57161F4A" w:rsidR="004A4E5B" w:rsidRDefault="004A4E5B">
          <w:pPr>
            <w:pStyle w:val="TJ3"/>
            <w:tabs>
              <w:tab w:val="left" w:pos="1320"/>
              <w:tab w:val="right" w:leader="dot" w:pos="9062"/>
            </w:tabs>
            <w:rPr>
              <w:rFonts w:eastAsiaTheme="minorEastAsia" w:cstheme="minorBidi"/>
              <w:noProof/>
              <w:lang w:eastAsia="hu-HU"/>
            </w:rPr>
          </w:pPr>
          <w:hyperlink w:anchor="_Toc96075717" w:history="1">
            <w:r w:rsidRPr="00A016E7">
              <w:rPr>
                <w:rStyle w:val="Hiperhivatkozs"/>
                <w:noProof/>
              </w:rPr>
              <w:t>3.1.3.</w:t>
            </w:r>
            <w:r>
              <w:rPr>
                <w:rFonts w:eastAsiaTheme="minorEastAsia" w:cstheme="minorBidi"/>
                <w:noProof/>
                <w:lang w:eastAsia="hu-HU"/>
              </w:rPr>
              <w:tab/>
            </w:r>
            <w:r w:rsidRPr="00A016E7">
              <w:rPr>
                <w:rStyle w:val="Hiperhivatkozs"/>
                <w:noProof/>
              </w:rPr>
              <w:t>EU</w:t>
            </w:r>
            <w:r>
              <w:rPr>
                <w:noProof/>
                <w:webHidden/>
              </w:rPr>
              <w:tab/>
            </w:r>
            <w:r>
              <w:rPr>
                <w:noProof/>
                <w:webHidden/>
              </w:rPr>
              <w:fldChar w:fldCharType="begin"/>
            </w:r>
            <w:r>
              <w:rPr>
                <w:noProof/>
                <w:webHidden/>
              </w:rPr>
              <w:instrText xml:space="preserve"> PAGEREF _Toc96075717 \h </w:instrText>
            </w:r>
            <w:r>
              <w:rPr>
                <w:noProof/>
                <w:webHidden/>
              </w:rPr>
            </w:r>
            <w:r>
              <w:rPr>
                <w:noProof/>
                <w:webHidden/>
              </w:rPr>
              <w:fldChar w:fldCharType="separate"/>
            </w:r>
            <w:r>
              <w:rPr>
                <w:noProof/>
                <w:webHidden/>
              </w:rPr>
              <w:t>6</w:t>
            </w:r>
            <w:r>
              <w:rPr>
                <w:noProof/>
                <w:webHidden/>
              </w:rPr>
              <w:fldChar w:fldCharType="end"/>
            </w:r>
          </w:hyperlink>
        </w:p>
        <w:p w14:paraId="70B50C91" w14:textId="720645BE" w:rsidR="004A4E5B" w:rsidRDefault="004A4E5B">
          <w:pPr>
            <w:pStyle w:val="TJ2"/>
            <w:tabs>
              <w:tab w:val="left" w:pos="880"/>
              <w:tab w:val="right" w:leader="dot" w:pos="9062"/>
            </w:tabs>
            <w:rPr>
              <w:rFonts w:eastAsiaTheme="minorEastAsia" w:cstheme="minorBidi"/>
              <w:noProof/>
              <w:lang w:eastAsia="hu-HU"/>
            </w:rPr>
          </w:pPr>
          <w:hyperlink w:anchor="_Toc96075718" w:history="1">
            <w:r w:rsidRPr="00A016E7">
              <w:rPr>
                <w:rStyle w:val="Hiperhivatkozs"/>
                <w:noProof/>
              </w:rPr>
              <w:t>3.2.</w:t>
            </w:r>
            <w:r>
              <w:rPr>
                <w:rFonts w:eastAsiaTheme="minorEastAsia" w:cstheme="minorBidi"/>
                <w:noProof/>
                <w:lang w:eastAsia="hu-HU"/>
              </w:rPr>
              <w:tab/>
            </w:r>
            <w:r w:rsidRPr="00A016E7">
              <w:rPr>
                <w:rStyle w:val="Hiperhivatkozs"/>
                <w:noProof/>
              </w:rPr>
              <w:t>Nemzeti szabályozás</w:t>
            </w:r>
            <w:r>
              <w:rPr>
                <w:noProof/>
                <w:webHidden/>
              </w:rPr>
              <w:tab/>
            </w:r>
            <w:r>
              <w:rPr>
                <w:noProof/>
                <w:webHidden/>
              </w:rPr>
              <w:fldChar w:fldCharType="begin"/>
            </w:r>
            <w:r>
              <w:rPr>
                <w:noProof/>
                <w:webHidden/>
              </w:rPr>
              <w:instrText xml:space="preserve"> PAGEREF _Toc96075718 \h </w:instrText>
            </w:r>
            <w:r>
              <w:rPr>
                <w:noProof/>
                <w:webHidden/>
              </w:rPr>
            </w:r>
            <w:r>
              <w:rPr>
                <w:noProof/>
                <w:webHidden/>
              </w:rPr>
              <w:fldChar w:fldCharType="separate"/>
            </w:r>
            <w:r>
              <w:rPr>
                <w:noProof/>
                <w:webHidden/>
              </w:rPr>
              <w:t>6</w:t>
            </w:r>
            <w:r>
              <w:rPr>
                <w:noProof/>
                <w:webHidden/>
              </w:rPr>
              <w:fldChar w:fldCharType="end"/>
            </w:r>
          </w:hyperlink>
        </w:p>
        <w:p w14:paraId="6CB0027F" w14:textId="1C1461D6" w:rsidR="004A4E5B" w:rsidRDefault="004A4E5B">
          <w:pPr>
            <w:pStyle w:val="TJ3"/>
            <w:tabs>
              <w:tab w:val="left" w:pos="1320"/>
              <w:tab w:val="right" w:leader="dot" w:pos="9062"/>
            </w:tabs>
            <w:rPr>
              <w:rFonts w:eastAsiaTheme="minorEastAsia" w:cstheme="minorBidi"/>
              <w:noProof/>
              <w:lang w:eastAsia="hu-HU"/>
            </w:rPr>
          </w:pPr>
          <w:hyperlink w:anchor="_Toc96075719" w:history="1">
            <w:r w:rsidRPr="00A016E7">
              <w:rPr>
                <w:rStyle w:val="Hiperhivatkozs"/>
                <w:noProof/>
              </w:rPr>
              <w:t>3.2.1.</w:t>
            </w:r>
            <w:r>
              <w:rPr>
                <w:rFonts w:eastAsiaTheme="minorEastAsia" w:cstheme="minorBidi"/>
                <w:noProof/>
                <w:lang w:eastAsia="hu-HU"/>
              </w:rPr>
              <w:tab/>
            </w:r>
            <w:r w:rsidRPr="00A016E7">
              <w:rPr>
                <w:rStyle w:val="Hiperhivatkozs"/>
                <w:noProof/>
              </w:rPr>
              <w:t>A 2600-2615 MHz sávrészben használható alkalmazások</w:t>
            </w:r>
            <w:r>
              <w:rPr>
                <w:noProof/>
                <w:webHidden/>
              </w:rPr>
              <w:tab/>
            </w:r>
            <w:r>
              <w:rPr>
                <w:noProof/>
                <w:webHidden/>
              </w:rPr>
              <w:fldChar w:fldCharType="begin"/>
            </w:r>
            <w:r>
              <w:rPr>
                <w:noProof/>
                <w:webHidden/>
              </w:rPr>
              <w:instrText xml:space="preserve"> PAGEREF _Toc96075719 \h </w:instrText>
            </w:r>
            <w:r>
              <w:rPr>
                <w:noProof/>
                <w:webHidden/>
              </w:rPr>
            </w:r>
            <w:r>
              <w:rPr>
                <w:noProof/>
                <w:webHidden/>
              </w:rPr>
              <w:fldChar w:fldCharType="separate"/>
            </w:r>
            <w:r>
              <w:rPr>
                <w:noProof/>
                <w:webHidden/>
              </w:rPr>
              <w:t>6</w:t>
            </w:r>
            <w:r>
              <w:rPr>
                <w:noProof/>
                <w:webHidden/>
              </w:rPr>
              <w:fldChar w:fldCharType="end"/>
            </w:r>
          </w:hyperlink>
        </w:p>
        <w:p w14:paraId="375CB634" w14:textId="2BE48A7F" w:rsidR="004A4E5B" w:rsidRDefault="004A4E5B">
          <w:pPr>
            <w:pStyle w:val="TJ3"/>
            <w:tabs>
              <w:tab w:val="left" w:pos="1320"/>
              <w:tab w:val="right" w:leader="dot" w:pos="9062"/>
            </w:tabs>
            <w:rPr>
              <w:rFonts w:eastAsiaTheme="minorEastAsia" w:cstheme="minorBidi"/>
              <w:noProof/>
              <w:lang w:eastAsia="hu-HU"/>
            </w:rPr>
          </w:pPr>
          <w:hyperlink w:anchor="_Toc96075720" w:history="1">
            <w:r w:rsidRPr="00A016E7">
              <w:rPr>
                <w:rStyle w:val="Hiperhivatkozs"/>
                <w:noProof/>
              </w:rPr>
              <w:t>3.2.2.</w:t>
            </w:r>
            <w:r>
              <w:rPr>
                <w:rFonts w:eastAsiaTheme="minorEastAsia" w:cstheme="minorBidi"/>
                <w:noProof/>
                <w:lang w:eastAsia="hu-HU"/>
              </w:rPr>
              <w:tab/>
            </w:r>
            <w:r w:rsidRPr="00A016E7">
              <w:rPr>
                <w:rStyle w:val="Hiperhivatkozs"/>
                <w:noProof/>
              </w:rPr>
              <w:t>Jelenlegi használati feltételek a 2600-2615 MHz frekvenciasávrészben</w:t>
            </w:r>
            <w:r>
              <w:rPr>
                <w:noProof/>
                <w:webHidden/>
              </w:rPr>
              <w:tab/>
            </w:r>
            <w:r>
              <w:rPr>
                <w:noProof/>
                <w:webHidden/>
              </w:rPr>
              <w:fldChar w:fldCharType="begin"/>
            </w:r>
            <w:r>
              <w:rPr>
                <w:noProof/>
                <w:webHidden/>
              </w:rPr>
              <w:instrText xml:space="preserve"> PAGEREF _Toc96075720 \h </w:instrText>
            </w:r>
            <w:r>
              <w:rPr>
                <w:noProof/>
                <w:webHidden/>
              </w:rPr>
            </w:r>
            <w:r>
              <w:rPr>
                <w:noProof/>
                <w:webHidden/>
              </w:rPr>
              <w:fldChar w:fldCharType="separate"/>
            </w:r>
            <w:r>
              <w:rPr>
                <w:noProof/>
                <w:webHidden/>
              </w:rPr>
              <w:t>7</w:t>
            </w:r>
            <w:r>
              <w:rPr>
                <w:noProof/>
                <w:webHidden/>
              </w:rPr>
              <w:fldChar w:fldCharType="end"/>
            </w:r>
          </w:hyperlink>
        </w:p>
        <w:p w14:paraId="7AC6AA4D" w14:textId="55A8B908" w:rsidR="004A4E5B" w:rsidRDefault="004A4E5B">
          <w:pPr>
            <w:pStyle w:val="TJ1"/>
            <w:tabs>
              <w:tab w:val="left" w:pos="440"/>
              <w:tab w:val="right" w:leader="dot" w:pos="9062"/>
            </w:tabs>
            <w:rPr>
              <w:rFonts w:eastAsiaTheme="minorEastAsia" w:cstheme="minorBidi"/>
              <w:noProof/>
              <w:lang w:eastAsia="hu-HU"/>
            </w:rPr>
          </w:pPr>
          <w:hyperlink w:anchor="_Toc96075721" w:history="1">
            <w:r w:rsidRPr="00A016E7">
              <w:rPr>
                <w:rStyle w:val="Hiperhivatkozs"/>
                <w:noProof/>
              </w:rPr>
              <w:t>4.</w:t>
            </w:r>
            <w:r>
              <w:rPr>
                <w:rFonts w:eastAsiaTheme="minorEastAsia" w:cstheme="minorBidi"/>
                <w:noProof/>
                <w:lang w:eastAsia="hu-HU"/>
              </w:rPr>
              <w:tab/>
            </w:r>
            <w:r w:rsidRPr="00A016E7">
              <w:rPr>
                <w:rStyle w:val="Hiperhivatkozs"/>
                <w:noProof/>
              </w:rPr>
              <w:t>A 2500-2690 MHz frekvenciasáv jelenlegi használata</w:t>
            </w:r>
            <w:r>
              <w:rPr>
                <w:noProof/>
                <w:webHidden/>
              </w:rPr>
              <w:tab/>
            </w:r>
            <w:r>
              <w:rPr>
                <w:noProof/>
                <w:webHidden/>
              </w:rPr>
              <w:fldChar w:fldCharType="begin"/>
            </w:r>
            <w:r>
              <w:rPr>
                <w:noProof/>
                <w:webHidden/>
              </w:rPr>
              <w:instrText xml:space="preserve"> PAGEREF _Toc96075721 \h </w:instrText>
            </w:r>
            <w:r>
              <w:rPr>
                <w:noProof/>
                <w:webHidden/>
              </w:rPr>
            </w:r>
            <w:r>
              <w:rPr>
                <w:noProof/>
                <w:webHidden/>
              </w:rPr>
              <w:fldChar w:fldCharType="separate"/>
            </w:r>
            <w:r>
              <w:rPr>
                <w:noProof/>
                <w:webHidden/>
              </w:rPr>
              <w:t>8</w:t>
            </w:r>
            <w:r>
              <w:rPr>
                <w:noProof/>
                <w:webHidden/>
              </w:rPr>
              <w:fldChar w:fldCharType="end"/>
            </w:r>
          </w:hyperlink>
        </w:p>
        <w:p w14:paraId="32803BC4" w14:textId="05A62DA1" w:rsidR="004A4E5B" w:rsidRDefault="004A4E5B">
          <w:pPr>
            <w:pStyle w:val="TJ1"/>
            <w:tabs>
              <w:tab w:val="left" w:pos="440"/>
              <w:tab w:val="right" w:leader="dot" w:pos="9062"/>
            </w:tabs>
            <w:rPr>
              <w:rFonts w:eastAsiaTheme="minorEastAsia" w:cstheme="minorBidi"/>
              <w:noProof/>
              <w:lang w:eastAsia="hu-HU"/>
            </w:rPr>
          </w:pPr>
          <w:hyperlink w:anchor="_Toc96075722" w:history="1">
            <w:r w:rsidRPr="00A016E7">
              <w:rPr>
                <w:rStyle w:val="Hiperhivatkozs"/>
                <w:noProof/>
              </w:rPr>
              <w:t>5.</w:t>
            </w:r>
            <w:r>
              <w:rPr>
                <w:rFonts w:eastAsiaTheme="minorEastAsia" w:cstheme="minorBidi"/>
                <w:noProof/>
                <w:lang w:eastAsia="hu-HU"/>
              </w:rPr>
              <w:tab/>
            </w:r>
            <w:r w:rsidRPr="00A016E7">
              <w:rPr>
                <w:rStyle w:val="Hiperhivatkozs"/>
                <w:noProof/>
              </w:rPr>
              <w:t>Nemzetközi koordináció</w:t>
            </w:r>
            <w:r>
              <w:rPr>
                <w:noProof/>
                <w:webHidden/>
              </w:rPr>
              <w:tab/>
            </w:r>
            <w:r>
              <w:rPr>
                <w:noProof/>
                <w:webHidden/>
              </w:rPr>
              <w:fldChar w:fldCharType="begin"/>
            </w:r>
            <w:r>
              <w:rPr>
                <w:noProof/>
                <w:webHidden/>
              </w:rPr>
              <w:instrText xml:space="preserve"> PAGEREF _Toc96075722 \h </w:instrText>
            </w:r>
            <w:r>
              <w:rPr>
                <w:noProof/>
                <w:webHidden/>
              </w:rPr>
            </w:r>
            <w:r>
              <w:rPr>
                <w:noProof/>
                <w:webHidden/>
              </w:rPr>
              <w:fldChar w:fldCharType="separate"/>
            </w:r>
            <w:r>
              <w:rPr>
                <w:noProof/>
                <w:webHidden/>
              </w:rPr>
              <w:t>9</w:t>
            </w:r>
            <w:r>
              <w:rPr>
                <w:noProof/>
                <w:webHidden/>
              </w:rPr>
              <w:fldChar w:fldCharType="end"/>
            </w:r>
          </w:hyperlink>
        </w:p>
        <w:p w14:paraId="7C81A857" w14:textId="126091F9" w:rsidR="004A4E5B" w:rsidRDefault="004A4E5B">
          <w:pPr>
            <w:pStyle w:val="TJ1"/>
            <w:tabs>
              <w:tab w:val="left" w:pos="440"/>
              <w:tab w:val="right" w:leader="dot" w:pos="9062"/>
            </w:tabs>
            <w:rPr>
              <w:rFonts w:eastAsiaTheme="minorEastAsia" w:cstheme="minorBidi"/>
              <w:noProof/>
              <w:lang w:eastAsia="hu-HU"/>
            </w:rPr>
          </w:pPr>
          <w:hyperlink w:anchor="_Toc96075723" w:history="1">
            <w:r w:rsidRPr="00A016E7">
              <w:rPr>
                <w:rStyle w:val="Hiperhivatkozs"/>
                <w:noProof/>
              </w:rPr>
              <w:t>6.</w:t>
            </w:r>
            <w:r>
              <w:rPr>
                <w:rFonts w:eastAsiaTheme="minorEastAsia" w:cstheme="minorBidi"/>
                <w:noProof/>
                <w:lang w:eastAsia="hu-HU"/>
              </w:rPr>
              <w:tab/>
            </w:r>
            <w:r w:rsidRPr="00A016E7">
              <w:rPr>
                <w:rStyle w:val="Hiperhivatkozs"/>
                <w:noProof/>
              </w:rPr>
              <w:t>MFCN és egyéb rádiószolgálatok közötti összeférhetőségi kérdések</w:t>
            </w:r>
            <w:r>
              <w:rPr>
                <w:noProof/>
                <w:webHidden/>
              </w:rPr>
              <w:tab/>
            </w:r>
            <w:r>
              <w:rPr>
                <w:noProof/>
                <w:webHidden/>
              </w:rPr>
              <w:fldChar w:fldCharType="begin"/>
            </w:r>
            <w:r>
              <w:rPr>
                <w:noProof/>
                <w:webHidden/>
              </w:rPr>
              <w:instrText xml:space="preserve"> PAGEREF _Toc96075723 \h </w:instrText>
            </w:r>
            <w:r>
              <w:rPr>
                <w:noProof/>
                <w:webHidden/>
              </w:rPr>
            </w:r>
            <w:r>
              <w:rPr>
                <w:noProof/>
                <w:webHidden/>
              </w:rPr>
              <w:fldChar w:fldCharType="separate"/>
            </w:r>
            <w:r>
              <w:rPr>
                <w:noProof/>
                <w:webHidden/>
              </w:rPr>
              <w:t>10</w:t>
            </w:r>
            <w:r>
              <w:rPr>
                <w:noProof/>
                <w:webHidden/>
              </w:rPr>
              <w:fldChar w:fldCharType="end"/>
            </w:r>
          </w:hyperlink>
        </w:p>
        <w:p w14:paraId="1523FF27" w14:textId="5984F7C6" w:rsidR="004A4E5B" w:rsidRDefault="004A4E5B">
          <w:pPr>
            <w:pStyle w:val="TJ2"/>
            <w:tabs>
              <w:tab w:val="left" w:pos="880"/>
              <w:tab w:val="right" w:leader="dot" w:pos="9062"/>
            </w:tabs>
            <w:rPr>
              <w:rFonts w:eastAsiaTheme="minorEastAsia" w:cstheme="minorBidi"/>
              <w:noProof/>
              <w:lang w:eastAsia="hu-HU"/>
            </w:rPr>
          </w:pPr>
          <w:hyperlink w:anchor="_Toc96075724" w:history="1">
            <w:r w:rsidRPr="00A016E7">
              <w:rPr>
                <w:rStyle w:val="Hiperhivatkozs"/>
                <w:noProof/>
              </w:rPr>
              <w:t>6.1.</w:t>
            </w:r>
            <w:r>
              <w:rPr>
                <w:rFonts w:eastAsiaTheme="minorEastAsia" w:cstheme="minorBidi"/>
                <w:noProof/>
                <w:lang w:eastAsia="hu-HU"/>
              </w:rPr>
              <w:tab/>
            </w:r>
            <w:r w:rsidRPr="00A016E7">
              <w:rPr>
                <w:rStyle w:val="Hiperhivatkozs"/>
                <w:noProof/>
              </w:rPr>
              <w:t>Sávon kívüli zavaró sugárzások figyelembevétele</w:t>
            </w:r>
            <w:r>
              <w:rPr>
                <w:noProof/>
                <w:webHidden/>
              </w:rPr>
              <w:tab/>
            </w:r>
            <w:r>
              <w:rPr>
                <w:noProof/>
                <w:webHidden/>
              </w:rPr>
              <w:fldChar w:fldCharType="begin"/>
            </w:r>
            <w:r>
              <w:rPr>
                <w:noProof/>
                <w:webHidden/>
              </w:rPr>
              <w:instrText xml:space="preserve"> PAGEREF _Toc96075724 \h </w:instrText>
            </w:r>
            <w:r>
              <w:rPr>
                <w:noProof/>
                <w:webHidden/>
              </w:rPr>
            </w:r>
            <w:r>
              <w:rPr>
                <w:noProof/>
                <w:webHidden/>
              </w:rPr>
              <w:fldChar w:fldCharType="separate"/>
            </w:r>
            <w:r>
              <w:rPr>
                <w:noProof/>
                <w:webHidden/>
              </w:rPr>
              <w:t>10</w:t>
            </w:r>
            <w:r>
              <w:rPr>
                <w:noProof/>
                <w:webHidden/>
              </w:rPr>
              <w:fldChar w:fldCharType="end"/>
            </w:r>
          </w:hyperlink>
        </w:p>
        <w:p w14:paraId="2100443A" w14:textId="19106215" w:rsidR="004A4E5B" w:rsidRDefault="004A4E5B">
          <w:pPr>
            <w:pStyle w:val="TJ2"/>
            <w:tabs>
              <w:tab w:val="left" w:pos="880"/>
              <w:tab w:val="right" w:leader="dot" w:pos="9062"/>
            </w:tabs>
            <w:rPr>
              <w:rFonts w:eastAsiaTheme="minorEastAsia" w:cstheme="minorBidi"/>
              <w:noProof/>
              <w:lang w:eastAsia="hu-HU"/>
            </w:rPr>
          </w:pPr>
          <w:hyperlink w:anchor="_Toc96075725" w:history="1">
            <w:r w:rsidRPr="00A016E7">
              <w:rPr>
                <w:rStyle w:val="Hiperhivatkozs"/>
                <w:noProof/>
              </w:rPr>
              <w:t>6.2.</w:t>
            </w:r>
            <w:r>
              <w:rPr>
                <w:rFonts w:eastAsiaTheme="minorEastAsia" w:cstheme="minorBidi"/>
                <w:noProof/>
                <w:lang w:eastAsia="hu-HU"/>
              </w:rPr>
              <w:tab/>
            </w:r>
            <w:r w:rsidRPr="00A016E7">
              <w:rPr>
                <w:rStyle w:val="Hiperhivatkozs"/>
                <w:noProof/>
              </w:rPr>
              <w:t>A szomszédos frekvenciasávok alkalmazásait érintő zavarások elkerülésére vonatkozó követelmények</w:t>
            </w:r>
            <w:r>
              <w:rPr>
                <w:noProof/>
                <w:webHidden/>
              </w:rPr>
              <w:tab/>
            </w:r>
            <w:r>
              <w:rPr>
                <w:noProof/>
                <w:webHidden/>
              </w:rPr>
              <w:fldChar w:fldCharType="begin"/>
            </w:r>
            <w:r>
              <w:rPr>
                <w:noProof/>
                <w:webHidden/>
              </w:rPr>
              <w:instrText xml:space="preserve"> PAGEREF _Toc96075725 \h </w:instrText>
            </w:r>
            <w:r>
              <w:rPr>
                <w:noProof/>
                <w:webHidden/>
              </w:rPr>
            </w:r>
            <w:r>
              <w:rPr>
                <w:noProof/>
                <w:webHidden/>
              </w:rPr>
              <w:fldChar w:fldCharType="separate"/>
            </w:r>
            <w:r>
              <w:rPr>
                <w:noProof/>
                <w:webHidden/>
              </w:rPr>
              <w:t>14</w:t>
            </w:r>
            <w:r>
              <w:rPr>
                <w:noProof/>
                <w:webHidden/>
              </w:rPr>
              <w:fldChar w:fldCharType="end"/>
            </w:r>
          </w:hyperlink>
        </w:p>
        <w:p w14:paraId="22461C5F" w14:textId="3695FD19" w:rsidR="004A4E5B" w:rsidRDefault="004A4E5B">
          <w:pPr>
            <w:pStyle w:val="TJ1"/>
            <w:tabs>
              <w:tab w:val="left" w:pos="440"/>
              <w:tab w:val="right" w:leader="dot" w:pos="9062"/>
            </w:tabs>
            <w:rPr>
              <w:rFonts w:eastAsiaTheme="minorEastAsia" w:cstheme="minorBidi"/>
              <w:noProof/>
              <w:lang w:eastAsia="hu-HU"/>
            </w:rPr>
          </w:pPr>
          <w:hyperlink w:anchor="_Toc96075726" w:history="1">
            <w:r w:rsidRPr="00A016E7">
              <w:rPr>
                <w:rStyle w:val="Hiperhivatkozs"/>
                <w:noProof/>
              </w:rPr>
              <w:t>7.</w:t>
            </w:r>
            <w:r>
              <w:rPr>
                <w:rFonts w:eastAsiaTheme="minorEastAsia" w:cstheme="minorBidi"/>
                <w:noProof/>
                <w:lang w:eastAsia="hu-HU"/>
              </w:rPr>
              <w:tab/>
            </w:r>
            <w:r w:rsidRPr="00A016E7">
              <w:rPr>
                <w:rStyle w:val="Hiperhivatkozs"/>
                <w:noProof/>
              </w:rPr>
              <w:t>Rádióspektrumdíjak</w:t>
            </w:r>
            <w:r>
              <w:rPr>
                <w:noProof/>
                <w:webHidden/>
              </w:rPr>
              <w:tab/>
            </w:r>
            <w:r>
              <w:rPr>
                <w:noProof/>
                <w:webHidden/>
              </w:rPr>
              <w:fldChar w:fldCharType="begin"/>
            </w:r>
            <w:r>
              <w:rPr>
                <w:noProof/>
                <w:webHidden/>
              </w:rPr>
              <w:instrText xml:space="preserve"> PAGEREF _Toc96075726 \h </w:instrText>
            </w:r>
            <w:r>
              <w:rPr>
                <w:noProof/>
                <w:webHidden/>
              </w:rPr>
            </w:r>
            <w:r>
              <w:rPr>
                <w:noProof/>
                <w:webHidden/>
              </w:rPr>
              <w:fldChar w:fldCharType="separate"/>
            </w:r>
            <w:r>
              <w:rPr>
                <w:noProof/>
                <w:webHidden/>
              </w:rPr>
              <w:t>16</w:t>
            </w:r>
            <w:r>
              <w:rPr>
                <w:noProof/>
                <w:webHidden/>
              </w:rPr>
              <w:fldChar w:fldCharType="end"/>
            </w:r>
          </w:hyperlink>
        </w:p>
        <w:p w14:paraId="77FAEE04" w14:textId="45E03A5A" w:rsidR="00517579" w:rsidRDefault="00537B19">
          <w:r>
            <w:fldChar w:fldCharType="end"/>
          </w:r>
        </w:p>
      </w:sdtContent>
    </w:sdt>
    <w:p w14:paraId="7089FE0B" w14:textId="77777777" w:rsidR="00517579" w:rsidRDefault="00537B19">
      <w:pPr>
        <w:spacing w:after="200"/>
        <w:jc w:val="left"/>
      </w:pPr>
      <w:r>
        <w:br w:type="page"/>
      </w:r>
    </w:p>
    <w:p w14:paraId="40B479CA" w14:textId="77777777" w:rsidR="008C63E0" w:rsidRPr="004E52FB" w:rsidRDefault="008C63E0" w:rsidP="008C63E0">
      <w:pPr>
        <w:pStyle w:val="Cmsor1szmozottnmhh"/>
        <w:ind w:left="431" w:hanging="431"/>
      </w:pPr>
      <w:bookmarkStart w:id="1" w:name="_Toc26254662"/>
      <w:bookmarkStart w:id="2" w:name="_Toc451860698"/>
      <w:bookmarkStart w:id="3" w:name="_Toc473880713"/>
      <w:bookmarkStart w:id="4" w:name="_Toc82171057"/>
      <w:bookmarkStart w:id="5" w:name="_Toc89185024"/>
      <w:bookmarkStart w:id="6" w:name="_Toc96075711"/>
      <w:r w:rsidRPr="004E52FB">
        <w:lastRenderedPageBreak/>
        <w:t>Összefoglaló</w:t>
      </w:r>
      <w:bookmarkEnd w:id="1"/>
      <w:bookmarkEnd w:id="6"/>
    </w:p>
    <w:p w14:paraId="58754F5B" w14:textId="09D9DCFB" w:rsidR="0045671B" w:rsidRDefault="002276F2" w:rsidP="008C63E0">
      <w:pPr>
        <w:pStyle w:val="Behzottbekezdsnmhh"/>
      </w:pPr>
      <w:r>
        <w:t xml:space="preserve">A </w:t>
      </w:r>
      <w:r w:rsidR="00540535">
        <w:t>2500-2690 MHz frekvenciasáv</w:t>
      </w:r>
      <w:r>
        <w:t xml:space="preserve"> </w:t>
      </w:r>
      <w:r w:rsidR="00DE220D">
        <w:t xml:space="preserve">egy </w:t>
      </w:r>
      <w:proofErr w:type="spellStart"/>
      <w:r>
        <w:t>frekvenciaosztásos</w:t>
      </w:r>
      <w:proofErr w:type="spellEnd"/>
      <w:r>
        <w:t xml:space="preserve"> duplex (FDD</w:t>
      </w:r>
      <w:r w:rsidR="006122C9">
        <w:rPr>
          <w:rStyle w:val="Lbjegyzet-hivatkozs"/>
          <w:iCs/>
        </w:rPr>
        <w:footnoteReference w:id="1"/>
      </w:r>
      <w:r>
        <w:t xml:space="preserve">) </w:t>
      </w:r>
      <w:proofErr w:type="spellStart"/>
      <w:r>
        <w:t>hozzáférésű</w:t>
      </w:r>
      <w:proofErr w:type="spellEnd"/>
      <w:r>
        <w:t xml:space="preserve"> párosított sávrészből</w:t>
      </w:r>
      <w:r w:rsidR="00540535">
        <w:t xml:space="preserve"> </w:t>
      </w:r>
      <w:r>
        <w:t>(</w:t>
      </w:r>
      <w:r w:rsidR="00540535">
        <w:t>2500</w:t>
      </w:r>
      <w:r w:rsidR="00F316C7">
        <w:t>–2570/</w:t>
      </w:r>
      <w:r w:rsidR="00540535">
        <w:t>2620</w:t>
      </w:r>
      <w:r w:rsidR="00F316C7">
        <w:t>–</w:t>
      </w:r>
      <w:r w:rsidR="00540535">
        <w:t>2690 MHz)</w:t>
      </w:r>
      <w:r>
        <w:t xml:space="preserve"> és egy </w:t>
      </w:r>
      <w:proofErr w:type="spellStart"/>
      <w:r>
        <w:t>időosztásos</w:t>
      </w:r>
      <w:proofErr w:type="spellEnd"/>
      <w:r>
        <w:t xml:space="preserve"> duplex (TDD</w:t>
      </w:r>
      <w:r w:rsidR="00F316C7">
        <w:rPr>
          <w:rStyle w:val="Lbjegyzet-hivatkozs"/>
          <w:iCs/>
        </w:rPr>
        <w:footnoteReference w:id="2"/>
      </w:r>
      <w:r>
        <w:t xml:space="preserve">) </w:t>
      </w:r>
      <w:proofErr w:type="spellStart"/>
      <w:r>
        <w:t>hozzáférésű</w:t>
      </w:r>
      <w:proofErr w:type="spellEnd"/>
      <w:r>
        <w:t xml:space="preserve"> </w:t>
      </w:r>
      <w:proofErr w:type="spellStart"/>
      <w:r>
        <w:t>párosítatlan</w:t>
      </w:r>
      <w:proofErr w:type="spellEnd"/>
      <w:r>
        <w:t xml:space="preserve"> sávrészből (257</w:t>
      </w:r>
      <w:r w:rsidR="00F316C7">
        <w:t>0–2620</w:t>
      </w:r>
      <w:r>
        <w:t xml:space="preserve"> MHz) áll. A 2014-ben lefolytatott </w:t>
      </w:r>
      <w:r w:rsidR="000B3BA5">
        <w:t>pályázati</w:t>
      </w:r>
      <w:r w:rsidR="000B3BA5" w:rsidRPr="000B3BA5">
        <w:t xml:space="preserve"> </w:t>
      </w:r>
      <w:r>
        <w:t>eljárás során</w:t>
      </w:r>
      <w:r w:rsidR="00540535">
        <w:t xml:space="preserve"> </w:t>
      </w:r>
      <w:r>
        <w:t xml:space="preserve">az FDD sáv </w:t>
      </w:r>
      <w:r w:rsidR="00540535">
        <w:t xml:space="preserve">teljes egésze, míg az elosztható </w:t>
      </w:r>
      <w:r>
        <w:t>TDD</w:t>
      </w:r>
      <w:r w:rsidR="00540535">
        <w:t xml:space="preserve"> sávrésznek </w:t>
      </w:r>
      <w:r w:rsidR="00F316C7">
        <w:t xml:space="preserve">(2575–2615 MHz) </w:t>
      </w:r>
      <w:r w:rsidR="00540535">
        <w:t>csak a 2575</w:t>
      </w:r>
      <w:r w:rsidR="00A56739">
        <w:t>–</w:t>
      </w:r>
      <w:r w:rsidR="00540535">
        <w:t>2600 MHz-es tartomány</w:t>
      </w:r>
      <w:r w:rsidR="000B3BA5">
        <w:t>ára osztott el az NMHH a rádióspektrum-használati jogosultságot</w:t>
      </w:r>
      <w:r w:rsidR="00540535">
        <w:t>. A</w:t>
      </w:r>
      <w:r w:rsidR="006122C9">
        <w:t xml:space="preserve"> 2014. évi</w:t>
      </w:r>
      <w:r w:rsidR="00540535">
        <w:t xml:space="preserve"> értékesítést követő</w:t>
      </w:r>
      <w:r>
        <w:t>en</w:t>
      </w:r>
      <w:r w:rsidR="00540535">
        <w:t xml:space="preserve"> </w:t>
      </w:r>
      <w:r w:rsidR="006122C9">
        <w:t xml:space="preserve">megtartott nyilvános </w:t>
      </w:r>
      <w:r w:rsidR="000B3BA5">
        <w:t>meghallgatások</w:t>
      </w:r>
      <w:r w:rsidR="006122C9">
        <w:t xml:space="preserve">, illetve </w:t>
      </w:r>
      <w:r w:rsidR="00DE220D">
        <w:t>versenyez</w:t>
      </w:r>
      <w:r w:rsidR="000B3BA5">
        <w:t>t</w:t>
      </w:r>
      <w:r w:rsidR="00DE220D">
        <w:t>et</w:t>
      </w:r>
      <w:r w:rsidR="000B3BA5">
        <w:t xml:space="preserve">ési </w:t>
      </w:r>
      <w:r w:rsidR="006122C9">
        <w:t xml:space="preserve">eljárások során </w:t>
      </w:r>
      <w:r w:rsidR="0045671B">
        <w:t>a fennmaradó 2600-2615</w:t>
      </w:r>
      <w:r w:rsidR="00F61734">
        <w:t> </w:t>
      </w:r>
      <w:r w:rsidR="0045671B">
        <w:t xml:space="preserve">MHz </w:t>
      </w:r>
      <w:r w:rsidR="006E3A8A">
        <w:t>sáv</w:t>
      </w:r>
      <w:r w:rsidR="0045671B">
        <w:t>rész</w:t>
      </w:r>
      <w:r w:rsidR="006122C9">
        <w:t xml:space="preserve"> </w:t>
      </w:r>
      <w:r w:rsidR="0045671B">
        <w:t xml:space="preserve">iránt nem volt érdeklődés. </w:t>
      </w:r>
    </w:p>
    <w:p w14:paraId="22519F21" w14:textId="5F324662" w:rsidR="001F0152" w:rsidRDefault="0070266E" w:rsidP="008C63E0">
      <w:pPr>
        <w:pStyle w:val="Behzottbekezdsnmhh"/>
      </w:pPr>
      <w:r>
        <w:t xml:space="preserve">A technológia fejlődésére tekintettel szükségessé vált a nemzetközi valamint hazai szabályozás módosítása. </w:t>
      </w:r>
      <w:r w:rsidR="001F0152">
        <w:t>A</w:t>
      </w:r>
      <w:r w:rsidR="001F0152">
        <w:rPr>
          <w:iCs/>
        </w:rPr>
        <w:t xml:space="preserve"> korábbi</w:t>
      </w:r>
      <w:r w:rsidR="001F0152" w:rsidRPr="003C393C">
        <w:rPr>
          <w:iCs/>
        </w:rPr>
        <w:t xml:space="preserve"> harmonizációs szabályok </w:t>
      </w:r>
      <w:r w:rsidR="001F0152">
        <w:rPr>
          <w:iCs/>
        </w:rPr>
        <w:t>módos</w:t>
      </w:r>
      <w:r w:rsidR="001F0152" w:rsidRPr="003C393C">
        <w:rPr>
          <w:iCs/>
        </w:rPr>
        <w:t xml:space="preserve">ításával </w:t>
      </w:r>
      <w:r w:rsidR="001F0152">
        <w:t>az aktív antennarendszerek használata is</w:t>
      </w:r>
      <w:r w:rsidR="001F0152" w:rsidRPr="003C393C">
        <w:rPr>
          <w:iCs/>
        </w:rPr>
        <w:t xml:space="preserve"> le</w:t>
      </w:r>
      <w:r w:rsidR="001F0152">
        <w:rPr>
          <w:iCs/>
        </w:rPr>
        <w:t xml:space="preserve">hetővé vált a </w:t>
      </w:r>
      <w:r w:rsidR="001F0152" w:rsidRPr="003C393C">
        <w:rPr>
          <w:iCs/>
        </w:rPr>
        <w:t>2600 MHz-es frekvenciasávban</w:t>
      </w:r>
      <w:r w:rsidR="001F0152">
        <w:rPr>
          <w:iCs/>
        </w:rPr>
        <w:t xml:space="preserve"> az 5G hálózatok bevezetésének elősegítése céljából, továbbá a módosult szabályok alapján a </w:t>
      </w:r>
      <w:r w:rsidR="00DE220D">
        <w:rPr>
          <w:iCs/>
        </w:rPr>
        <w:t>2575–2615 MHz részsávon</w:t>
      </w:r>
      <w:r w:rsidR="001F0152">
        <w:rPr>
          <w:iCs/>
        </w:rPr>
        <w:t xml:space="preserve"> belül a </w:t>
      </w:r>
      <w:r w:rsidR="001F0152" w:rsidRPr="003C393C">
        <w:rPr>
          <w:iCs/>
        </w:rPr>
        <w:t>TDD</w:t>
      </w:r>
      <w:r w:rsidR="006122C9">
        <w:rPr>
          <w:iCs/>
        </w:rPr>
        <w:t xml:space="preserve"> üzemmód</w:t>
      </w:r>
      <w:r w:rsidR="001F0152" w:rsidRPr="003C393C">
        <w:rPr>
          <w:iCs/>
        </w:rPr>
        <w:t xml:space="preserve"> </w:t>
      </w:r>
      <w:r w:rsidR="001F0152">
        <w:rPr>
          <w:iCs/>
        </w:rPr>
        <w:t>mellett a</w:t>
      </w:r>
      <w:r w:rsidR="001F0152" w:rsidRPr="003C393C">
        <w:rPr>
          <w:iCs/>
        </w:rPr>
        <w:t xml:space="preserve"> kiegészítő </w:t>
      </w:r>
      <w:r w:rsidR="001F0152">
        <w:rPr>
          <w:iCs/>
        </w:rPr>
        <w:t>lemenő</w:t>
      </w:r>
      <w:r w:rsidR="001F0152" w:rsidRPr="003C393C">
        <w:rPr>
          <w:iCs/>
        </w:rPr>
        <w:t xml:space="preserve"> irányú összeköttetés</w:t>
      </w:r>
      <w:r w:rsidR="001F0152">
        <w:rPr>
          <w:iCs/>
        </w:rPr>
        <w:t>ek</w:t>
      </w:r>
      <w:r w:rsidR="001F0152" w:rsidRPr="003C393C">
        <w:rPr>
          <w:iCs/>
        </w:rPr>
        <w:t xml:space="preserve"> [SDL</w:t>
      </w:r>
      <w:r w:rsidR="001F0152">
        <w:rPr>
          <w:rStyle w:val="Lbjegyzet-hivatkozs"/>
          <w:iCs/>
        </w:rPr>
        <w:footnoteReference w:id="3"/>
      </w:r>
      <w:r w:rsidR="001F0152" w:rsidRPr="003C393C">
        <w:rPr>
          <w:iCs/>
        </w:rPr>
        <w:t xml:space="preserve">] </w:t>
      </w:r>
      <w:r w:rsidR="001F0152">
        <w:rPr>
          <w:iCs/>
        </w:rPr>
        <w:t xml:space="preserve">használata is </w:t>
      </w:r>
      <w:r w:rsidR="001F0152" w:rsidRPr="003C393C">
        <w:rPr>
          <w:iCs/>
        </w:rPr>
        <w:t>lehető</w:t>
      </w:r>
      <w:r w:rsidR="001F0152">
        <w:rPr>
          <w:iCs/>
        </w:rPr>
        <w:t>vé vált.</w:t>
      </w:r>
    </w:p>
    <w:p w14:paraId="784E30C4" w14:textId="51142EC4" w:rsidR="008C63E0" w:rsidRPr="004E52FB" w:rsidRDefault="001F0152" w:rsidP="008C63E0">
      <w:pPr>
        <w:pStyle w:val="Behzottbekezdsnmhh"/>
      </w:pPr>
      <w:r>
        <w:t>Tekintettel arra</w:t>
      </w:r>
      <w:r w:rsidR="0045671B">
        <w:t>, hogy a korábbi eljárásokhoz képest változott a 2500</w:t>
      </w:r>
      <w:r w:rsidR="00DE220D">
        <w:rPr>
          <w:iCs/>
        </w:rPr>
        <w:t>–</w:t>
      </w:r>
      <w:r w:rsidR="0045671B">
        <w:t>2690 MHz frekv</w:t>
      </w:r>
      <w:r>
        <w:t xml:space="preserve">enciasávra vonatkozó szabályozás, amely </w:t>
      </w:r>
      <w:r>
        <w:rPr>
          <w:iCs/>
        </w:rPr>
        <w:t>által rugalmasabbá vált</w:t>
      </w:r>
      <w:r w:rsidRPr="003C393C">
        <w:rPr>
          <w:iCs/>
        </w:rPr>
        <w:t xml:space="preserve"> a </w:t>
      </w:r>
      <w:r w:rsidR="00F61734">
        <w:rPr>
          <w:iCs/>
        </w:rPr>
        <w:t>rádió</w:t>
      </w:r>
      <w:r>
        <w:rPr>
          <w:iCs/>
        </w:rPr>
        <w:t>spektrum</w:t>
      </w:r>
      <w:r w:rsidRPr="003C393C">
        <w:rPr>
          <w:iCs/>
        </w:rPr>
        <w:t>használat szabályozása</w:t>
      </w:r>
      <w:r>
        <w:rPr>
          <w:iCs/>
        </w:rPr>
        <w:t xml:space="preserve"> Magyarországon is, jelen </w:t>
      </w:r>
      <w:r w:rsidR="00E31D5A">
        <w:rPr>
          <w:iCs/>
        </w:rPr>
        <w:t>meghallgatás</w:t>
      </w:r>
      <w:r>
        <w:rPr>
          <w:iCs/>
        </w:rPr>
        <w:t xml:space="preserve"> során ismét felmérjük az igényeket</w:t>
      </w:r>
      <w:r w:rsidR="00645B09">
        <w:rPr>
          <w:iCs/>
        </w:rPr>
        <w:t>,</w:t>
      </w:r>
      <w:r>
        <w:rPr>
          <w:iCs/>
        </w:rPr>
        <w:t xml:space="preserve"> figyelembe véve az újgenerációs hálózatok egyre növekvő spektrumszükségletét.</w:t>
      </w:r>
    </w:p>
    <w:p w14:paraId="47F92934" w14:textId="77777777" w:rsidR="008C63E0" w:rsidRDefault="008C63E0" w:rsidP="008C63E0">
      <w:pPr>
        <w:pStyle w:val="Cmsor1szmozottnmhh"/>
        <w:ind w:left="431" w:hanging="431"/>
      </w:pPr>
      <w:bookmarkStart w:id="7" w:name="_Toc26254663"/>
      <w:bookmarkStart w:id="8" w:name="_Toc96075712"/>
      <w:bookmarkEnd w:id="2"/>
      <w:bookmarkEnd w:id="3"/>
      <w:bookmarkEnd w:id="4"/>
      <w:bookmarkEnd w:id="5"/>
      <w:r w:rsidRPr="002C53F8">
        <w:lastRenderedPageBreak/>
        <w:t>Bevezetés</w:t>
      </w:r>
      <w:bookmarkEnd w:id="7"/>
      <w:bookmarkEnd w:id="8"/>
    </w:p>
    <w:p w14:paraId="14EA67A1" w14:textId="157BE8CE" w:rsidR="00277595" w:rsidRDefault="00BE0596" w:rsidP="00BE0596">
      <w:pPr>
        <w:pStyle w:val="Behzottbekezdsnmhh"/>
      </w:pPr>
      <w:r>
        <w:t>A 2600 MHz</w:t>
      </w:r>
      <w:r w:rsidR="006122C9">
        <w:t>-es</w:t>
      </w:r>
      <w:r>
        <w:t xml:space="preserve"> frekvenciasáv nagy sűrűségű, beépített területeken, szélessávú hozzáférési hálózatok kiépítésére alkalmas, így szolgáltatási szempontból kiegészítő sávja lehet a 700, 800 MHz-es frekvenciasávú, nagy területi fedésű, szélessávú, hozzáférési rendszereknek. A </w:t>
      </w:r>
      <w:r w:rsidR="006122C9">
        <w:t>2600 MHz-es frekvenciasávot is tartalmazó</w:t>
      </w:r>
      <w:r>
        <w:t xml:space="preserve"> </w:t>
      </w:r>
      <w:r w:rsidR="005D1AD3">
        <w:t xml:space="preserve">pályázati </w:t>
      </w:r>
      <w:r>
        <w:t xml:space="preserve">eljárást 2014-ben </w:t>
      </w:r>
      <w:r w:rsidR="00645B09">
        <w:t>folytatta le</w:t>
      </w:r>
      <w:r>
        <w:t xml:space="preserve"> az </w:t>
      </w:r>
      <w:r w:rsidR="00F7356C" w:rsidRPr="00F7356C">
        <w:t>Nemzeti Média- és Hírközlési Hatóság</w:t>
      </w:r>
      <w:r w:rsidR="00F7356C">
        <w:t xml:space="preserve"> (a továbbiakban: </w:t>
      </w:r>
      <w:r>
        <w:t>NMHH</w:t>
      </w:r>
      <w:r w:rsidR="00F7356C">
        <w:t>)</w:t>
      </w:r>
      <w:r>
        <w:t>. A szélessávú szolgáltatásokhoz kapcsolódó frekvenciahasználati jogosultságok tárgyában 2014. május 22-én kiírt eljárás során a pár</w:t>
      </w:r>
      <w:r w:rsidR="00277595">
        <w:t>osított sávrész teljes spektrum</w:t>
      </w:r>
      <w:r w:rsidR="00B537BA">
        <w:t>mennyisége</w:t>
      </w:r>
      <w:r>
        <w:t xml:space="preserve">, míg a </w:t>
      </w:r>
      <w:proofErr w:type="spellStart"/>
      <w:r>
        <w:t>párosítatlan</w:t>
      </w:r>
      <w:proofErr w:type="spellEnd"/>
      <w:r>
        <w:t xml:space="preserve"> sávrészből a 2575</w:t>
      </w:r>
      <w:r w:rsidR="00B60105">
        <w:rPr>
          <w:iCs/>
        </w:rPr>
        <w:t>–</w:t>
      </w:r>
      <w:r>
        <w:t xml:space="preserve">2600 MHz (5x5 MHz, azaz 25 MHz, </w:t>
      </w:r>
      <w:proofErr w:type="spellStart"/>
      <w:r>
        <w:t>párosí</w:t>
      </w:r>
      <w:r w:rsidR="00277595">
        <w:t>tatlan</w:t>
      </w:r>
      <w:proofErr w:type="spellEnd"/>
      <w:r w:rsidR="00277595">
        <w:t xml:space="preserve">) frekvenciatartományból képzett 1 db felhasználói blokk került </w:t>
      </w:r>
      <w:r w:rsidR="005D1AD3">
        <w:t>elosztásra</w:t>
      </w:r>
      <w:r w:rsidR="00B716BA">
        <w:rPr>
          <w:rStyle w:val="Lbjegyzet-hivatkozs"/>
        </w:rPr>
        <w:footnoteReference w:id="4"/>
      </w:r>
      <w:r>
        <w:t xml:space="preserve">. </w:t>
      </w:r>
    </w:p>
    <w:p w14:paraId="2CA972F1" w14:textId="070FFD28" w:rsidR="00277595" w:rsidRDefault="00277595" w:rsidP="005D1AD3">
      <w:pPr>
        <w:pStyle w:val="Behzottbekezdsnmhh"/>
      </w:pPr>
      <w:r>
        <w:t xml:space="preserve">A 2014-es </w:t>
      </w:r>
      <w:r w:rsidR="005D1AD3">
        <w:t xml:space="preserve">pályázat </w:t>
      </w:r>
      <w:r>
        <w:t xml:space="preserve">után </w:t>
      </w:r>
      <w:r w:rsidR="00AA1255">
        <w:t>az NMHH 2017-ben</w:t>
      </w:r>
      <w:r>
        <w:t xml:space="preserve"> nyilvános </w:t>
      </w:r>
      <w:r w:rsidR="00E31D5A">
        <w:t>meghallgatást</w:t>
      </w:r>
      <w:r w:rsidR="00AA1255">
        <w:rPr>
          <w:rStyle w:val="Lbjegyzet-hivatkozs"/>
        </w:rPr>
        <w:footnoteReference w:id="5"/>
      </w:r>
      <w:r w:rsidR="005D1AD3">
        <w:t xml:space="preserve"> </w:t>
      </w:r>
      <w:r w:rsidR="00B60105">
        <w:t xml:space="preserve">tartott </w:t>
      </w:r>
      <w:r w:rsidR="005D1AD3">
        <w:t>a piaci igények felmérése érdekében</w:t>
      </w:r>
      <w:r w:rsidR="00AA1255">
        <w:t>,</w:t>
      </w:r>
      <w:r>
        <w:t xml:space="preserve"> amelyen a </w:t>
      </w:r>
      <w:r w:rsidR="005D1AD3">
        <w:t>piaci szer</w:t>
      </w:r>
      <w:r w:rsidR="00623AEA">
        <w:t>e</w:t>
      </w:r>
      <w:r w:rsidR="005D1AD3">
        <w:t xml:space="preserve">plők </w:t>
      </w:r>
      <w:r>
        <w:t>többek között a 2600 MHz</w:t>
      </w:r>
      <w:r w:rsidR="00F85032">
        <w:t>-es</w:t>
      </w:r>
      <w:r>
        <w:t xml:space="preserve"> frekvenciasávban megmaradt 2600</w:t>
      </w:r>
      <w:r w:rsidR="00B60105">
        <w:rPr>
          <w:iCs/>
        </w:rPr>
        <w:t>–</w:t>
      </w:r>
      <w:r>
        <w:t>2615 MHz (3x5 MHz, azaz 15 MH</w:t>
      </w:r>
      <w:r w:rsidR="00AA70F5">
        <w:t xml:space="preserve">z) </w:t>
      </w:r>
      <w:proofErr w:type="spellStart"/>
      <w:r w:rsidR="00AA70F5">
        <w:t>párosítatlan</w:t>
      </w:r>
      <w:proofErr w:type="spellEnd"/>
      <w:r w:rsidR="00AA70F5">
        <w:t xml:space="preserve"> rádióspektrumra vonatkozó</w:t>
      </w:r>
      <w:r>
        <w:t xml:space="preserve"> igényekkel kapcsolatban is kifejthették a véleményüket.</w:t>
      </w:r>
      <w:r w:rsidR="00AA1255">
        <w:t xml:space="preserve"> A </w:t>
      </w:r>
      <w:r>
        <w:t>VHF III. és az UHF sáv hasznosításáról szóló nemzeti ütemterv végrehajtásával összefüggő feladatokról 2017. november 23-én megtartott nyilvános meghallgatás</w:t>
      </w:r>
      <w:r w:rsidR="00B0354F">
        <w:t xml:space="preserve">on </w:t>
      </w:r>
      <w:r w:rsidR="00623AEA">
        <w:t>egy piaci szereplő s</w:t>
      </w:r>
      <w:r w:rsidR="00B60105">
        <w:t>em jel</w:t>
      </w:r>
      <w:r w:rsidR="00B0354F">
        <w:t>z</w:t>
      </w:r>
      <w:r w:rsidR="00623AEA">
        <w:t>e</w:t>
      </w:r>
      <w:r w:rsidR="00B0354F">
        <w:t>t</w:t>
      </w:r>
      <w:r w:rsidR="00623AEA">
        <w:t>t</w:t>
      </w:r>
      <w:r w:rsidR="00B0354F">
        <w:t xml:space="preserve"> igényt a 2600 MHz-es </w:t>
      </w:r>
      <w:proofErr w:type="spellStart"/>
      <w:r w:rsidR="00B0354F">
        <w:t>párosítatlan</w:t>
      </w:r>
      <w:proofErr w:type="spellEnd"/>
      <w:r w:rsidR="00B0354F">
        <w:t xml:space="preserve"> sávrész </w:t>
      </w:r>
      <w:r w:rsidR="00623AEA">
        <w:t>használatára</w:t>
      </w:r>
      <w:r w:rsidR="00AA1255">
        <w:rPr>
          <w:rStyle w:val="Lbjegyzet-hivatkozs"/>
        </w:rPr>
        <w:footnoteReference w:id="6"/>
      </w:r>
      <w:r w:rsidR="00623AEA">
        <w:t>.</w:t>
      </w:r>
    </w:p>
    <w:p w14:paraId="46A9B06A" w14:textId="2C3DAC5F" w:rsidR="00B716BA" w:rsidRDefault="00623AEA" w:rsidP="00AA1255">
      <w:pPr>
        <w:pStyle w:val="Behzottbekezdsnmhh"/>
      </w:pPr>
      <w:r>
        <w:t>Az</w:t>
      </w:r>
      <w:r w:rsidR="00611891">
        <w:t xml:space="preserve"> </w:t>
      </w:r>
      <w:r w:rsidR="00611891" w:rsidRPr="00185A01">
        <w:t xml:space="preserve">5G bevezetését támogató és további vezeték nélküli szélessávú szolgáltatásokhoz kapcsolódó frekvenciahasználati jogosultságok tárgyában 2019. július 18-án </w:t>
      </w:r>
      <w:r>
        <w:t xml:space="preserve">az </w:t>
      </w:r>
      <w:r w:rsidR="00F85032">
        <w:t xml:space="preserve">NMHH </w:t>
      </w:r>
      <w:r w:rsidRPr="00185A01">
        <w:t xml:space="preserve">Hivatala </w:t>
      </w:r>
      <w:r>
        <w:t xml:space="preserve">által </w:t>
      </w:r>
      <w:r w:rsidR="00611891" w:rsidRPr="00185A01">
        <w:t>hivatalból indított árverési eljárás</w:t>
      </w:r>
      <w:r>
        <w:t xml:space="preserve">ban lehetőség nyílt a </w:t>
      </w:r>
      <w:r w:rsidRPr="00611891">
        <w:t xml:space="preserve">2500–2690 MHz frekvenciasávban </w:t>
      </w:r>
      <w:r>
        <w:t xml:space="preserve">is </w:t>
      </w:r>
      <w:r w:rsidR="00912A00">
        <w:t>rádióspektrum-használati</w:t>
      </w:r>
      <w:r>
        <w:t xml:space="preserve"> jogosultság megszerzésére, azonban jelentkező hiányában</w:t>
      </w:r>
      <w:r w:rsidRPr="00611891">
        <w:t xml:space="preserve"> </w:t>
      </w:r>
      <w:r>
        <w:t>az árverés</w:t>
      </w:r>
      <w:r w:rsidR="00611891">
        <w:t xml:space="preserve"> </w:t>
      </w:r>
      <w:r w:rsidR="00B716BA">
        <w:t xml:space="preserve">eredményeként </w:t>
      </w:r>
      <w:r w:rsidR="00F85032">
        <w:t xml:space="preserve">az NMHH </w:t>
      </w:r>
      <w:r w:rsidR="00611891" w:rsidRPr="00611891">
        <w:t>nyertest</w:t>
      </w:r>
      <w:r>
        <w:t xml:space="preserve"> </w:t>
      </w:r>
      <w:r w:rsidR="00611891" w:rsidRPr="00611891">
        <w:t>nem állapított meg</w:t>
      </w:r>
      <w:r w:rsidR="00611891">
        <w:t>.</w:t>
      </w:r>
    </w:p>
    <w:p w14:paraId="38050D80" w14:textId="279FA692" w:rsidR="00B716BA" w:rsidRDefault="00611891" w:rsidP="00B716BA">
      <w:pPr>
        <w:pStyle w:val="Behzottbekezdsnmhh"/>
      </w:pPr>
      <w:r>
        <w:t>A</w:t>
      </w:r>
      <w:r w:rsidR="00B716BA">
        <w:t xml:space="preserve"> 2600</w:t>
      </w:r>
      <w:r w:rsidR="00B60105">
        <w:rPr>
          <w:iCs/>
        </w:rPr>
        <w:t>–</w:t>
      </w:r>
      <w:r w:rsidR="00B716BA">
        <w:t>2615 MHz (3x5 MHz,</w:t>
      </w:r>
      <w:r>
        <w:t xml:space="preserve"> azaz 15 MHz) </w:t>
      </w:r>
      <w:proofErr w:type="spellStart"/>
      <w:r>
        <w:t>párosítatlan</w:t>
      </w:r>
      <w:proofErr w:type="spellEnd"/>
      <w:r w:rsidR="00B716BA">
        <w:t xml:space="preserve"> </w:t>
      </w:r>
      <w:r w:rsidR="00912A00">
        <w:t>rádió</w:t>
      </w:r>
      <w:r>
        <w:t>spektrum tehát továbbra is használaton</w:t>
      </w:r>
      <w:r w:rsidR="00B60105">
        <w:t xml:space="preserve"> kívül van, így lehetőség van</w:t>
      </w:r>
      <w:r>
        <w:t xml:space="preserve"> </w:t>
      </w:r>
      <w:r w:rsidR="00912A00">
        <w:t xml:space="preserve">versenyeztetési eljárás keretében rádióspektrum-használati jogosultság szerzésére </w:t>
      </w:r>
      <w:r w:rsidR="000724E1">
        <w:t xml:space="preserve">TDD rendszerek, illetve </w:t>
      </w:r>
      <w:r w:rsidR="000724E1" w:rsidRPr="003C393C">
        <w:rPr>
          <w:iCs/>
        </w:rPr>
        <w:t xml:space="preserve">kiegészítő </w:t>
      </w:r>
      <w:r w:rsidR="000724E1">
        <w:rPr>
          <w:iCs/>
        </w:rPr>
        <w:t>lemenő</w:t>
      </w:r>
      <w:r w:rsidR="000724E1" w:rsidRPr="003C393C">
        <w:rPr>
          <w:iCs/>
        </w:rPr>
        <w:t xml:space="preserve"> irányú összeköttetés</w:t>
      </w:r>
      <w:r w:rsidR="000724E1">
        <w:rPr>
          <w:iCs/>
        </w:rPr>
        <w:t>ek üzemeltetésének céljára</w:t>
      </w:r>
      <w:r w:rsidR="00B716BA">
        <w:t>.</w:t>
      </w:r>
    </w:p>
    <w:p w14:paraId="0B3DDE13" w14:textId="6D26C419" w:rsidR="004942E2" w:rsidRDefault="004942E2" w:rsidP="008C63E0">
      <w:pPr>
        <w:pStyle w:val="Behzottbekezdsnmhh"/>
        <w:tabs>
          <w:tab w:val="left" w:pos="977"/>
        </w:tabs>
      </w:pPr>
    </w:p>
    <w:p w14:paraId="033DD9AA" w14:textId="77777777" w:rsidR="004942E2" w:rsidRDefault="004942E2">
      <w:pPr>
        <w:spacing w:after="200"/>
        <w:jc w:val="left"/>
        <w:rPr>
          <w:sz w:val="20"/>
          <w:szCs w:val="20"/>
        </w:rPr>
      </w:pPr>
      <w:r>
        <w:br w:type="page"/>
      </w:r>
    </w:p>
    <w:p w14:paraId="6B95CEAD" w14:textId="77777777" w:rsidR="008C63E0" w:rsidRPr="00B54752" w:rsidRDefault="008C63E0" w:rsidP="008C63E0">
      <w:pPr>
        <w:pStyle w:val="Behzottbekezdsnmhh"/>
        <w:tabs>
          <w:tab w:val="left" w:pos="977"/>
        </w:tabs>
      </w:pPr>
    </w:p>
    <w:p w14:paraId="5F7D3EF7" w14:textId="5BC6CF90" w:rsidR="008C63E0" w:rsidRDefault="008C63E0" w:rsidP="008C63E0">
      <w:pPr>
        <w:pStyle w:val="Cmsor1szmozottnmhh"/>
        <w:pageBreakBefore w:val="0"/>
        <w:ind w:left="431" w:hanging="431"/>
      </w:pPr>
      <w:bookmarkStart w:id="9" w:name="_Toc26254664"/>
      <w:bookmarkStart w:id="10" w:name="_Toc96075713"/>
      <w:r>
        <w:t>A 26</w:t>
      </w:r>
      <w:r w:rsidR="005B0B27">
        <w:t>00 M</w:t>
      </w:r>
      <w:r>
        <w:t xml:space="preserve">Hz-es </w:t>
      </w:r>
      <w:r w:rsidR="000539FF" w:rsidRPr="00426D01">
        <w:t>frekvencia</w:t>
      </w:r>
      <w:r>
        <w:t>sáv szabályozása</w:t>
      </w:r>
      <w:bookmarkEnd w:id="9"/>
      <w:bookmarkEnd w:id="10"/>
    </w:p>
    <w:p w14:paraId="62E56F2E" w14:textId="77777777" w:rsidR="008C63E0" w:rsidRDefault="008C63E0" w:rsidP="008C63E0">
      <w:pPr>
        <w:pStyle w:val="Cmsor2szmozottnmhh"/>
        <w:ind w:left="578" w:hanging="578"/>
      </w:pPr>
      <w:bookmarkStart w:id="11" w:name="_Toc473880715"/>
      <w:bookmarkStart w:id="12" w:name="_Toc26254665"/>
      <w:bookmarkStart w:id="13" w:name="_Toc96075714"/>
      <w:r>
        <w:t>Nemzetközi szabályozás</w:t>
      </w:r>
      <w:bookmarkEnd w:id="11"/>
      <w:bookmarkEnd w:id="12"/>
      <w:bookmarkEnd w:id="13"/>
    </w:p>
    <w:p w14:paraId="16E735AB" w14:textId="77777777" w:rsidR="008C63E0" w:rsidRDefault="008C63E0" w:rsidP="008C63E0">
      <w:pPr>
        <w:pStyle w:val="Cmsor3szmozottnmhh"/>
        <w:ind w:left="1996"/>
      </w:pPr>
      <w:bookmarkStart w:id="14" w:name="_Toc473880717"/>
      <w:bookmarkStart w:id="15" w:name="_Toc26254666"/>
      <w:bookmarkStart w:id="16" w:name="_Toc473880716"/>
      <w:bookmarkStart w:id="17" w:name="_Toc96075715"/>
      <w:r>
        <w:t>ITU</w:t>
      </w:r>
      <w:bookmarkEnd w:id="14"/>
      <w:bookmarkEnd w:id="15"/>
      <w:bookmarkEnd w:id="17"/>
    </w:p>
    <w:p w14:paraId="3F02A18F" w14:textId="6AEF0396" w:rsidR="008C63E0" w:rsidRDefault="0079418F" w:rsidP="008C63E0">
      <w:pPr>
        <w:pStyle w:val="Behzottbekezdsnmhh"/>
      </w:pPr>
      <w:r>
        <w:t>A n</w:t>
      </w:r>
      <w:r w:rsidR="008C63E0" w:rsidRPr="00505E60">
        <w:t>emzetközi szabályozás alapját az ITU</w:t>
      </w:r>
      <w:r w:rsidR="008C63E0">
        <w:rPr>
          <w:rStyle w:val="Lbjegyzet-hivatkozs"/>
        </w:rPr>
        <w:footnoteReference w:id="7"/>
      </w:r>
      <w:r w:rsidR="008C63E0" w:rsidRPr="00505E60">
        <w:t xml:space="preserve"> által elfogad</w:t>
      </w:r>
      <w:r w:rsidR="008C63E0">
        <w:t xml:space="preserve">ott Nemzetközi Rádiószabályzat </w:t>
      </w:r>
      <w:r w:rsidR="008C63E0" w:rsidRPr="00505E60">
        <w:t>(</w:t>
      </w:r>
      <w:r w:rsidR="00F85032">
        <w:t xml:space="preserve">a </w:t>
      </w:r>
      <w:r w:rsidR="008C63E0" w:rsidRPr="00505E60">
        <w:t>továbbiakban</w:t>
      </w:r>
      <w:r w:rsidR="00F85032">
        <w:t>:</w:t>
      </w:r>
      <w:r w:rsidR="008C63E0" w:rsidRPr="00505E60">
        <w:t xml:space="preserve"> </w:t>
      </w:r>
      <w:r w:rsidR="008C63E0">
        <w:t>RR</w:t>
      </w:r>
      <w:r w:rsidR="008C63E0">
        <w:rPr>
          <w:rStyle w:val="Lbjegyzet-hivatkozs"/>
        </w:rPr>
        <w:footnoteReference w:id="8"/>
      </w:r>
      <w:r w:rsidR="008C63E0">
        <w:t xml:space="preserve">) adja. </w:t>
      </w:r>
      <w:r w:rsidR="008C63E0" w:rsidRPr="00505E60">
        <w:t xml:space="preserve">Az RR szerint az Európát is magában foglaló 1. Körzetben a </w:t>
      </w:r>
      <w:r w:rsidR="001A56E0">
        <w:t>2500</w:t>
      </w:r>
      <w:r w:rsidR="00000142" w:rsidRPr="00611891">
        <w:t>–</w:t>
      </w:r>
      <w:r w:rsidR="001A56E0">
        <w:t>2690 M</w:t>
      </w:r>
      <w:r w:rsidR="008C63E0" w:rsidRPr="00505E60">
        <w:t xml:space="preserve">Hz </w:t>
      </w:r>
      <w:r w:rsidR="000539FF" w:rsidRPr="00426D01">
        <w:t>frekvencia</w:t>
      </w:r>
      <w:r w:rsidR="008C63E0" w:rsidRPr="00505E60">
        <w:t xml:space="preserve">sáv </w:t>
      </w:r>
      <w:r w:rsidR="008C63E0">
        <w:t xml:space="preserve">többek között </w:t>
      </w:r>
      <w:r w:rsidR="008C63E0" w:rsidRPr="00505E60">
        <w:t xml:space="preserve">állandóhelyű </w:t>
      </w:r>
      <w:r w:rsidR="008C63E0">
        <w:t>és mozgó</w:t>
      </w:r>
      <w:r w:rsidR="008C63E0" w:rsidRPr="00505E60">
        <w:t>szolgálatra</w:t>
      </w:r>
      <w:r w:rsidR="008C63E0">
        <w:t xml:space="preserve"> is fel van osztva elsődleges jelleggel</w:t>
      </w:r>
      <w:r w:rsidR="008C63E0" w:rsidRPr="00505E60">
        <w:t xml:space="preserve">, </w:t>
      </w:r>
      <w:r w:rsidR="008C63E0">
        <w:t>amelynek keretében a teljes sávban lehetőség van MFCN rendszereket üzemeltetni</w:t>
      </w:r>
      <w:r w:rsidR="008C63E0" w:rsidRPr="00505E60">
        <w:t xml:space="preserve">. </w:t>
      </w:r>
    </w:p>
    <w:p w14:paraId="62FCCCE1" w14:textId="42D7B776" w:rsidR="008C63E0" w:rsidRDefault="000A2B9F" w:rsidP="008C63E0">
      <w:pPr>
        <w:pStyle w:val="Behzottbekezdsnmhh"/>
        <w:rPr>
          <w:i/>
        </w:rPr>
      </w:pPr>
      <w:r>
        <w:t>A</w:t>
      </w:r>
      <w:r w:rsidR="008C63E0">
        <w:t>z RR szerinti felosztás</w:t>
      </w:r>
      <w:r>
        <w:t xml:space="preserve">t </w:t>
      </w:r>
      <w:r w:rsidR="008C63E0">
        <w:t>az NFFF</w:t>
      </w:r>
      <w:r w:rsidR="0070266E">
        <w:rPr>
          <w:rStyle w:val="Lbjegyzet-hivatkozs"/>
        </w:rPr>
        <w:footnoteReference w:id="9"/>
      </w:r>
      <w:r w:rsidR="008C63E0">
        <w:t xml:space="preserve"> 1. melléklete</w:t>
      </w:r>
      <w:r>
        <w:t xml:space="preserve"> tartalmazza</w:t>
      </w:r>
      <w:r w:rsidR="008C63E0">
        <w:t xml:space="preserve">. </w:t>
      </w:r>
    </w:p>
    <w:p w14:paraId="228AB868" w14:textId="4E9B3EF2" w:rsidR="001A56E0" w:rsidRDefault="001A56E0" w:rsidP="008C63E0">
      <w:pPr>
        <w:pStyle w:val="Behzottbekezdsnmhh"/>
        <w:rPr>
          <w:i/>
        </w:rPr>
      </w:pPr>
      <w:r>
        <w:rPr>
          <w:color w:val="000000" w:themeColor="text1"/>
        </w:rPr>
        <w:t xml:space="preserve">Az RR 5.384A lábjegyzet értelmében a </w:t>
      </w:r>
      <w:r w:rsidRPr="0092034A">
        <w:rPr>
          <w:color w:val="000000" w:themeColor="text1"/>
        </w:rPr>
        <w:t>2500</w:t>
      </w:r>
      <w:r w:rsidRPr="0092034A">
        <w:rPr>
          <w:rFonts w:cs="Arial"/>
          <w:color w:val="000000" w:themeColor="text1"/>
        </w:rPr>
        <w:sym w:font="Symbol" w:char="F02D"/>
      </w:r>
      <w:r w:rsidRPr="0092034A">
        <w:rPr>
          <w:color w:val="000000" w:themeColor="text1"/>
        </w:rPr>
        <w:t xml:space="preserve">2690 MHz frekvenciasáv vagy azok egyes részei azon igazgatások általi használatra vannak előirányozva, amelyek a nemzetközi mozgó távközlést (IMT) kívánják megvalósítani a </w:t>
      </w:r>
      <w:r w:rsidRPr="0092034A">
        <w:rPr>
          <w:b/>
          <w:color w:val="000000" w:themeColor="text1"/>
        </w:rPr>
        <w:t>223. (Rev</w:t>
      </w:r>
      <w:proofErr w:type="gramStart"/>
      <w:r w:rsidRPr="0092034A">
        <w:rPr>
          <w:b/>
          <w:color w:val="000000" w:themeColor="text1"/>
        </w:rPr>
        <w:t>.WRC</w:t>
      </w:r>
      <w:r w:rsidRPr="0092034A">
        <w:rPr>
          <w:b/>
          <w:color w:val="000000" w:themeColor="text1"/>
        </w:rPr>
        <w:noBreakHyphen/>
        <w:t>15</w:t>
      </w:r>
      <w:proofErr w:type="gramEnd"/>
      <w:r w:rsidRPr="0092034A">
        <w:rPr>
          <w:b/>
          <w:color w:val="000000" w:themeColor="text1"/>
        </w:rPr>
        <w:t>)</w:t>
      </w:r>
      <w:r w:rsidRPr="0092034A">
        <w:rPr>
          <w:color w:val="000000" w:themeColor="text1"/>
        </w:rPr>
        <w:t xml:space="preserve"> Határozatnak megfelelően.</w:t>
      </w:r>
      <w:r>
        <w:rPr>
          <w:color w:val="000000" w:themeColor="text1"/>
        </w:rPr>
        <w:t xml:space="preserve"> </w:t>
      </w:r>
      <w:r w:rsidRPr="0092034A">
        <w:rPr>
          <w:color w:val="000000" w:themeColor="text1"/>
        </w:rPr>
        <w:t>Ez az előirányzás nem zárja ki, hogy ezen frekvenciasávokat azon szolgálatok bármely alkalmazása használja, amelyek számára ezeket felosztották, továbbá a Rádiószabályzatban sem állapít meg</w:t>
      </w:r>
      <w:r w:rsidRPr="0092034A" w:rsidDel="00F95DFB">
        <w:rPr>
          <w:color w:val="000000" w:themeColor="text1"/>
        </w:rPr>
        <w:t xml:space="preserve"> </w:t>
      </w:r>
      <w:r w:rsidRPr="0092034A">
        <w:rPr>
          <w:color w:val="000000" w:themeColor="text1"/>
        </w:rPr>
        <w:t xml:space="preserve">elsőbbséget. </w:t>
      </w:r>
      <w:r w:rsidRPr="0092034A">
        <w:rPr>
          <w:color w:val="000000" w:themeColor="text1"/>
          <w:sz w:val="18"/>
        </w:rPr>
        <w:t>(WRC</w:t>
      </w:r>
      <w:r w:rsidRPr="0092034A">
        <w:rPr>
          <w:color w:val="000000" w:themeColor="text1"/>
          <w:sz w:val="18"/>
        </w:rPr>
        <w:noBreakHyphen/>
      </w:r>
      <w:r w:rsidRPr="0092034A">
        <w:rPr>
          <w:color w:val="000000" w:themeColor="text1"/>
          <w:sz w:val="18"/>
          <w:szCs w:val="18"/>
        </w:rPr>
        <w:t>15)</w:t>
      </w:r>
      <w:r w:rsidR="000A2B9F">
        <w:rPr>
          <w:color w:val="000000" w:themeColor="text1"/>
          <w:sz w:val="18"/>
          <w:szCs w:val="18"/>
        </w:rPr>
        <w:t>.</w:t>
      </w:r>
    </w:p>
    <w:p w14:paraId="62C6E353" w14:textId="77777777" w:rsidR="008C63E0" w:rsidRDefault="008C63E0" w:rsidP="008C63E0">
      <w:pPr>
        <w:pStyle w:val="Behzottbekezdsnmhh"/>
      </w:pPr>
    </w:p>
    <w:p w14:paraId="030BCC62" w14:textId="77777777" w:rsidR="008C63E0" w:rsidRDefault="008C63E0" w:rsidP="008C63E0">
      <w:pPr>
        <w:pStyle w:val="Cmsor3szmozottnmhh"/>
        <w:ind w:left="1996"/>
      </w:pPr>
      <w:bookmarkStart w:id="18" w:name="_Toc473880718"/>
      <w:bookmarkStart w:id="19" w:name="_Toc26254667"/>
      <w:bookmarkStart w:id="20" w:name="_Toc96075716"/>
      <w:r>
        <w:t>CEPT</w:t>
      </w:r>
      <w:bookmarkEnd w:id="18"/>
      <w:bookmarkEnd w:id="19"/>
      <w:bookmarkEnd w:id="20"/>
    </w:p>
    <w:p w14:paraId="76AC8E49" w14:textId="727C568F" w:rsidR="008C63E0" w:rsidRDefault="006939B6" w:rsidP="008C63E0">
      <w:pPr>
        <w:pStyle w:val="Cmsor4szmozottnmhh"/>
      </w:pPr>
      <w:r>
        <w:t>MFCN felhasználásra vonatkozó határozat</w:t>
      </w:r>
    </w:p>
    <w:p w14:paraId="15C466B5" w14:textId="72A3CCCE" w:rsidR="008C63E0" w:rsidRDefault="00FA40ED" w:rsidP="008C63E0">
      <w:pPr>
        <w:pStyle w:val="Behzottbekezdsnmhh"/>
      </w:pPr>
      <w:r>
        <w:t>A 2500-2690 MHz frekvenciasávban működő MFCN alkalmazásokra vonatkozó harmonizált felhasználási szabályokat az ECC/DEC/(05</w:t>
      </w:r>
      <w:proofErr w:type="gramStart"/>
      <w:r>
        <w:t>)05</w:t>
      </w:r>
      <w:proofErr w:type="gramEnd"/>
      <w:r>
        <w:t xml:space="preserve"> </w:t>
      </w:r>
      <w:r w:rsidR="00657D24">
        <w:t>H</w:t>
      </w:r>
      <w:r>
        <w:t xml:space="preserve">atározat rögzíti, amelynek legfrissebb verziója 2019. július 5-én került elfogadásra. A határozat </w:t>
      </w:r>
      <w:proofErr w:type="gramStart"/>
      <w:r>
        <w:t>ezen</w:t>
      </w:r>
      <w:proofErr w:type="gramEnd"/>
      <w:r>
        <w:t xml:space="preserve"> verzióját</w:t>
      </w:r>
      <w:r w:rsidR="00657D24">
        <w:t xml:space="preserve"> az NMHH</w:t>
      </w:r>
      <w:r>
        <w:t xml:space="preserve"> 2020-ban implementált</w:t>
      </w:r>
      <w:r w:rsidR="00657D24">
        <w:t>a</w:t>
      </w:r>
      <w:r>
        <w:t xml:space="preserve"> és épített</w:t>
      </w:r>
      <w:r w:rsidR="00657D24">
        <w:t>e</w:t>
      </w:r>
      <w:r>
        <w:t xml:space="preserve"> be az NFFF-be az aktív antennás rendszerekre vonatkozó követelményeket is magába foglaló szabályokat és műszaki feltételeket.</w:t>
      </w:r>
    </w:p>
    <w:p w14:paraId="13EB3464" w14:textId="77777777" w:rsidR="008C63E0" w:rsidRDefault="008C63E0" w:rsidP="008C63E0">
      <w:pPr>
        <w:pStyle w:val="Behzottbekezdsnmhh"/>
        <w:rPr>
          <w:i/>
        </w:rPr>
      </w:pPr>
    </w:p>
    <w:p w14:paraId="41459E38" w14:textId="16EE8705" w:rsidR="008C63E0" w:rsidRDefault="006939B6" w:rsidP="008C63E0">
      <w:pPr>
        <w:pStyle w:val="Cmsor4szmozottnmhh"/>
      </w:pPr>
      <w:r>
        <w:t>MFCN rendszerekre vonatkozó koordinációs előírások</w:t>
      </w:r>
    </w:p>
    <w:p w14:paraId="26D3A589" w14:textId="5F0AC71C" w:rsidR="008C63E0" w:rsidRDefault="006939B6" w:rsidP="008C63E0">
      <w:pPr>
        <w:pStyle w:val="Behzottbekezdsnmhh"/>
      </w:pPr>
      <w:r>
        <w:t>A 2500-2690 MHz frekvenciasávban működő MFCN rendszerek határövezeti használatára vonatkozóan az ECC/REC/(11</w:t>
      </w:r>
      <w:proofErr w:type="gramStart"/>
      <w:r>
        <w:t>)05</w:t>
      </w:r>
      <w:proofErr w:type="gramEnd"/>
      <w:r>
        <w:t xml:space="preserve"> </w:t>
      </w:r>
      <w:r w:rsidR="00657D24">
        <w:t>A</w:t>
      </w:r>
      <w:r>
        <w:t xml:space="preserve">jánlásban kerültek meghatározásra azok a koordinációs alapelvek, amelyek biztosítják a szomszédos országok </w:t>
      </w:r>
      <w:r w:rsidR="00846123">
        <w:t>rádió</w:t>
      </w:r>
      <w:r w:rsidR="00D33CA7">
        <w:t>spektrumhoz való egyenlő hozzáférését és a lehetőség szerinti zavarmentes működését az állomásoknak.</w:t>
      </w:r>
      <w:r w:rsidR="007F7428">
        <w:t xml:space="preserve"> Az ajánlás legfrissebb verziója (2017.</w:t>
      </w:r>
      <w:r w:rsidR="005C76F8">
        <w:t> </w:t>
      </w:r>
      <w:r w:rsidR="007F7428">
        <w:t>02.</w:t>
      </w:r>
      <w:r w:rsidR="005C76F8">
        <w:t> </w:t>
      </w:r>
      <w:r w:rsidR="007F7428">
        <w:t>03.)</w:t>
      </w:r>
      <w:r w:rsidR="003121A5">
        <w:t xml:space="preserve"> jelenleg </w:t>
      </w:r>
      <w:r w:rsidR="007F7428">
        <w:t>nem tartalmazza az aktív antennás rendsze</w:t>
      </w:r>
      <w:r w:rsidR="00EA748D">
        <w:t>rekre vonatkozó követelményeket</w:t>
      </w:r>
      <w:r w:rsidR="003121A5">
        <w:t xml:space="preserve"> (</w:t>
      </w:r>
      <w:r w:rsidR="000A2B9F">
        <w:t>jelenleg még nem kezdeményezték ilyen irányú felülvizsgálatát</w:t>
      </w:r>
      <w:r w:rsidR="003121A5">
        <w:t xml:space="preserve"> az ajánlásnak)</w:t>
      </w:r>
      <w:r w:rsidR="00EA748D">
        <w:t xml:space="preserve">, </w:t>
      </w:r>
      <w:r w:rsidR="003121A5">
        <w:t xml:space="preserve">viszont a párosított sávrészben működő FDD rendszerekre és </w:t>
      </w:r>
      <w:proofErr w:type="spellStart"/>
      <w:r w:rsidR="003121A5">
        <w:t>párosítatlan</w:t>
      </w:r>
      <w:proofErr w:type="spellEnd"/>
      <w:r w:rsidR="003121A5">
        <w:t xml:space="preserve"> sávrészben működő TDD rendszerek különböző szinkronizációs eseteire vonatkozóan részletes iránymutatást ad a dokumentum.</w:t>
      </w:r>
    </w:p>
    <w:p w14:paraId="20822E6C" w14:textId="77777777" w:rsidR="008C63E0" w:rsidRDefault="008C63E0" w:rsidP="008C63E0">
      <w:pPr>
        <w:spacing w:after="200"/>
        <w:jc w:val="left"/>
        <w:rPr>
          <w:sz w:val="20"/>
          <w:szCs w:val="20"/>
        </w:rPr>
      </w:pPr>
    </w:p>
    <w:p w14:paraId="01721108" w14:textId="77777777" w:rsidR="008C63E0" w:rsidRDefault="008C63E0" w:rsidP="008C63E0">
      <w:pPr>
        <w:pStyle w:val="Cmsor3szmozottnmhh"/>
        <w:keepNext/>
        <w:ind w:left="1996"/>
      </w:pPr>
      <w:bookmarkStart w:id="21" w:name="_Toc26254668"/>
      <w:bookmarkStart w:id="22" w:name="_Toc96075717"/>
      <w:r>
        <w:lastRenderedPageBreak/>
        <w:t>EU</w:t>
      </w:r>
      <w:bookmarkEnd w:id="16"/>
      <w:bookmarkEnd w:id="21"/>
      <w:bookmarkEnd w:id="22"/>
    </w:p>
    <w:p w14:paraId="27703A0C" w14:textId="552A0D18" w:rsidR="009B0456" w:rsidRDefault="00724DCF" w:rsidP="008C63E0">
      <w:pPr>
        <w:pStyle w:val="Behzottbekezdsnmhh"/>
      </w:pPr>
      <w:r>
        <w:t xml:space="preserve">A 2500-2690 MHz frekvenciasáv </w:t>
      </w:r>
      <w:r w:rsidR="009B0456">
        <w:t xml:space="preserve">harmonizált használatra vonatkozó szabályokat </w:t>
      </w:r>
      <w:r w:rsidR="005C071F">
        <w:t xml:space="preserve">elsőként </w:t>
      </w:r>
      <w:r w:rsidR="009B0456">
        <w:t>a 2008/477/EK</w:t>
      </w:r>
      <w:r w:rsidR="009B0456">
        <w:rPr>
          <w:rStyle w:val="Lbjegyzet-hivatkozs"/>
        </w:rPr>
        <w:footnoteReference w:id="10"/>
      </w:r>
      <w:r w:rsidR="009B0456">
        <w:t xml:space="preserve"> határozatban rögzítette a Bizottság. A </w:t>
      </w:r>
      <w:r>
        <w:t>határozat célja</w:t>
      </w:r>
      <w:r w:rsidR="009B0456">
        <w:t xml:space="preserve"> az volt</w:t>
      </w:r>
      <w:r>
        <w:t>, hogy a</w:t>
      </w:r>
      <w:r w:rsidR="005C76F8">
        <w:t>z</w:t>
      </w:r>
      <w:r>
        <w:t xml:space="preserve"> </w:t>
      </w:r>
      <w:r w:rsidR="005C76F8">
        <w:t xml:space="preserve">Európai Unión </w:t>
      </w:r>
      <w:r>
        <w:t>belül elektronikus hírközlési szolgáltatások nyújtására alkalmas földfelszíni rendszerek érdekében harmonizálja a 2 500–2 690 MHz frekvenciasáv rendelkezésre állásának és hatékony használatának feltételeit.</w:t>
      </w:r>
      <w:r w:rsidR="009B0456">
        <w:t xml:space="preserve"> </w:t>
      </w:r>
    </w:p>
    <w:p w14:paraId="7B13457E" w14:textId="27285CF9" w:rsidR="00ED0E45" w:rsidRDefault="009B0456" w:rsidP="008C63E0">
      <w:pPr>
        <w:pStyle w:val="Behzottbekezdsnmhh"/>
        <w:rPr>
          <w:iCs/>
        </w:rPr>
      </w:pPr>
      <w:r>
        <w:t xml:space="preserve">A technológia fejlődése miatt szükségessé vált a határozat felülvizsgálata, amelynek eredményeként </w:t>
      </w:r>
      <w:r>
        <w:rPr>
          <w:rFonts w:eastAsia="Calibri" w:cs="Arial"/>
          <w:iCs/>
          <w:color w:val="000000"/>
          <w:szCs w:val="22"/>
          <w:lang w:eastAsia="hu-HU" w:bidi="hu-HU"/>
        </w:rPr>
        <w:t>megszületett a</w:t>
      </w:r>
      <w:r w:rsidRPr="00D978E4">
        <w:rPr>
          <w:rFonts w:eastAsia="Calibri" w:cs="Arial"/>
          <w:iCs/>
          <w:color w:val="000000"/>
          <w:szCs w:val="22"/>
          <w:lang w:eastAsia="hu-HU" w:bidi="hu-HU"/>
        </w:rPr>
        <w:t xml:space="preserve"> </w:t>
      </w:r>
      <w:r w:rsidR="0070266E" w:rsidRPr="00D978E4">
        <w:rPr>
          <w:rFonts w:eastAsia="Calibri" w:cs="Arial"/>
          <w:iCs/>
          <w:color w:val="000000"/>
          <w:szCs w:val="22"/>
          <w:lang w:eastAsia="hu-HU" w:bidi="hu-HU"/>
        </w:rPr>
        <w:t xml:space="preserve">2008/477/EK határozatnak a 2 500–2 690 MHz frekvenciasávra alkalmazandó releváns műszaki feltételek naprakésszé tétele tekintetében történő módosításáról </w:t>
      </w:r>
      <w:r w:rsidR="0070266E">
        <w:rPr>
          <w:rFonts w:eastAsia="Calibri" w:cs="Arial"/>
          <w:iCs/>
          <w:color w:val="000000"/>
          <w:szCs w:val="22"/>
          <w:lang w:eastAsia="hu-HU" w:bidi="hu-HU"/>
        </w:rPr>
        <w:t xml:space="preserve">szóló, </w:t>
      </w:r>
      <w:r w:rsidR="0070266E" w:rsidRPr="00D978E4">
        <w:rPr>
          <w:rFonts w:eastAsia="Calibri" w:cs="Arial"/>
          <w:iCs/>
          <w:color w:val="000000"/>
          <w:szCs w:val="22"/>
          <w:lang w:eastAsia="hu-HU" w:bidi="hu-HU"/>
        </w:rPr>
        <w:t>2020. május 8</w:t>
      </w:r>
      <w:r w:rsidR="0070266E">
        <w:rPr>
          <w:rFonts w:eastAsia="Calibri" w:cs="Arial"/>
          <w:iCs/>
          <w:color w:val="000000"/>
          <w:szCs w:val="22"/>
          <w:lang w:eastAsia="hu-HU" w:bidi="hu-HU"/>
        </w:rPr>
        <w:t xml:space="preserve">-i </w:t>
      </w:r>
      <w:r w:rsidRPr="00D978E4">
        <w:rPr>
          <w:rFonts w:eastAsia="Calibri" w:cs="Arial"/>
          <w:iCs/>
          <w:color w:val="000000"/>
          <w:szCs w:val="22"/>
          <w:lang w:eastAsia="hu-HU" w:bidi="hu-HU"/>
        </w:rPr>
        <w:t xml:space="preserve">(EU) 2020/636 </w:t>
      </w:r>
      <w:r w:rsidR="0070266E">
        <w:rPr>
          <w:rFonts w:eastAsia="Calibri" w:cs="Arial"/>
          <w:iCs/>
          <w:color w:val="000000"/>
          <w:szCs w:val="22"/>
          <w:lang w:eastAsia="hu-HU" w:bidi="hu-HU"/>
        </w:rPr>
        <w:t xml:space="preserve">bizottsági </w:t>
      </w:r>
      <w:r w:rsidRPr="00D978E4">
        <w:rPr>
          <w:rFonts w:eastAsia="Calibri" w:cs="Arial"/>
          <w:iCs/>
          <w:color w:val="000000"/>
          <w:szCs w:val="22"/>
          <w:lang w:eastAsia="hu-HU" w:bidi="hu-HU"/>
        </w:rPr>
        <w:t>végrehajtási határozat (</w:t>
      </w:r>
      <w:r w:rsidR="0070266E">
        <w:rPr>
          <w:rFonts w:eastAsia="Calibri" w:cs="Arial"/>
          <w:iCs/>
          <w:color w:val="000000"/>
          <w:szCs w:val="22"/>
          <w:lang w:eastAsia="hu-HU" w:bidi="hu-HU"/>
        </w:rPr>
        <w:t>a továbbiakban: (EU) 2020/636 b</w:t>
      </w:r>
      <w:r w:rsidR="0070266E" w:rsidRPr="0070266E">
        <w:rPr>
          <w:rFonts w:eastAsia="Calibri" w:cs="Arial"/>
          <w:iCs/>
          <w:color w:val="000000"/>
          <w:szCs w:val="22"/>
          <w:lang w:eastAsia="hu-HU" w:bidi="hu-HU"/>
        </w:rPr>
        <w:t>izottsági végrehajtási határozat</w:t>
      </w:r>
      <w:r w:rsidRPr="00D978E4">
        <w:rPr>
          <w:rFonts w:eastAsia="Calibri" w:cs="Arial"/>
          <w:iCs/>
          <w:color w:val="000000"/>
          <w:szCs w:val="22"/>
          <w:lang w:eastAsia="hu-HU" w:bidi="hu-HU"/>
        </w:rPr>
        <w:t>)</w:t>
      </w:r>
    </w:p>
    <w:p w14:paraId="0848315C" w14:textId="5124872B" w:rsidR="008C63E0" w:rsidRDefault="009B0456" w:rsidP="008C63E0">
      <w:pPr>
        <w:pStyle w:val="Behzottbekezdsnmhh"/>
      </w:pPr>
      <w:r>
        <w:rPr>
          <w:iCs/>
        </w:rPr>
        <w:t>A</w:t>
      </w:r>
      <w:r w:rsidR="008A08E4">
        <w:rPr>
          <w:iCs/>
        </w:rPr>
        <w:t>z</w:t>
      </w:r>
      <w:r>
        <w:rPr>
          <w:iCs/>
        </w:rPr>
        <w:t xml:space="preserve"> </w:t>
      </w:r>
      <w:r w:rsidR="008A08E4">
        <w:rPr>
          <w:iCs/>
        </w:rPr>
        <w:t xml:space="preserve">(EU) </w:t>
      </w:r>
      <w:r>
        <w:rPr>
          <w:iCs/>
        </w:rPr>
        <w:t xml:space="preserve">2020/636 </w:t>
      </w:r>
      <w:r w:rsidR="0070266E">
        <w:rPr>
          <w:iCs/>
        </w:rPr>
        <w:t>b</w:t>
      </w:r>
      <w:r w:rsidR="00C703D7" w:rsidRPr="003C393C">
        <w:rPr>
          <w:iCs/>
        </w:rPr>
        <w:t xml:space="preserve">izottsági végrehajtási határozat alapvetően az 5G bevezetését szolgáló </w:t>
      </w:r>
      <w:r w:rsidR="00C703D7">
        <w:rPr>
          <w:iCs/>
        </w:rPr>
        <w:t>uniós i</w:t>
      </w:r>
      <w:r w:rsidR="00C703D7" w:rsidRPr="003C393C">
        <w:rPr>
          <w:iCs/>
        </w:rPr>
        <w:t>ntézkedési csomag része</w:t>
      </w:r>
      <w:r w:rsidR="00C703D7">
        <w:rPr>
          <w:iCs/>
        </w:rPr>
        <w:t xml:space="preserve"> volt. A korábbi</w:t>
      </w:r>
      <w:r w:rsidR="00C703D7" w:rsidRPr="003C393C">
        <w:rPr>
          <w:iCs/>
        </w:rPr>
        <w:t xml:space="preserve"> harmonizációs szabályok </w:t>
      </w:r>
      <w:r w:rsidR="00C703D7">
        <w:rPr>
          <w:iCs/>
        </w:rPr>
        <w:t>módos</w:t>
      </w:r>
      <w:r w:rsidR="00C703D7" w:rsidRPr="003C393C">
        <w:rPr>
          <w:iCs/>
        </w:rPr>
        <w:t xml:space="preserve">ításával </w:t>
      </w:r>
      <w:r w:rsidR="00C703D7">
        <w:t>az aktív antennarendszerek használata is</w:t>
      </w:r>
      <w:r w:rsidR="00C703D7" w:rsidRPr="003C393C">
        <w:rPr>
          <w:iCs/>
        </w:rPr>
        <w:t xml:space="preserve"> le</w:t>
      </w:r>
      <w:r w:rsidR="00C703D7">
        <w:rPr>
          <w:iCs/>
        </w:rPr>
        <w:t xml:space="preserve">hetővé vált a </w:t>
      </w:r>
      <w:r w:rsidR="00C703D7" w:rsidRPr="003C393C">
        <w:rPr>
          <w:iCs/>
        </w:rPr>
        <w:t>2600 MHz-es frekvenciasávban</w:t>
      </w:r>
      <w:r w:rsidR="00C703D7">
        <w:rPr>
          <w:iCs/>
        </w:rPr>
        <w:t xml:space="preserve"> az 5G hálózatok bevezetésének elősegítése céljából, továbbá a módosult szabályok alapján a </w:t>
      </w:r>
      <w:r w:rsidR="00ED0E45">
        <w:rPr>
          <w:iCs/>
        </w:rPr>
        <w:t>2570–2</w:t>
      </w:r>
      <w:r w:rsidR="00C703D7" w:rsidRPr="003C393C">
        <w:rPr>
          <w:iCs/>
        </w:rPr>
        <w:t>620 MHz részsávon</w:t>
      </w:r>
      <w:r w:rsidR="00C703D7">
        <w:rPr>
          <w:iCs/>
        </w:rPr>
        <w:t xml:space="preserve"> belül </w:t>
      </w:r>
      <w:r w:rsidR="00C703D7" w:rsidRPr="003C393C">
        <w:rPr>
          <w:iCs/>
        </w:rPr>
        <w:t xml:space="preserve">a </w:t>
      </w:r>
      <w:proofErr w:type="spellStart"/>
      <w:r w:rsidR="00C703D7" w:rsidRPr="003C393C">
        <w:rPr>
          <w:iCs/>
        </w:rPr>
        <w:t>párosítatlan</w:t>
      </w:r>
      <w:proofErr w:type="spellEnd"/>
      <w:r w:rsidR="00C703D7" w:rsidRPr="003C393C">
        <w:rPr>
          <w:iCs/>
        </w:rPr>
        <w:t xml:space="preserve"> használat </w:t>
      </w:r>
      <w:r w:rsidR="00C703D7">
        <w:rPr>
          <w:iCs/>
        </w:rPr>
        <w:t xml:space="preserve">keretében a </w:t>
      </w:r>
      <w:r w:rsidR="00C703D7" w:rsidRPr="003C393C">
        <w:rPr>
          <w:iCs/>
        </w:rPr>
        <w:t xml:space="preserve">TDD </w:t>
      </w:r>
      <w:r w:rsidR="00C703D7">
        <w:rPr>
          <w:iCs/>
        </w:rPr>
        <w:t>mellett a</w:t>
      </w:r>
      <w:r w:rsidR="00C703D7" w:rsidRPr="003C393C">
        <w:rPr>
          <w:iCs/>
        </w:rPr>
        <w:t xml:space="preserve"> kiegészítő </w:t>
      </w:r>
      <w:r w:rsidR="00C703D7">
        <w:rPr>
          <w:iCs/>
        </w:rPr>
        <w:t>lemenő</w:t>
      </w:r>
      <w:r w:rsidR="00C703D7" w:rsidRPr="003C393C">
        <w:rPr>
          <w:iCs/>
        </w:rPr>
        <w:t xml:space="preserve"> irányú összeköttetés</w:t>
      </w:r>
      <w:r w:rsidR="00C703D7">
        <w:rPr>
          <w:iCs/>
        </w:rPr>
        <w:t>ek</w:t>
      </w:r>
      <w:r w:rsidR="00C703D7" w:rsidRPr="003C393C">
        <w:rPr>
          <w:iCs/>
        </w:rPr>
        <w:t xml:space="preserve"> </w:t>
      </w:r>
      <w:r w:rsidR="000A2B9F">
        <w:rPr>
          <w:iCs/>
        </w:rPr>
        <w:t>(</w:t>
      </w:r>
      <w:r w:rsidR="00C703D7" w:rsidRPr="003C393C">
        <w:rPr>
          <w:iCs/>
        </w:rPr>
        <w:t>SDL</w:t>
      </w:r>
      <w:r w:rsidR="000A2B9F">
        <w:rPr>
          <w:iCs/>
        </w:rPr>
        <w:t>)</w:t>
      </w:r>
      <w:r w:rsidR="00C703D7" w:rsidRPr="003C393C">
        <w:rPr>
          <w:iCs/>
        </w:rPr>
        <w:t xml:space="preserve"> </w:t>
      </w:r>
      <w:r w:rsidR="00C703D7">
        <w:rPr>
          <w:iCs/>
        </w:rPr>
        <w:t xml:space="preserve">használata is </w:t>
      </w:r>
      <w:r w:rsidR="00C703D7" w:rsidRPr="003C393C">
        <w:rPr>
          <w:iCs/>
        </w:rPr>
        <w:t>lehető</w:t>
      </w:r>
      <w:r w:rsidR="00C703D7">
        <w:rPr>
          <w:iCs/>
        </w:rPr>
        <w:t>vé vált.</w:t>
      </w:r>
      <w:r w:rsidR="00ED0E45">
        <w:rPr>
          <w:iCs/>
        </w:rPr>
        <w:t xml:space="preserve"> A tagállamok a 2570–2</w:t>
      </w:r>
      <w:r w:rsidR="00C703D7" w:rsidRPr="003C393C">
        <w:rPr>
          <w:iCs/>
        </w:rPr>
        <w:t xml:space="preserve">620 MHz részsávban </w:t>
      </w:r>
      <w:r w:rsidR="00C703D7">
        <w:rPr>
          <w:iCs/>
        </w:rPr>
        <w:t xml:space="preserve">is </w:t>
      </w:r>
      <w:r w:rsidR="00C703D7" w:rsidRPr="003C393C">
        <w:rPr>
          <w:iCs/>
        </w:rPr>
        <w:t>választhatnak a szinkronizált, a félszinkronizált és a nem szinkronizált TDD hálózati működés között és biztosítaniuk kell a hatékony spektrumhasználatot.</w:t>
      </w:r>
      <w:r w:rsidR="00C703D7">
        <w:rPr>
          <w:iCs/>
        </w:rPr>
        <w:t xml:space="preserve"> </w:t>
      </w:r>
      <w:r>
        <w:rPr>
          <w:iCs/>
        </w:rPr>
        <w:t>A határozat 2020-ban átültet</w:t>
      </w:r>
      <w:r w:rsidR="002E008E">
        <w:rPr>
          <w:iCs/>
        </w:rPr>
        <w:t>ésre került</w:t>
      </w:r>
      <w:r>
        <w:rPr>
          <w:iCs/>
        </w:rPr>
        <w:t xml:space="preserve"> az NFFF-be, </w:t>
      </w:r>
      <w:r w:rsidR="009D238B">
        <w:rPr>
          <w:iCs/>
        </w:rPr>
        <w:t xml:space="preserve">a </w:t>
      </w:r>
      <w:r w:rsidR="005C071F">
        <w:rPr>
          <w:iCs/>
        </w:rPr>
        <w:t xml:space="preserve">módosítás </w:t>
      </w:r>
      <w:r>
        <w:rPr>
          <w:iCs/>
        </w:rPr>
        <w:t>2020.</w:t>
      </w:r>
      <w:r w:rsidR="009E1C2C">
        <w:rPr>
          <w:iCs/>
        </w:rPr>
        <w:t xml:space="preserve"> december </w:t>
      </w:r>
      <w:r>
        <w:rPr>
          <w:iCs/>
        </w:rPr>
        <w:t>21-től vált hatályossá. A jogszabály</w:t>
      </w:r>
      <w:r w:rsidR="00C703D7">
        <w:rPr>
          <w:iCs/>
        </w:rPr>
        <w:t>módosítással r</w:t>
      </w:r>
      <w:r>
        <w:rPr>
          <w:iCs/>
        </w:rPr>
        <w:t>ugalmasabbá vált</w:t>
      </w:r>
      <w:r w:rsidR="00C703D7" w:rsidRPr="003C393C">
        <w:rPr>
          <w:iCs/>
        </w:rPr>
        <w:t xml:space="preserve"> a </w:t>
      </w:r>
      <w:r w:rsidR="00261FD5">
        <w:rPr>
          <w:iCs/>
        </w:rPr>
        <w:t>spektrum</w:t>
      </w:r>
      <w:r w:rsidR="00C703D7" w:rsidRPr="003C393C">
        <w:rPr>
          <w:iCs/>
        </w:rPr>
        <w:t>használat szabályozása</w:t>
      </w:r>
      <w:r w:rsidR="00C703D7">
        <w:rPr>
          <w:iCs/>
        </w:rPr>
        <w:t xml:space="preserve"> Magyarországon is. A TDD használat terjedésével egyre több sávban jelenik meg a </w:t>
      </w:r>
      <w:proofErr w:type="spellStart"/>
      <w:r w:rsidR="00C703D7">
        <w:rPr>
          <w:iCs/>
        </w:rPr>
        <w:t>szinkronizációval</w:t>
      </w:r>
      <w:proofErr w:type="spellEnd"/>
      <w:r w:rsidR="00C703D7">
        <w:rPr>
          <w:iCs/>
        </w:rPr>
        <w:t xml:space="preserve"> összefüggő szabályok köre, így sávspecifikus megoldás helyett általános, több </w:t>
      </w:r>
      <w:r w:rsidR="00ED0E45">
        <w:rPr>
          <w:iCs/>
        </w:rPr>
        <w:t>frekvencia</w:t>
      </w:r>
      <w:r w:rsidR="00C703D7">
        <w:rPr>
          <w:iCs/>
        </w:rPr>
        <w:t>sávra kiterjedő szabályok alkotása történt az implementáció során.</w:t>
      </w:r>
    </w:p>
    <w:p w14:paraId="7662B816" w14:textId="77777777" w:rsidR="00BF5860" w:rsidRDefault="00BF5860" w:rsidP="008C63E0">
      <w:pPr>
        <w:pStyle w:val="Behzottbekezdsnmhh"/>
      </w:pPr>
    </w:p>
    <w:p w14:paraId="549A5A75" w14:textId="77777777" w:rsidR="008C63E0" w:rsidRPr="00DF2B9B" w:rsidRDefault="008C63E0" w:rsidP="008C63E0">
      <w:pPr>
        <w:pStyle w:val="Cmsor2szmozottnmhh"/>
        <w:ind w:left="578" w:hanging="578"/>
      </w:pPr>
      <w:bookmarkStart w:id="23" w:name="_Toc473880720"/>
      <w:bookmarkStart w:id="24" w:name="_Toc26254669"/>
      <w:bookmarkStart w:id="25" w:name="_Toc96075718"/>
      <w:r w:rsidRPr="00DF2B9B">
        <w:t>Nemzeti szabályozás</w:t>
      </w:r>
      <w:bookmarkEnd w:id="23"/>
      <w:bookmarkEnd w:id="24"/>
      <w:bookmarkEnd w:id="25"/>
    </w:p>
    <w:p w14:paraId="408D11A5" w14:textId="5FE44618" w:rsidR="008C63E0" w:rsidRDefault="008C63E0" w:rsidP="008C63E0">
      <w:pPr>
        <w:pStyle w:val="Cmsor3szmozottnmhh"/>
        <w:ind w:left="1996"/>
      </w:pPr>
      <w:r>
        <w:t xml:space="preserve"> </w:t>
      </w:r>
      <w:bookmarkStart w:id="26" w:name="_Toc26254670"/>
      <w:bookmarkStart w:id="27" w:name="_Toc96075719"/>
      <w:r>
        <w:t xml:space="preserve">A </w:t>
      </w:r>
      <w:r w:rsidR="00BF5860">
        <w:t>2600-2615 MHz sávrészben</w:t>
      </w:r>
      <w:r>
        <w:t xml:space="preserve"> használható alkalmazások</w:t>
      </w:r>
      <w:bookmarkEnd w:id="26"/>
      <w:bookmarkEnd w:id="27"/>
    </w:p>
    <w:p w14:paraId="6B3686C2" w14:textId="1B20A048" w:rsidR="008C63E0" w:rsidRDefault="000724E1" w:rsidP="000724E1">
      <w:pPr>
        <w:pStyle w:val="Behzottbekezdsnmhh"/>
      </w:pPr>
      <w:r>
        <w:t xml:space="preserve">A jelen </w:t>
      </w:r>
      <w:r w:rsidR="00E31D5A">
        <w:t>meghallgatás</w:t>
      </w:r>
      <w:r w:rsidR="00566445">
        <w:t xml:space="preserve"> tárgyát képező, a 2600 MHz-es frekvenciasávban még elosztható</w:t>
      </w:r>
      <w:r>
        <w:t xml:space="preserve"> 2600-2615 MHz frekvenciatartományban az NFFF 2. és 3. melléklete alapján kizárólag TDD rendszerű vagy SDL célú MFCN rendszerek működhetnek. </w:t>
      </w:r>
      <w:r w:rsidR="00BF5860">
        <w:t xml:space="preserve">Mivel technológiasemleges sávról van szó, ezért mind az állandóhelyű, mind a mozgószolgálati rendszerek használata és </w:t>
      </w:r>
      <w:proofErr w:type="gramStart"/>
      <w:r w:rsidR="00894FAF">
        <w:t>ezen</w:t>
      </w:r>
      <w:proofErr w:type="gramEnd"/>
      <w:r w:rsidR="00894FAF">
        <w:t xml:space="preserve"> szolgálatokon belül </w:t>
      </w:r>
      <w:r w:rsidR="00BF5860">
        <w:t xml:space="preserve">bármely IMT körébe tartozó technológia használata (pl.: </w:t>
      </w:r>
      <w:r w:rsidR="00C51A02">
        <w:t>UMTS</w:t>
      </w:r>
      <w:r w:rsidR="00BF5860">
        <w:t xml:space="preserve">, LTE, NR) megengedett. </w:t>
      </w:r>
    </w:p>
    <w:p w14:paraId="46B3D38C" w14:textId="19B54B7D" w:rsidR="00B530DC" w:rsidRDefault="00B530DC" w:rsidP="000724E1">
      <w:pPr>
        <w:pStyle w:val="Behzottbekezdsnmhh"/>
      </w:pPr>
      <w:r>
        <w:t>A 2500</w:t>
      </w:r>
      <w:r w:rsidR="00566445" w:rsidRPr="00611891">
        <w:t>–</w:t>
      </w:r>
      <w:r>
        <w:t>2690 MHz frekvenciasávban általánosan megengedett az LTE-MTC</w:t>
      </w:r>
      <w:r>
        <w:rPr>
          <w:rStyle w:val="Lbjegyzet-hivatkozs"/>
        </w:rPr>
        <w:footnoteReference w:id="11"/>
      </w:r>
      <w:r>
        <w:t>, LTE-</w:t>
      </w:r>
      <w:proofErr w:type="spellStart"/>
      <w:r>
        <w:t>eMTC</w:t>
      </w:r>
      <w:proofErr w:type="spellEnd"/>
      <w:r>
        <w:rPr>
          <w:rStyle w:val="Lbjegyzet-hivatkozs"/>
        </w:rPr>
        <w:footnoteReference w:id="12"/>
      </w:r>
      <w:r>
        <w:t xml:space="preserve"> és NB-</w:t>
      </w:r>
      <w:proofErr w:type="spellStart"/>
      <w:r>
        <w:t>IoT</w:t>
      </w:r>
      <w:proofErr w:type="spellEnd"/>
      <w:r>
        <w:rPr>
          <w:rStyle w:val="Lbjegyzet-hivatkozs"/>
        </w:rPr>
        <w:footnoteReference w:id="13"/>
      </w:r>
      <w:r>
        <w:t xml:space="preserve"> alkalmazások használata, kivéve a </w:t>
      </w:r>
      <w:proofErr w:type="spellStart"/>
      <w:r>
        <w:t>párosítatlan</w:t>
      </w:r>
      <w:proofErr w:type="spellEnd"/>
      <w:r>
        <w:t xml:space="preserve"> 2570</w:t>
      </w:r>
      <w:r w:rsidR="00566445" w:rsidRPr="00611891">
        <w:t>–</w:t>
      </w:r>
      <w:r>
        <w:t xml:space="preserve">2620 MHz sávrészben, így </w:t>
      </w:r>
      <w:r w:rsidR="008E28C1">
        <w:t>az elosztható</w:t>
      </w:r>
      <w:r>
        <w:t xml:space="preserve"> 2600</w:t>
      </w:r>
      <w:r w:rsidR="00ED104D" w:rsidRPr="00611891">
        <w:t>–</w:t>
      </w:r>
      <w:r>
        <w:t xml:space="preserve">2615 MHz sávrészben sem használhatók </w:t>
      </w:r>
      <w:r w:rsidR="00AE5C13">
        <w:t>ilyen alkalmazások</w:t>
      </w:r>
      <w:r>
        <w:t>.</w:t>
      </w:r>
    </w:p>
    <w:p w14:paraId="3922691F" w14:textId="77777777" w:rsidR="00BF5860" w:rsidRPr="00B443C2" w:rsidRDefault="00BF5860" w:rsidP="008C63E0">
      <w:pPr>
        <w:pStyle w:val="Behzottbekezdsnmhh"/>
      </w:pPr>
    </w:p>
    <w:p w14:paraId="070F3ACE" w14:textId="2D900F0C" w:rsidR="008C63E0" w:rsidRPr="00B443C2" w:rsidRDefault="008C63E0" w:rsidP="008C63E0">
      <w:pPr>
        <w:pStyle w:val="Cmsor3szmozottnmhh"/>
        <w:ind w:left="1996"/>
      </w:pPr>
      <w:bookmarkStart w:id="28" w:name="_Toc26254671"/>
      <w:bookmarkStart w:id="29" w:name="_Toc96075720"/>
      <w:r>
        <w:lastRenderedPageBreak/>
        <w:t>Jelenlegi használati feltételek</w:t>
      </w:r>
      <w:bookmarkEnd w:id="28"/>
      <w:r w:rsidR="00BF5860">
        <w:t xml:space="preserve"> a 2600-2615</w:t>
      </w:r>
      <w:r w:rsidR="00030E80">
        <w:t xml:space="preserve"> M</w:t>
      </w:r>
      <w:r>
        <w:t xml:space="preserve">Hz </w:t>
      </w:r>
      <w:r w:rsidR="006F7A75">
        <w:t>frekvencia</w:t>
      </w:r>
      <w:r>
        <w:t>sávrészben</w:t>
      </w:r>
      <w:bookmarkEnd w:id="29"/>
    </w:p>
    <w:p w14:paraId="5D4F5E76" w14:textId="28E6169E" w:rsidR="008F044A" w:rsidRDefault="008F044A" w:rsidP="008C63E0">
      <w:pPr>
        <w:pStyle w:val="Behzottbekezdsnmhh"/>
      </w:pPr>
      <w:r w:rsidRPr="00960B56">
        <w:t xml:space="preserve">A </w:t>
      </w:r>
      <w:r w:rsidR="006F7A75">
        <w:t xml:space="preserve">2600 MHz-es </w:t>
      </w:r>
      <w:r w:rsidRPr="00960B56">
        <w:t>frekvenciasávban elektronikus hírközlési szolgáltatás nyújtható</w:t>
      </w:r>
      <w:r>
        <w:t>, rádióspektrum-</w:t>
      </w:r>
      <w:r w:rsidRPr="00960B56">
        <w:t>használati jogosultságot versenyezteté</w:t>
      </w:r>
      <w:r>
        <w:t>si eljárás során lehet szerezni. R</w:t>
      </w:r>
      <w:r w:rsidRPr="008F044A">
        <w:t>ádióspektrum-használati jogosultság versenyeztetési eljárás eredményeként történő megszerzése esetén országos, átruházás útján történő megszerzése esetén kisebb földrajzi egység is megengedett</w:t>
      </w:r>
      <w:r>
        <w:t>. A</w:t>
      </w:r>
      <w:r w:rsidRPr="008F044A">
        <w:t xml:space="preserve"> rádióspektrum-használati jogosultság, jog részben és egészben is átruházható, haszonbérbe adható; frekvencia vonatkozásában történő részbeni átruházás alapblokkonként történhet</w:t>
      </w:r>
      <w:r>
        <w:t xml:space="preserve">. A sávátrendezés </w:t>
      </w:r>
      <w:r w:rsidR="00A2262F">
        <w:t xml:space="preserve">és a </w:t>
      </w:r>
      <w:r w:rsidR="00A2262F" w:rsidRPr="00A2262F">
        <w:t>rádióspektrum-használati jogosultság és jog megújításának lehetősége megengedett</w:t>
      </w:r>
      <w:r w:rsidR="00EF0A4A">
        <w:rPr>
          <w:rStyle w:val="Lbjegyzet-hivatkozs"/>
        </w:rPr>
        <w:footnoteReference w:id="14"/>
      </w:r>
      <w:r>
        <w:t xml:space="preserve">. A rádióspektrum-használati jog időtartama </w:t>
      </w:r>
      <w:r w:rsidRPr="00200AA9">
        <w:t>15 év</w:t>
      </w:r>
      <w:r>
        <w:rPr>
          <w:rFonts w:ascii="Arial" w:hAnsi="Arial" w:cs="Arial"/>
          <w:color w:val="212529"/>
          <w:sz w:val="18"/>
          <w:szCs w:val="18"/>
          <w:shd w:val="clear" w:color="auto" w:fill="FFFFFF"/>
        </w:rPr>
        <w:t xml:space="preserve">, </w:t>
      </w:r>
      <w:r w:rsidRPr="00A2262F">
        <w:t>amely egy alkalommal</w:t>
      </w:r>
      <w:r w:rsidR="002E008E">
        <w:t>,</w:t>
      </w:r>
      <w:r w:rsidRPr="00A2262F">
        <w:t xml:space="preserve"> 5 évvel meghosszabbítható. A meghosszabbítás részletes szabályait, feltételeit a versenyeztetési eljárás kiírási dokumentációja, valamint a versenyeztetési eljárást lezáró határozat vagy hatósági szerződés határozza meg</w:t>
      </w:r>
      <w:r w:rsidR="00A2262F">
        <w:t>.</w:t>
      </w:r>
      <w:r w:rsidR="009E1C2C">
        <w:t xml:space="preserve"> A megújítás nem kizárt.</w:t>
      </w:r>
    </w:p>
    <w:p w14:paraId="480B2231" w14:textId="53AEE3B4" w:rsidR="007A2197" w:rsidRDefault="007A2197" w:rsidP="008C63E0">
      <w:pPr>
        <w:pStyle w:val="Behzottbekezdsnmhh"/>
      </w:pPr>
      <w:r>
        <w:rPr>
          <w:bCs/>
        </w:rPr>
        <w:t>Attól függően, hogy a szomszédos felhasználói blokkokat használó rádióspektrum-használati jogosultsággal rendelkező szolgáltatók milyen technológiájú rendszert üzemeltetnek, szükség lehet a f</w:t>
      </w:r>
      <w:r w:rsidRPr="00157CD9">
        <w:rPr>
          <w:bCs/>
        </w:rPr>
        <w:t xml:space="preserve">elhasználói blokkok határán levő </w:t>
      </w:r>
      <w:proofErr w:type="spellStart"/>
      <w:r w:rsidRPr="00157CD9">
        <w:rPr>
          <w:bCs/>
        </w:rPr>
        <w:t>csatornaszélek</w:t>
      </w:r>
      <w:proofErr w:type="spellEnd"/>
      <w:r w:rsidRPr="00157CD9">
        <w:rPr>
          <w:bCs/>
        </w:rPr>
        <w:t xml:space="preserve"> közötti elválasztás</w:t>
      </w:r>
      <w:r>
        <w:rPr>
          <w:bCs/>
        </w:rPr>
        <w:t xml:space="preserve">ra (NFFF 3. melléklet 3.2b. pont). </w:t>
      </w:r>
      <w:r w:rsidR="00EF0A4A">
        <w:rPr>
          <w:bCs/>
        </w:rPr>
        <w:t>M</w:t>
      </w:r>
      <w:r>
        <w:rPr>
          <w:bCs/>
        </w:rPr>
        <w:t xml:space="preserve">ivel keskenysávú </w:t>
      </w:r>
      <w:proofErr w:type="spellStart"/>
      <w:r>
        <w:rPr>
          <w:bCs/>
        </w:rPr>
        <w:t>IoT</w:t>
      </w:r>
      <w:proofErr w:type="spellEnd"/>
      <w:r>
        <w:rPr>
          <w:rStyle w:val="Lbjegyzet-hivatkozs"/>
          <w:bCs/>
        </w:rPr>
        <w:footnoteReference w:id="15"/>
      </w:r>
      <w:r>
        <w:rPr>
          <w:bCs/>
        </w:rPr>
        <w:t xml:space="preserve"> rendszereket kizárólag a párosított sávrészben (2500</w:t>
      </w:r>
      <w:r w:rsidR="00200AA9" w:rsidRPr="00611891">
        <w:t>–</w:t>
      </w:r>
      <w:r w:rsidR="00200AA9">
        <w:rPr>
          <w:bCs/>
        </w:rPr>
        <w:t>2570/2620</w:t>
      </w:r>
      <w:r w:rsidR="00200AA9" w:rsidRPr="00611891">
        <w:t>–</w:t>
      </w:r>
      <w:r>
        <w:rPr>
          <w:bCs/>
        </w:rPr>
        <w:t>2690 MHz) lehet használni, ezért a 2600</w:t>
      </w:r>
      <w:r w:rsidR="00200AA9" w:rsidRPr="00611891">
        <w:t>–</w:t>
      </w:r>
      <w:r>
        <w:rPr>
          <w:bCs/>
        </w:rPr>
        <w:t>2615 MHz sávrész esetén nincs szükség ilyen típusú elválasztásra a szomszédos felhasználói blokkok között (ebben a frekvenciatartományban csak szélessávú rendszerek használhatók).</w:t>
      </w:r>
    </w:p>
    <w:p w14:paraId="03CBD592" w14:textId="6BB2C190" w:rsidR="00A2262F" w:rsidRDefault="00A2262F" w:rsidP="008C63E0">
      <w:pPr>
        <w:pStyle w:val="Behzottbekezdsnmhh"/>
      </w:pPr>
      <w:r w:rsidRPr="00A2262F">
        <w:t xml:space="preserve">Az </w:t>
      </w:r>
      <w:r>
        <w:t>e</w:t>
      </w:r>
      <w:r w:rsidRPr="00A2262F">
        <w:t>gyes alkalmazásokra vonatkozó speci</w:t>
      </w:r>
      <w:r>
        <w:t xml:space="preserve">ális rádióspektrum-gazdálkodási, sugárzási </w:t>
      </w:r>
      <w:r w:rsidRPr="00A2262F">
        <w:t>követelmények</w:t>
      </w:r>
      <w:r>
        <w:t>et és egyéb részlet szabályokat az NFFF 3. melléklet 3.11. pontja tartalmazza.</w:t>
      </w:r>
    </w:p>
    <w:p w14:paraId="43B89963" w14:textId="77777777" w:rsidR="00A2262F" w:rsidRPr="008F044A" w:rsidRDefault="00A2262F" w:rsidP="008C63E0">
      <w:pPr>
        <w:pStyle w:val="Behzottbekezdsnmhh"/>
      </w:pPr>
    </w:p>
    <w:p w14:paraId="063FF4E3" w14:textId="4698701A" w:rsidR="004942E2" w:rsidRDefault="004942E2">
      <w:pPr>
        <w:spacing w:after="200"/>
        <w:jc w:val="left"/>
        <w:rPr>
          <w:sz w:val="20"/>
          <w:szCs w:val="20"/>
        </w:rPr>
      </w:pPr>
      <w:r>
        <w:br w:type="page"/>
      </w:r>
    </w:p>
    <w:p w14:paraId="5EA2624F" w14:textId="40092BF0" w:rsidR="008C63E0" w:rsidRDefault="008C63E0" w:rsidP="008C63E0">
      <w:pPr>
        <w:pStyle w:val="Cmsor1szmozottnmhh"/>
        <w:pageBreakBefore w:val="0"/>
        <w:ind w:left="431" w:hanging="431"/>
      </w:pPr>
      <w:bookmarkStart w:id="30" w:name="_Toc26254672"/>
      <w:bookmarkStart w:id="31" w:name="_Toc96075721"/>
      <w:r w:rsidRPr="00FD7FF2">
        <w:lastRenderedPageBreak/>
        <w:t xml:space="preserve">A </w:t>
      </w:r>
      <w:r w:rsidR="00A2365A">
        <w:t>2500-2690 M</w:t>
      </w:r>
      <w:r w:rsidRPr="00FD7FF2">
        <w:t xml:space="preserve">Hz frekvenciasáv jelenlegi </w:t>
      </w:r>
      <w:bookmarkEnd w:id="30"/>
      <w:r w:rsidR="00EF0A4A">
        <w:t>használata</w:t>
      </w:r>
      <w:bookmarkEnd w:id="31"/>
      <w:r w:rsidDel="001B4C09">
        <w:t xml:space="preserve"> </w:t>
      </w:r>
    </w:p>
    <w:p w14:paraId="16A2533C" w14:textId="6B54737B" w:rsidR="008C63E0" w:rsidRDefault="008C63E0" w:rsidP="008C63E0">
      <w:pPr>
        <w:pStyle w:val="Behzottbekezdsnmhh"/>
      </w:pPr>
      <w:r>
        <w:t xml:space="preserve">A jelenlegi </w:t>
      </w:r>
      <w:r w:rsidR="005E5163">
        <w:t>rádióspektrum-</w:t>
      </w:r>
      <w:r>
        <w:t>használati jogosultságokat a</w:t>
      </w:r>
      <w:r w:rsidR="00EF0A4A">
        <w:t xml:space="preserve"> 4.1. táblázat és 4.1. ábra tartalmazza. </w:t>
      </w:r>
    </w:p>
    <w:p w14:paraId="631A3369" w14:textId="51DEA456" w:rsidR="004E10B9" w:rsidRPr="00FD7FF2" w:rsidRDefault="004E10B9" w:rsidP="002E008E">
      <w:pPr>
        <w:pStyle w:val="Behzottbekezdsnmhh"/>
      </w:pPr>
    </w:p>
    <w:tbl>
      <w:tblPr>
        <w:tblStyle w:val="Rcsostblzat"/>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0"/>
        <w:gridCol w:w="1920"/>
        <w:gridCol w:w="1561"/>
        <w:gridCol w:w="1552"/>
        <w:gridCol w:w="2649"/>
      </w:tblGrid>
      <w:tr w:rsidR="00A2365A" w:rsidRPr="003C1628" w14:paraId="728B4F07" w14:textId="77777777" w:rsidTr="00891608">
        <w:trPr>
          <w:jc w:val="center"/>
        </w:trPr>
        <w:tc>
          <w:tcPr>
            <w:tcW w:w="1360" w:type="dxa"/>
            <w:tcBorders>
              <w:top w:val="single" w:sz="12" w:space="0" w:color="auto"/>
              <w:bottom w:val="single" w:sz="12" w:space="0" w:color="auto"/>
              <w:right w:val="single" w:sz="12" w:space="0" w:color="auto"/>
            </w:tcBorders>
            <w:shd w:val="clear" w:color="auto" w:fill="95B3D7" w:themeFill="accent1" w:themeFillTint="99"/>
          </w:tcPr>
          <w:p w14:paraId="105C3753" w14:textId="77777777" w:rsidR="00A2365A" w:rsidRPr="00E80C28" w:rsidRDefault="00A2365A" w:rsidP="0047628F">
            <w:pPr>
              <w:spacing w:before="60" w:after="60"/>
              <w:ind w:right="-567"/>
              <w:rPr>
                <w:rFonts w:cs="Arial"/>
                <w:b/>
                <w:sz w:val="20"/>
                <w:szCs w:val="20"/>
              </w:rPr>
            </w:pPr>
            <w:r w:rsidRPr="00E80C28">
              <w:rPr>
                <w:rFonts w:cs="Arial"/>
                <w:b/>
                <w:sz w:val="20"/>
                <w:szCs w:val="20"/>
              </w:rPr>
              <w:t>Szolgáltató</w:t>
            </w:r>
          </w:p>
        </w:tc>
        <w:tc>
          <w:tcPr>
            <w:tcW w:w="1920"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3CC33136" w14:textId="77777777" w:rsidR="00A2365A" w:rsidRPr="00E80C28" w:rsidRDefault="00A2365A" w:rsidP="0047628F">
            <w:pPr>
              <w:spacing w:before="60" w:after="60"/>
              <w:ind w:right="-108"/>
              <w:jc w:val="center"/>
              <w:rPr>
                <w:rFonts w:cs="Arial"/>
                <w:b/>
                <w:sz w:val="20"/>
                <w:szCs w:val="20"/>
              </w:rPr>
            </w:pPr>
            <w:r w:rsidRPr="00E80C28">
              <w:rPr>
                <w:rFonts w:cs="Arial"/>
                <w:b/>
                <w:sz w:val="20"/>
                <w:szCs w:val="20"/>
              </w:rPr>
              <w:t>TDD frekvenciasáv</w:t>
            </w:r>
          </w:p>
        </w:tc>
        <w:tc>
          <w:tcPr>
            <w:tcW w:w="3113" w:type="dxa"/>
            <w:gridSpan w:val="2"/>
            <w:tcBorders>
              <w:top w:val="single" w:sz="12" w:space="0" w:color="auto"/>
              <w:left w:val="single" w:sz="12" w:space="0" w:color="auto"/>
              <w:bottom w:val="single" w:sz="12" w:space="0" w:color="auto"/>
            </w:tcBorders>
            <w:shd w:val="clear" w:color="auto" w:fill="95B3D7" w:themeFill="accent1" w:themeFillTint="99"/>
          </w:tcPr>
          <w:p w14:paraId="2743B817" w14:textId="77777777" w:rsidR="00A2365A" w:rsidRPr="00E80C28" w:rsidRDefault="00A2365A" w:rsidP="0047628F">
            <w:pPr>
              <w:spacing w:before="60" w:after="60"/>
              <w:ind w:right="-108"/>
              <w:jc w:val="center"/>
              <w:rPr>
                <w:rFonts w:cs="Arial"/>
                <w:b/>
                <w:sz w:val="20"/>
                <w:szCs w:val="20"/>
              </w:rPr>
            </w:pPr>
            <w:r w:rsidRPr="00E80C28">
              <w:rPr>
                <w:rFonts w:cs="Arial"/>
                <w:b/>
                <w:sz w:val="20"/>
                <w:szCs w:val="20"/>
              </w:rPr>
              <w:t>FDD frekvenciasáv</w:t>
            </w:r>
          </w:p>
        </w:tc>
        <w:tc>
          <w:tcPr>
            <w:tcW w:w="2649" w:type="dxa"/>
            <w:tcBorders>
              <w:top w:val="single" w:sz="12" w:space="0" w:color="auto"/>
              <w:left w:val="single" w:sz="12" w:space="0" w:color="auto"/>
              <w:bottom w:val="single" w:sz="12" w:space="0" w:color="auto"/>
            </w:tcBorders>
            <w:shd w:val="clear" w:color="auto" w:fill="95B3D7" w:themeFill="accent1" w:themeFillTint="99"/>
          </w:tcPr>
          <w:p w14:paraId="6BFA0B2B" w14:textId="77777777" w:rsidR="00A2365A" w:rsidRPr="00E80C28" w:rsidRDefault="00A2365A" w:rsidP="0047628F">
            <w:pPr>
              <w:spacing w:before="60" w:after="60"/>
              <w:ind w:right="-108"/>
              <w:jc w:val="center"/>
              <w:rPr>
                <w:rFonts w:cs="Arial"/>
                <w:b/>
                <w:sz w:val="20"/>
                <w:szCs w:val="20"/>
              </w:rPr>
            </w:pPr>
            <w:r w:rsidRPr="001B0BCF">
              <w:rPr>
                <w:rFonts w:cs="Arial"/>
                <w:b/>
                <w:sz w:val="20"/>
                <w:szCs w:val="20"/>
              </w:rPr>
              <w:t>Jogosultság lejárat</w:t>
            </w:r>
          </w:p>
        </w:tc>
      </w:tr>
      <w:tr w:rsidR="00A2365A" w:rsidRPr="00BF2AEC" w14:paraId="19CDCE90" w14:textId="77777777" w:rsidTr="0047628F">
        <w:trPr>
          <w:trHeight w:val="567"/>
          <w:jc w:val="center"/>
        </w:trPr>
        <w:tc>
          <w:tcPr>
            <w:tcW w:w="1360" w:type="dxa"/>
            <w:tcBorders>
              <w:top w:val="single" w:sz="12" w:space="0" w:color="auto"/>
              <w:left w:val="single" w:sz="12" w:space="0" w:color="auto"/>
              <w:bottom w:val="single" w:sz="6" w:space="0" w:color="auto"/>
              <w:right w:val="single" w:sz="12" w:space="0" w:color="auto"/>
            </w:tcBorders>
            <w:shd w:val="clear" w:color="auto" w:fill="auto"/>
            <w:vAlign w:val="center"/>
          </w:tcPr>
          <w:p w14:paraId="6563BAA6" w14:textId="77777777" w:rsidR="00A2365A" w:rsidRPr="00E80C28" w:rsidRDefault="00A2365A" w:rsidP="0047628F">
            <w:pPr>
              <w:ind w:right="-108"/>
              <w:rPr>
                <w:rFonts w:cs="Arial"/>
                <w:b/>
                <w:sz w:val="20"/>
                <w:szCs w:val="20"/>
              </w:rPr>
            </w:pPr>
            <w:r w:rsidRPr="00E80C28">
              <w:rPr>
                <w:rFonts w:cs="Arial"/>
                <w:sz w:val="20"/>
                <w:szCs w:val="20"/>
              </w:rPr>
              <w:t xml:space="preserve">      </w:t>
            </w:r>
            <w:r w:rsidRPr="00E80C28">
              <w:rPr>
                <w:rFonts w:cs="Arial"/>
                <w:sz w:val="20"/>
                <w:szCs w:val="20"/>
              </w:rPr>
              <w:object w:dxaOrig="1416" w:dyaOrig="936" w14:anchorId="5056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7.75pt" o:ole="">
                  <v:imagedata r:id="rId14" o:title=""/>
                </v:shape>
                <o:OLEObject Type="Embed" ProgID="PBrush" ShapeID="_x0000_i1025" DrawAspect="Content" ObjectID="_1706688463" r:id="rId15"/>
              </w:object>
            </w:r>
          </w:p>
        </w:tc>
        <w:tc>
          <w:tcPr>
            <w:tcW w:w="1920" w:type="dxa"/>
            <w:tcBorders>
              <w:top w:val="single" w:sz="12" w:space="0" w:color="auto"/>
              <w:left w:val="single" w:sz="12" w:space="0" w:color="auto"/>
              <w:bottom w:val="single" w:sz="6" w:space="0" w:color="auto"/>
              <w:right w:val="single" w:sz="12" w:space="0" w:color="auto"/>
            </w:tcBorders>
            <w:vAlign w:val="center"/>
          </w:tcPr>
          <w:p w14:paraId="3DFC5CEE" w14:textId="77777777" w:rsidR="00A2365A" w:rsidRPr="00E80C28" w:rsidRDefault="00A2365A" w:rsidP="0047628F">
            <w:pPr>
              <w:ind w:right="-108"/>
              <w:jc w:val="center"/>
              <w:rPr>
                <w:rFonts w:cs="Arial"/>
                <w:sz w:val="20"/>
                <w:szCs w:val="20"/>
              </w:rPr>
            </w:pPr>
          </w:p>
        </w:tc>
        <w:tc>
          <w:tcPr>
            <w:tcW w:w="1561" w:type="dxa"/>
            <w:tcBorders>
              <w:top w:val="single" w:sz="12" w:space="0" w:color="auto"/>
              <w:left w:val="single" w:sz="12" w:space="0" w:color="auto"/>
              <w:bottom w:val="single" w:sz="6" w:space="0" w:color="auto"/>
              <w:right w:val="single" w:sz="12" w:space="0" w:color="auto"/>
            </w:tcBorders>
            <w:vAlign w:val="center"/>
          </w:tcPr>
          <w:p w14:paraId="1585DC26" w14:textId="77777777" w:rsidR="00A2365A" w:rsidRPr="00E80C28" w:rsidRDefault="00A2365A" w:rsidP="0047628F">
            <w:pPr>
              <w:ind w:right="-108"/>
              <w:jc w:val="center"/>
              <w:rPr>
                <w:rFonts w:cs="Arial"/>
                <w:sz w:val="20"/>
                <w:szCs w:val="20"/>
              </w:rPr>
            </w:pPr>
            <w:r w:rsidRPr="00E80C28">
              <w:rPr>
                <w:rFonts w:cs="Arial"/>
                <w:sz w:val="20"/>
                <w:szCs w:val="20"/>
              </w:rPr>
              <w:t>2500-2530 MHz</w:t>
            </w:r>
          </w:p>
        </w:tc>
        <w:tc>
          <w:tcPr>
            <w:tcW w:w="1552" w:type="dxa"/>
            <w:tcBorders>
              <w:top w:val="single" w:sz="12" w:space="0" w:color="auto"/>
              <w:left w:val="single" w:sz="12" w:space="0" w:color="auto"/>
            </w:tcBorders>
            <w:vAlign w:val="center"/>
          </w:tcPr>
          <w:p w14:paraId="4B5B4E6F" w14:textId="77777777" w:rsidR="00A2365A" w:rsidRPr="00E80C28" w:rsidRDefault="00A2365A" w:rsidP="0047628F">
            <w:pPr>
              <w:ind w:right="-108"/>
              <w:jc w:val="center"/>
              <w:rPr>
                <w:rFonts w:cs="Arial"/>
                <w:sz w:val="20"/>
                <w:szCs w:val="20"/>
              </w:rPr>
            </w:pPr>
            <w:r w:rsidRPr="00E80C28">
              <w:rPr>
                <w:rFonts w:cs="Arial"/>
                <w:sz w:val="20"/>
                <w:szCs w:val="20"/>
              </w:rPr>
              <w:t>2620-2650 MHz</w:t>
            </w:r>
          </w:p>
        </w:tc>
        <w:tc>
          <w:tcPr>
            <w:tcW w:w="2649" w:type="dxa"/>
            <w:tcBorders>
              <w:top w:val="single" w:sz="12" w:space="0" w:color="auto"/>
              <w:left w:val="single" w:sz="12" w:space="0" w:color="auto"/>
            </w:tcBorders>
            <w:vAlign w:val="center"/>
          </w:tcPr>
          <w:p w14:paraId="08DCCDBF" w14:textId="77777777" w:rsidR="00A2365A" w:rsidRPr="00E80C28" w:rsidRDefault="00A2365A" w:rsidP="0047628F">
            <w:pPr>
              <w:ind w:right="-108"/>
              <w:jc w:val="center"/>
              <w:rPr>
                <w:rFonts w:cs="Arial"/>
                <w:sz w:val="20"/>
                <w:szCs w:val="20"/>
              </w:rPr>
            </w:pPr>
            <w:r>
              <w:rPr>
                <w:rFonts w:cs="Arial"/>
                <w:sz w:val="20"/>
                <w:szCs w:val="20"/>
              </w:rPr>
              <w:t>2029.06.15. (+5 év)</w:t>
            </w:r>
          </w:p>
        </w:tc>
      </w:tr>
      <w:tr w:rsidR="00A2365A" w:rsidRPr="00BF2AEC" w14:paraId="3B4E6642" w14:textId="77777777" w:rsidTr="0047628F">
        <w:trPr>
          <w:trHeight w:val="567"/>
          <w:jc w:val="center"/>
        </w:trPr>
        <w:tc>
          <w:tcPr>
            <w:tcW w:w="1360" w:type="dxa"/>
            <w:tcBorders>
              <w:top w:val="single" w:sz="6" w:space="0" w:color="auto"/>
              <w:left w:val="single" w:sz="12" w:space="0" w:color="auto"/>
              <w:bottom w:val="single" w:sz="6" w:space="0" w:color="auto"/>
              <w:right w:val="single" w:sz="12" w:space="0" w:color="auto"/>
            </w:tcBorders>
            <w:shd w:val="clear" w:color="auto" w:fill="auto"/>
            <w:vAlign w:val="center"/>
          </w:tcPr>
          <w:p w14:paraId="077A2A4E" w14:textId="77777777" w:rsidR="00A2365A" w:rsidRPr="00E80C28" w:rsidRDefault="00A2365A" w:rsidP="0047628F">
            <w:pPr>
              <w:ind w:right="-567"/>
              <w:rPr>
                <w:rFonts w:cs="Arial"/>
                <w:b/>
                <w:sz w:val="20"/>
                <w:szCs w:val="20"/>
              </w:rPr>
            </w:pPr>
            <w:r w:rsidRPr="00E80C28">
              <w:rPr>
                <w:rFonts w:cs="Arial"/>
                <w:sz w:val="20"/>
                <w:szCs w:val="20"/>
              </w:rPr>
              <w:t xml:space="preserve">       </w:t>
            </w:r>
            <w:r w:rsidRPr="00E80C28">
              <w:rPr>
                <w:rFonts w:cs="Arial"/>
                <w:sz w:val="20"/>
                <w:szCs w:val="20"/>
              </w:rPr>
              <w:object w:dxaOrig="1080" w:dyaOrig="1080" w14:anchorId="13A073EF">
                <v:shape id="_x0000_i1026" type="#_x0000_t75" style="width:30.75pt;height:30.75pt" o:ole="">
                  <v:imagedata r:id="rId16" o:title=""/>
                </v:shape>
                <o:OLEObject Type="Embed" ProgID="PBrush" ShapeID="_x0000_i1026" DrawAspect="Content" ObjectID="_1706688464" r:id="rId17"/>
              </w:object>
            </w:r>
          </w:p>
        </w:tc>
        <w:tc>
          <w:tcPr>
            <w:tcW w:w="1920" w:type="dxa"/>
            <w:tcBorders>
              <w:top w:val="single" w:sz="6" w:space="0" w:color="auto"/>
              <w:left w:val="single" w:sz="12" w:space="0" w:color="auto"/>
              <w:bottom w:val="single" w:sz="6" w:space="0" w:color="auto"/>
              <w:right w:val="single" w:sz="12" w:space="0" w:color="auto"/>
            </w:tcBorders>
            <w:vAlign w:val="center"/>
          </w:tcPr>
          <w:p w14:paraId="74B5AA74" w14:textId="77777777" w:rsidR="00A2365A" w:rsidRPr="00E80C28" w:rsidRDefault="00A2365A" w:rsidP="0047628F">
            <w:pPr>
              <w:ind w:right="-108"/>
              <w:jc w:val="center"/>
              <w:rPr>
                <w:rFonts w:cs="Arial"/>
                <w:sz w:val="20"/>
                <w:szCs w:val="20"/>
              </w:rPr>
            </w:pPr>
          </w:p>
        </w:tc>
        <w:tc>
          <w:tcPr>
            <w:tcW w:w="1561" w:type="dxa"/>
            <w:tcBorders>
              <w:top w:val="single" w:sz="6" w:space="0" w:color="auto"/>
              <w:left w:val="single" w:sz="12" w:space="0" w:color="auto"/>
              <w:bottom w:val="single" w:sz="6" w:space="0" w:color="auto"/>
              <w:right w:val="single" w:sz="12" w:space="0" w:color="auto"/>
            </w:tcBorders>
            <w:vAlign w:val="center"/>
          </w:tcPr>
          <w:p w14:paraId="78592637" w14:textId="77777777" w:rsidR="00A2365A" w:rsidRPr="00E80C28" w:rsidRDefault="00A2365A" w:rsidP="0047628F">
            <w:pPr>
              <w:ind w:right="-108"/>
              <w:jc w:val="center"/>
              <w:rPr>
                <w:rFonts w:cs="Arial"/>
                <w:sz w:val="20"/>
                <w:szCs w:val="20"/>
              </w:rPr>
            </w:pPr>
            <w:r w:rsidRPr="00E80C28">
              <w:rPr>
                <w:rFonts w:cs="Arial"/>
                <w:sz w:val="20"/>
                <w:szCs w:val="20"/>
              </w:rPr>
              <w:t>2530-2550 MHz</w:t>
            </w:r>
          </w:p>
        </w:tc>
        <w:tc>
          <w:tcPr>
            <w:tcW w:w="1552" w:type="dxa"/>
            <w:tcBorders>
              <w:left w:val="single" w:sz="12" w:space="0" w:color="auto"/>
            </w:tcBorders>
            <w:vAlign w:val="center"/>
          </w:tcPr>
          <w:p w14:paraId="0F1BF269" w14:textId="77777777" w:rsidR="00A2365A" w:rsidRPr="00E80C28" w:rsidRDefault="00A2365A" w:rsidP="0047628F">
            <w:pPr>
              <w:ind w:right="-108"/>
              <w:jc w:val="center"/>
              <w:rPr>
                <w:rFonts w:cs="Arial"/>
                <w:sz w:val="20"/>
                <w:szCs w:val="20"/>
              </w:rPr>
            </w:pPr>
            <w:r w:rsidRPr="00E80C28">
              <w:rPr>
                <w:rFonts w:cs="Arial"/>
                <w:sz w:val="20"/>
                <w:szCs w:val="20"/>
              </w:rPr>
              <w:t>2650-2670 MHz</w:t>
            </w:r>
          </w:p>
        </w:tc>
        <w:tc>
          <w:tcPr>
            <w:tcW w:w="2649" w:type="dxa"/>
            <w:tcBorders>
              <w:left w:val="single" w:sz="12" w:space="0" w:color="auto"/>
            </w:tcBorders>
            <w:vAlign w:val="center"/>
          </w:tcPr>
          <w:p w14:paraId="3E2F654F" w14:textId="77777777" w:rsidR="00A2365A" w:rsidRPr="00E80C28" w:rsidRDefault="00A2365A" w:rsidP="0047628F">
            <w:pPr>
              <w:ind w:right="-108"/>
              <w:jc w:val="center"/>
              <w:rPr>
                <w:rFonts w:cs="Arial"/>
                <w:sz w:val="20"/>
                <w:szCs w:val="20"/>
              </w:rPr>
            </w:pPr>
            <w:r>
              <w:rPr>
                <w:rFonts w:cs="Arial"/>
                <w:sz w:val="20"/>
                <w:szCs w:val="20"/>
              </w:rPr>
              <w:t>2029.06.15. (+5 év)</w:t>
            </w:r>
          </w:p>
        </w:tc>
      </w:tr>
      <w:tr w:rsidR="00A2365A" w:rsidRPr="00BF2AEC" w14:paraId="1487F875" w14:textId="77777777" w:rsidTr="0047628F">
        <w:trPr>
          <w:trHeight w:val="567"/>
          <w:jc w:val="center"/>
        </w:trPr>
        <w:tc>
          <w:tcPr>
            <w:tcW w:w="1360" w:type="dxa"/>
            <w:tcBorders>
              <w:top w:val="single" w:sz="6" w:space="0" w:color="auto"/>
              <w:left w:val="single" w:sz="12" w:space="0" w:color="auto"/>
              <w:bottom w:val="single" w:sz="6" w:space="0" w:color="auto"/>
              <w:right w:val="single" w:sz="12" w:space="0" w:color="auto"/>
            </w:tcBorders>
            <w:shd w:val="clear" w:color="auto" w:fill="auto"/>
            <w:vAlign w:val="center"/>
          </w:tcPr>
          <w:p w14:paraId="49B5D4A8" w14:textId="24459D54" w:rsidR="00A2365A" w:rsidRPr="00E80C28" w:rsidRDefault="00A2365A" w:rsidP="0047628F">
            <w:pPr>
              <w:ind w:right="-567"/>
              <w:rPr>
                <w:rFonts w:cs="Arial"/>
                <w:b/>
                <w:sz w:val="20"/>
                <w:szCs w:val="20"/>
              </w:rPr>
            </w:pPr>
            <w:r w:rsidRPr="00E80C28">
              <w:rPr>
                <w:rFonts w:cs="Arial"/>
                <w:sz w:val="20"/>
                <w:szCs w:val="20"/>
              </w:rPr>
              <w:t xml:space="preserve">      </w:t>
            </w:r>
            <w:r w:rsidRPr="00E80C28">
              <w:rPr>
                <w:rFonts w:cs="Arial"/>
                <w:sz w:val="20"/>
                <w:szCs w:val="20"/>
              </w:rPr>
              <w:object w:dxaOrig="924" w:dyaOrig="912" w14:anchorId="0D8C5904">
                <v:shape id="_x0000_i1027" type="#_x0000_t75" style="width:32.25pt;height:32.25pt" o:ole="">
                  <v:imagedata r:id="rId18" o:title=""/>
                </v:shape>
                <o:OLEObject Type="Embed" ProgID="PBrush" ShapeID="_x0000_i1027" DrawAspect="Content" ObjectID="_1706688465" r:id="rId19"/>
              </w:object>
            </w:r>
            <w:r w:rsidR="009E1C2C">
              <w:rPr>
                <w:rStyle w:val="Lbjegyzet-hivatkozs"/>
                <w:rFonts w:cs="Arial"/>
                <w:sz w:val="20"/>
                <w:szCs w:val="20"/>
              </w:rPr>
              <w:footnoteReference w:id="16"/>
            </w:r>
          </w:p>
        </w:tc>
        <w:tc>
          <w:tcPr>
            <w:tcW w:w="1920" w:type="dxa"/>
            <w:tcBorders>
              <w:top w:val="single" w:sz="6" w:space="0" w:color="auto"/>
              <w:left w:val="single" w:sz="12" w:space="0" w:color="auto"/>
              <w:bottom w:val="single" w:sz="6" w:space="0" w:color="auto"/>
              <w:right w:val="single" w:sz="12" w:space="0" w:color="auto"/>
            </w:tcBorders>
            <w:vAlign w:val="center"/>
          </w:tcPr>
          <w:p w14:paraId="5FAC1356" w14:textId="77777777" w:rsidR="00A2365A" w:rsidRPr="00E80C28" w:rsidRDefault="00A2365A" w:rsidP="0047628F">
            <w:pPr>
              <w:ind w:right="-108"/>
              <w:jc w:val="center"/>
              <w:rPr>
                <w:rFonts w:cs="Arial"/>
                <w:sz w:val="20"/>
                <w:szCs w:val="20"/>
              </w:rPr>
            </w:pPr>
          </w:p>
        </w:tc>
        <w:tc>
          <w:tcPr>
            <w:tcW w:w="1561" w:type="dxa"/>
            <w:tcBorders>
              <w:top w:val="single" w:sz="6" w:space="0" w:color="auto"/>
              <w:left w:val="single" w:sz="12" w:space="0" w:color="auto"/>
              <w:bottom w:val="single" w:sz="6" w:space="0" w:color="auto"/>
              <w:right w:val="single" w:sz="12" w:space="0" w:color="auto"/>
            </w:tcBorders>
            <w:vAlign w:val="center"/>
          </w:tcPr>
          <w:p w14:paraId="676EB011" w14:textId="77777777" w:rsidR="00A2365A" w:rsidRPr="00E80C28" w:rsidRDefault="00A2365A" w:rsidP="0047628F">
            <w:pPr>
              <w:ind w:right="-108"/>
              <w:jc w:val="center"/>
              <w:rPr>
                <w:rFonts w:cs="Arial"/>
                <w:sz w:val="20"/>
                <w:szCs w:val="20"/>
              </w:rPr>
            </w:pPr>
            <w:r w:rsidRPr="00E80C28">
              <w:rPr>
                <w:rFonts w:cs="Arial"/>
                <w:sz w:val="20"/>
                <w:szCs w:val="20"/>
              </w:rPr>
              <w:t>2550-2570 MHz</w:t>
            </w:r>
          </w:p>
        </w:tc>
        <w:tc>
          <w:tcPr>
            <w:tcW w:w="1552" w:type="dxa"/>
            <w:tcBorders>
              <w:left w:val="single" w:sz="12" w:space="0" w:color="auto"/>
            </w:tcBorders>
            <w:vAlign w:val="center"/>
          </w:tcPr>
          <w:p w14:paraId="1C65769C" w14:textId="77777777" w:rsidR="00A2365A" w:rsidRPr="00E80C28" w:rsidRDefault="00A2365A" w:rsidP="0047628F">
            <w:pPr>
              <w:ind w:right="-108"/>
              <w:jc w:val="center"/>
              <w:rPr>
                <w:rFonts w:cs="Arial"/>
                <w:sz w:val="20"/>
                <w:szCs w:val="20"/>
              </w:rPr>
            </w:pPr>
            <w:r w:rsidRPr="00E80C28">
              <w:rPr>
                <w:rFonts w:cs="Arial"/>
                <w:sz w:val="20"/>
                <w:szCs w:val="20"/>
              </w:rPr>
              <w:t>2670-2690 MHz</w:t>
            </w:r>
          </w:p>
        </w:tc>
        <w:tc>
          <w:tcPr>
            <w:tcW w:w="2649" w:type="dxa"/>
            <w:tcBorders>
              <w:left w:val="single" w:sz="12" w:space="0" w:color="auto"/>
            </w:tcBorders>
            <w:vAlign w:val="center"/>
          </w:tcPr>
          <w:p w14:paraId="7B8410DD" w14:textId="77777777" w:rsidR="00A2365A" w:rsidRPr="00E80C28" w:rsidRDefault="00A2365A" w:rsidP="0047628F">
            <w:pPr>
              <w:ind w:right="-108"/>
              <w:jc w:val="center"/>
              <w:rPr>
                <w:rFonts w:cs="Arial"/>
                <w:sz w:val="20"/>
                <w:szCs w:val="20"/>
              </w:rPr>
            </w:pPr>
            <w:r>
              <w:rPr>
                <w:rFonts w:cs="Arial"/>
                <w:sz w:val="20"/>
                <w:szCs w:val="20"/>
              </w:rPr>
              <w:t>2029.06.15. (+5 év)</w:t>
            </w:r>
          </w:p>
        </w:tc>
      </w:tr>
      <w:tr w:rsidR="00A2365A" w:rsidRPr="00BF2AEC" w14:paraId="01DE20E4" w14:textId="77777777" w:rsidTr="0047628F">
        <w:trPr>
          <w:trHeight w:val="567"/>
          <w:jc w:val="center"/>
        </w:trPr>
        <w:tc>
          <w:tcPr>
            <w:tcW w:w="1360" w:type="dxa"/>
            <w:tcBorders>
              <w:top w:val="single" w:sz="6" w:space="0" w:color="auto"/>
              <w:left w:val="single" w:sz="12" w:space="0" w:color="auto"/>
              <w:bottom w:val="single" w:sz="6" w:space="0" w:color="auto"/>
              <w:right w:val="single" w:sz="12" w:space="0" w:color="auto"/>
            </w:tcBorders>
            <w:shd w:val="clear" w:color="auto" w:fill="auto"/>
            <w:vAlign w:val="center"/>
          </w:tcPr>
          <w:p w14:paraId="3F5351E2" w14:textId="77777777" w:rsidR="00A2365A" w:rsidRPr="00E80C28" w:rsidRDefault="00A2365A" w:rsidP="0047628F">
            <w:pPr>
              <w:ind w:right="-567"/>
              <w:rPr>
                <w:rFonts w:cs="Arial"/>
                <w:sz w:val="20"/>
                <w:szCs w:val="20"/>
              </w:rPr>
            </w:pPr>
            <w:r w:rsidRPr="00E80C28">
              <w:rPr>
                <w:rFonts w:cs="Arial"/>
                <w:sz w:val="20"/>
                <w:szCs w:val="20"/>
              </w:rPr>
              <w:t xml:space="preserve">       </w:t>
            </w:r>
            <w:r w:rsidRPr="00E80C28">
              <w:rPr>
                <w:rFonts w:cs="Arial"/>
                <w:sz w:val="20"/>
                <w:szCs w:val="20"/>
              </w:rPr>
              <w:object w:dxaOrig="1080" w:dyaOrig="1080" w14:anchorId="5C3FA2FA">
                <v:shape id="_x0000_i1028" type="#_x0000_t75" style="width:30.75pt;height:30.75pt" o:ole="">
                  <v:imagedata r:id="rId16" o:title=""/>
                </v:shape>
                <o:OLEObject Type="Embed" ProgID="PBrush" ShapeID="_x0000_i1028" DrawAspect="Content" ObjectID="_1706688466" r:id="rId20"/>
              </w:object>
            </w:r>
          </w:p>
        </w:tc>
        <w:tc>
          <w:tcPr>
            <w:tcW w:w="1920" w:type="dxa"/>
            <w:tcBorders>
              <w:top w:val="single" w:sz="6" w:space="0" w:color="auto"/>
              <w:left w:val="single" w:sz="12" w:space="0" w:color="auto"/>
              <w:bottom w:val="single" w:sz="6" w:space="0" w:color="auto"/>
              <w:right w:val="single" w:sz="12" w:space="0" w:color="auto"/>
            </w:tcBorders>
            <w:vAlign w:val="center"/>
          </w:tcPr>
          <w:p w14:paraId="7A791979" w14:textId="77777777" w:rsidR="00A2365A" w:rsidRPr="00E80C28" w:rsidRDefault="00A2365A" w:rsidP="0047628F">
            <w:pPr>
              <w:ind w:right="-108"/>
              <w:jc w:val="center"/>
              <w:rPr>
                <w:rFonts w:cs="Arial"/>
                <w:sz w:val="20"/>
                <w:szCs w:val="20"/>
              </w:rPr>
            </w:pPr>
            <w:r w:rsidRPr="00E80C28">
              <w:rPr>
                <w:rFonts w:cs="Arial"/>
                <w:sz w:val="20"/>
                <w:szCs w:val="20"/>
              </w:rPr>
              <w:t>2575-2600 MHz</w:t>
            </w:r>
          </w:p>
        </w:tc>
        <w:tc>
          <w:tcPr>
            <w:tcW w:w="1561" w:type="dxa"/>
            <w:tcBorders>
              <w:top w:val="single" w:sz="6" w:space="0" w:color="auto"/>
              <w:left w:val="single" w:sz="12" w:space="0" w:color="auto"/>
              <w:bottom w:val="single" w:sz="6" w:space="0" w:color="auto"/>
              <w:right w:val="single" w:sz="12" w:space="0" w:color="auto"/>
            </w:tcBorders>
            <w:vAlign w:val="center"/>
          </w:tcPr>
          <w:p w14:paraId="12D33703" w14:textId="77777777" w:rsidR="00A2365A" w:rsidRPr="00E80C28" w:rsidRDefault="00A2365A" w:rsidP="0047628F">
            <w:pPr>
              <w:ind w:right="-108"/>
              <w:jc w:val="center"/>
              <w:rPr>
                <w:rFonts w:cs="Arial"/>
                <w:sz w:val="20"/>
                <w:szCs w:val="20"/>
              </w:rPr>
            </w:pPr>
          </w:p>
        </w:tc>
        <w:tc>
          <w:tcPr>
            <w:tcW w:w="1552" w:type="dxa"/>
            <w:tcBorders>
              <w:left w:val="single" w:sz="12" w:space="0" w:color="auto"/>
              <w:bottom w:val="single" w:sz="4" w:space="0" w:color="auto"/>
            </w:tcBorders>
            <w:vAlign w:val="center"/>
          </w:tcPr>
          <w:p w14:paraId="4BF231E6" w14:textId="77777777" w:rsidR="00A2365A" w:rsidRPr="00E80C28" w:rsidRDefault="00A2365A" w:rsidP="0047628F">
            <w:pPr>
              <w:ind w:right="-108"/>
              <w:jc w:val="center"/>
              <w:rPr>
                <w:rFonts w:cs="Arial"/>
                <w:sz w:val="20"/>
                <w:szCs w:val="20"/>
              </w:rPr>
            </w:pPr>
          </w:p>
        </w:tc>
        <w:tc>
          <w:tcPr>
            <w:tcW w:w="2649" w:type="dxa"/>
            <w:tcBorders>
              <w:left w:val="single" w:sz="12" w:space="0" w:color="auto"/>
              <w:bottom w:val="single" w:sz="4" w:space="0" w:color="auto"/>
            </w:tcBorders>
            <w:vAlign w:val="center"/>
          </w:tcPr>
          <w:p w14:paraId="25712D28" w14:textId="77777777" w:rsidR="00A2365A" w:rsidRPr="00E80C28" w:rsidRDefault="00A2365A" w:rsidP="0047628F">
            <w:pPr>
              <w:ind w:right="-108"/>
              <w:jc w:val="center"/>
              <w:rPr>
                <w:rFonts w:cs="Arial"/>
                <w:sz w:val="20"/>
                <w:szCs w:val="20"/>
              </w:rPr>
            </w:pPr>
            <w:r>
              <w:rPr>
                <w:rFonts w:cs="Arial"/>
                <w:sz w:val="20"/>
                <w:szCs w:val="20"/>
              </w:rPr>
              <w:t>2029.06.15. (+5 év)</w:t>
            </w:r>
          </w:p>
        </w:tc>
      </w:tr>
      <w:tr w:rsidR="00A2365A" w:rsidRPr="00BF2AEC" w14:paraId="6BAD16CA" w14:textId="77777777" w:rsidTr="0047628F">
        <w:trPr>
          <w:trHeight w:val="567"/>
          <w:jc w:val="center"/>
        </w:trPr>
        <w:tc>
          <w:tcPr>
            <w:tcW w:w="1360" w:type="dxa"/>
            <w:tcBorders>
              <w:top w:val="single" w:sz="6" w:space="0" w:color="auto"/>
              <w:left w:val="single" w:sz="12" w:space="0" w:color="auto"/>
              <w:bottom w:val="single" w:sz="12" w:space="0" w:color="auto"/>
              <w:right w:val="single" w:sz="12" w:space="0" w:color="auto"/>
            </w:tcBorders>
            <w:shd w:val="clear" w:color="auto" w:fill="auto"/>
            <w:vAlign w:val="center"/>
          </w:tcPr>
          <w:p w14:paraId="41A077A3" w14:textId="77777777" w:rsidR="00A2365A" w:rsidRPr="00E80C28" w:rsidRDefault="00A2365A" w:rsidP="0047628F">
            <w:pPr>
              <w:ind w:right="-567"/>
              <w:rPr>
                <w:rFonts w:cs="Arial"/>
                <w:b/>
                <w:color w:val="008E40"/>
                <w:sz w:val="20"/>
                <w:szCs w:val="20"/>
              </w:rPr>
            </w:pPr>
            <w:r w:rsidRPr="00E80C28">
              <w:rPr>
                <w:rFonts w:cs="Arial"/>
                <w:b/>
                <w:color w:val="008E40"/>
                <w:sz w:val="20"/>
                <w:szCs w:val="20"/>
              </w:rPr>
              <w:t>Szabad sáv</w:t>
            </w:r>
          </w:p>
        </w:tc>
        <w:tc>
          <w:tcPr>
            <w:tcW w:w="1920" w:type="dxa"/>
            <w:tcBorders>
              <w:top w:val="single" w:sz="6" w:space="0" w:color="auto"/>
              <w:left w:val="single" w:sz="12" w:space="0" w:color="auto"/>
              <w:bottom w:val="single" w:sz="12" w:space="0" w:color="auto"/>
              <w:right w:val="single" w:sz="12" w:space="0" w:color="auto"/>
            </w:tcBorders>
            <w:vAlign w:val="center"/>
          </w:tcPr>
          <w:p w14:paraId="441A7385" w14:textId="77777777" w:rsidR="00A2365A" w:rsidRPr="00E80C28" w:rsidRDefault="00A2365A" w:rsidP="0047628F">
            <w:pPr>
              <w:ind w:right="-108"/>
              <w:jc w:val="center"/>
              <w:rPr>
                <w:rFonts w:cs="Arial"/>
                <w:sz w:val="20"/>
                <w:szCs w:val="20"/>
              </w:rPr>
            </w:pPr>
            <w:r w:rsidRPr="00E80C28">
              <w:rPr>
                <w:rFonts w:cs="Arial"/>
                <w:sz w:val="20"/>
                <w:szCs w:val="20"/>
              </w:rPr>
              <w:t>2600-2615 MHz</w:t>
            </w:r>
          </w:p>
        </w:tc>
        <w:tc>
          <w:tcPr>
            <w:tcW w:w="1561" w:type="dxa"/>
            <w:tcBorders>
              <w:top w:val="single" w:sz="6" w:space="0" w:color="auto"/>
              <w:left w:val="single" w:sz="12" w:space="0" w:color="auto"/>
              <w:bottom w:val="single" w:sz="12" w:space="0" w:color="auto"/>
              <w:right w:val="single" w:sz="12" w:space="0" w:color="auto"/>
            </w:tcBorders>
            <w:vAlign w:val="center"/>
          </w:tcPr>
          <w:p w14:paraId="45CE94DA" w14:textId="77777777" w:rsidR="00A2365A" w:rsidRPr="00E80C28" w:rsidRDefault="00A2365A" w:rsidP="0047628F">
            <w:pPr>
              <w:ind w:right="-108"/>
              <w:jc w:val="center"/>
              <w:rPr>
                <w:rFonts w:cs="Arial"/>
                <w:sz w:val="20"/>
                <w:szCs w:val="20"/>
              </w:rPr>
            </w:pPr>
          </w:p>
        </w:tc>
        <w:tc>
          <w:tcPr>
            <w:tcW w:w="1552" w:type="dxa"/>
            <w:tcBorders>
              <w:top w:val="single" w:sz="4" w:space="0" w:color="auto"/>
              <w:left w:val="single" w:sz="12" w:space="0" w:color="auto"/>
              <w:bottom w:val="single" w:sz="12" w:space="0" w:color="auto"/>
            </w:tcBorders>
            <w:vAlign w:val="center"/>
          </w:tcPr>
          <w:p w14:paraId="21313960" w14:textId="77777777" w:rsidR="00A2365A" w:rsidRPr="00E80C28" w:rsidRDefault="00A2365A" w:rsidP="0047628F">
            <w:pPr>
              <w:ind w:right="-108"/>
              <w:jc w:val="center"/>
              <w:rPr>
                <w:rFonts w:cs="Arial"/>
                <w:sz w:val="20"/>
                <w:szCs w:val="20"/>
              </w:rPr>
            </w:pPr>
          </w:p>
        </w:tc>
        <w:tc>
          <w:tcPr>
            <w:tcW w:w="2649" w:type="dxa"/>
            <w:tcBorders>
              <w:top w:val="single" w:sz="4" w:space="0" w:color="auto"/>
              <w:left w:val="single" w:sz="12" w:space="0" w:color="auto"/>
              <w:bottom w:val="single" w:sz="12" w:space="0" w:color="auto"/>
            </w:tcBorders>
          </w:tcPr>
          <w:p w14:paraId="7872EAF8" w14:textId="77777777" w:rsidR="00A2365A" w:rsidRPr="00E80C28" w:rsidRDefault="00A2365A" w:rsidP="0047628F">
            <w:pPr>
              <w:ind w:right="-108"/>
              <w:jc w:val="center"/>
              <w:rPr>
                <w:rFonts w:cs="Arial"/>
                <w:sz w:val="20"/>
                <w:szCs w:val="20"/>
              </w:rPr>
            </w:pPr>
          </w:p>
        </w:tc>
      </w:tr>
    </w:tbl>
    <w:p w14:paraId="4C263FE2" w14:textId="15279321" w:rsidR="008C63E0" w:rsidRPr="00891608" w:rsidRDefault="00EF0A4A" w:rsidP="00891608">
      <w:pPr>
        <w:pStyle w:val="Behzottbekezdsnmhh"/>
        <w:ind w:firstLine="0"/>
        <w:jc w:val="center"/>
        <w:rPr>
          <w:b/>
          <w:color w:val="365F91" w:themeColor="accent1" w:themeShade="BF"/>
        </w:rPr>
      </w:pPr>
      <w:r w:rsidRPr="00891608">
        <w:rPr>
          <w:b/>
          <w:color w:val="365F91" w:themeColor="accent1" w:themeShade="BF"/>
        </w:rPr>
        <w:t>4.1. táblázat</w:t>
      </w:r>
    </w:p>
    <w:p w14:paraId="1869FEF7" w14:textId="64B4AADE" w:rsidR="00A2365A" w:rsidRDefault="00A2365A" w:rsidP="008C63E0">
      <w:pPr>
        <w:pStyle w:val="Behzottbekezdsnmhh"/>
      </w:pPr>
      <w:r>
        <w:rPr>
          <w:rFonts w:cs="Arial"/>
          <w:noProof/>
          <w:sz w:val="28"/>
          <w:szCs w:val="24"/>
          <w:lang w:eastAsia="hu-HU"/>
        </w:rPr>
        <w:drawing>
          <wp:inline distT="0" distB="0" distL="0" distR="0" wp14:anchorId="020BECEE" wp14:editId="6936FF4C">
            <wp:extent cx="5760720" cy="1508125"/>
            <wp:effectExtent l="0" t="0" r="0" b="0"/>
            <wp:docPr id="149" name="Kép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cstate="print"/>
                    <a:srcRect/>
                    <a:stretch>
                      <a:fillRect/>
                    </a:stretch>
                  </pic:blipFill>
                  <pic:spPr bwMode="auto">
                    <a:xfrm>
                      <a:off x="0" y="0"/>
                      <a:ext cx="5760720" cy="1508125"/>
                    </a:xfrm>
                    <a:prstGeom prst="rect">
                      <a:avLst/>
                    </a:prstGeom>
                    <a:noFill/>
                    <a:ln w="9525">
                      <a:noFill/>
                      <a:miter lim="800000"/>
                      <a:headEnd/>
                      <a:tailEnd/>
                    </a:ln>
                  </pic:spPr>
                </pic:pic>
              </a:graphicData>
            </a:graphic>
          </wp:inline>
        </w:drawing>
      </w:r>
    </w:p>
    <w:p w14:paraId="0583F9CE" w14:textId="0DE9B153" w:rsidR="00A2365A" w:rsidRPr="00891608" w:rsidRDefault="00EF0A4A" w:rsidP="00891608">
      <w:pPr>
        <w:pStyle w:val="Behzottbekezdsnmhh"/>
        <w:ind w:firstLine="0"/>
        <w:jc w:val="center"/>
        <w:rPr>
          <w:b/>
          <w:color w:val="365F91" w:themeColor="accent1" w:themeShade="BF"/>
        </w:rPr>
      </w:pPr>
      <w:r w:rsidRPr="00891608">
        <w:rPr>
          <w:b/>
          <w:color w:val="365F91" w:themeColor="accent1" w:themeShade="BF"/>
        </w:rPr>
        <w:t>4.1. ábra</w:t>
      </w:r>
    </w:p>
    <w:p w14:paraId="20C3A4F3" w14:textId="6A754F2B" w:rsidR="00FA3B4E" w:rsidRDefault="00FA3B4E" w:rsidP="008C63E0">
      <w:pPr>
        <w:pStyle w:val="Behzottbekezdsnmhh"/>
      </w:pPr>
    </w:p>
    <w:p w14:paraId="6B4D4E9E" w14:textId="1374E422" w:rsidR="004942E2" w:rsidRDefault="004942E2">
      <w:pPr>
        <w:spacing w:after="200"/>
        <w:jc w:val="left"/>
        <w:rPr>
          <w:sz w:val="20"/>
          <w:szCs w:val="20"/>
        </w:rPr>
      </w:pPr>
      <w:r>
        <w:br w:type="page"/>
      </w:r>
    </w:p>
    <w:p w14:paraId="06609B1C" w14:textId="77777777" w:rsidR="00D43693" w:rsidRDefault="00D43693" w:rsidP="008C63E0">
      <w:pPr>
        <w:pStyle w:val="Behzottbekezdsnmhh"/>
      </w:pPr>
    </w:p>
    <w:p w14:paraId="69D4086C" w14:textId="44331C20" w:rsidR="008C63E0" w:rsidRDefault="008C63E0" w:rsidP="008C63E0">
      <w:pPr>
        <w:pStyle w:val="Cmsor1szmozottnmhh"/>
        <w:pageBreakBefore w:val="0"/>
        <w:ind w:left="431" w:hanging="431"/>
      </w:pPr>
      <w:bookmarkStart w:id="32" w:name="_Toc26254674"/>
      <w:bookmarkStart w:id="33" w:name="_Toc96075722"/>
      <w:r>
        <w:t>Nemzetközi koordináció</w:t>
      </w:r>
      <w:bookmarkEnd w:id="32"/>
      <w:bookmarkEnd w:id="33"/>
    </w:p>
    <w:p w14:paraId="7B68CF00" w14:textId="03FA04FF" w:rsidR="00CD5192" w:rsidRDefault="008A08E4" w:rsidP="00CD5192">
      <w:pPr>
        <w:pStyle w:val="Behzottbekezdsnmhh"/>
        <w:ind w:firstLine="0"/>
      </w:pPr>
      <w:r>
        <w:t>A határövezetben a hatékony spektrumhasználat elősegítése céljából a szomszéd országok többségével koordinációs megállapodást kötöttünk a 2500-2690 MHz frekvenciasávra vonatkozóan. A koordinációs megállapodások alapját az ECC</w:t>
      </w:r>
      <w:r w:rsidR="009D238B">
        <w:t>/</w:t>
      </w:r>
      <w:r>
        <w:t>PT1</w:t>
      </w:r>
      <w:r w:rsidR="005508A4">
        <w:t xml:space="preserve"> munkacsoport által kidolgozott</w:t>
      </w:r>
      <w:r>
        <w:t xml:space="preserve"> 2500-2690 MHz frekvenciasávban működő MFCN rendszerek határ</w:t>
      </w:r>
      <w:r w:rsidR="005508A4">
        <w:t>övezeti használatára vonatkozó ECC/REC/(11</w:t>
      </w:r>
      <w:proofErr w:type="gramStart"/>
      <w:r w:rsidR="005508A4">
        <w:t>)05</w:t>
      </w:r>
      <w:proofErr w:type="gramEnd"/>
      <w:r w:rsidR="005508A4">
        <w:t xml:space="preserve"> </w:t>
      </w:r>
      <w:r w:rsidR="009D238B">
        <w:t>A</w:t>
      </w:r>
      <w:r w:rsidR="005508A4">
        <w:t>jánlás képezte (az alap</w:t>
      </w:r>
      <w:r w:rsidR="009D238B">
        <w:t>dokumentum</w:t>
      </w:r>
      <w:r w:rsidR="005508A4">
        <w:t xml:space="preserve"> 2011-ben készült, amely 2017-ben módosításra került).</w:t>
      </w:r>
      <w:r>
        <w:t xml:space="preserve"> </w:t>
      </w:r>
      <w:r w:rsidR="005508A4">
        <w:t xml:space="preserve">Ebben az ajánlásban </w:t>
      </w:r>
      <w:r>
        <w:t xml:space="preserve">kerültek meghatározásra azok a koordinációs alapelvek, amelyek biztosítják a szomszédos országok </w:t>
      </w:r>
      <w:r w:rsidR="007A2197">
        <w:t>rádió</w:t>
      </w:r>
      <w:r>
        <w:t>spektrumhoz való egyenlő hozzáférését és a lehetőség szerinti zavarmentes működését az állomásoknak</w:t>
      </w:r>
      <w:r w:rsidR="005508A4">
        <w:t xml:space="preserve"> a határövezetben</w:t>
      </w:r>
      <w:r>
        <w:t xml:space="preserve">. Az ajánlás legfrissebb </w:t>
      </w:r>
      <w:r w:rsidR="009D238B">
        <w:t>változata</w:t>
      </w:r>
      <w:r>
        <w:t xml:space="preserve"> (2017.02.03.) jelenleg nem tartalmazza az aktív antennás rendszerekre vonatkozó követelményeket (és egyelőre nincs is tervben ilyen irányú felülvizsgálata az ajánlásnak), viszont a párosított sávrészben működő FDD rendszerekre és </w:t>
      </w:r>
      <w:proofErr w:type="spellStart"/>
      <w:r>
        <w:t>párosítatlan</w:t>
      </w:r>
      <w:proofErr w:type="spellEnd"/>
      <w:r>
        <w:t xml:space="preserve"> sávrészben működő TDD rendszerek különböző szinkronizációs eseteire vonatkozóan részletes iránymutatást ad a dokumentum.</w:t>
      </w:r>
    </w:p>
    <w:p w14:paraId="3E85D256" w14:textId="53610D82" w:rsidR="008A08E4" w:rsidRDefault="005508A4" w:rsidP="00CD5192">
      <w:pPr>
        <w:pStyle w:val="Behzottbekezdsnmhh"/>
        <w:ind w:firstLine="0"/>
      </w:pPr>
      <w:r>
        <w:t>A</w:t>
      </w:r>
      <w:r w:rsidR="00965703">
        <w:t xml:space="preserve">z </w:t>
      </w:r>
      <w:r w:rsidR="00EF0A4A">
        <w:t>5.1.</w:t>
      </w:r>
      <w:r w:rsidR="00965703">
        <w:t xml:space="preserve"> táblázat</w:t>
      </w:r>
      <w:r w:rsidR="00EF0A4A">
        <w:t xml:space="preserve"> tartalmazza a </w:t>
      </w:r>
      <w:r w:rsidR="00965703">
        <w:t>szomszéd</w:t>
      </w:r>
      <w:r w:rsidR="00EF0A4A">
        <w:t xml:space="preserve">os </w:t>
      </w:r>
      <w:r w:rsidR="00965703">
        <w:t>ország</w:t>
      </w:r>
      <w:r w:rsidR="00EF0A4A">
        <w:t xml:space="preserve">okkal megkötött megállapodásokat, valamint azt, hogy ezek milyen </w:t>
      </w:r>
      <w:r w:rsidR="00965703">
        <w:t>technológiára vonatkoz</w:t>
      </w:r>
      <w:r w:rsidR="00EF0A4A">
        <w:t>nak.</w:t>
      </w:r>
    </w:p>
    <w:p w14:paraId="5D2D700C" w14:textId="77777777" w:rsidR="001972AF" w:rsidRDefault="001972AF" w:rsidP="00CD5192">
      <w:pPr>
        <w:pStyle w:val="Behzottbekezdsnmhh"/>
        <w:ind w:firstLine="0"/>
      </w:pPr>
    </w:p>
    <w:tbl>
      <w:tblPr>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600" w:firstRow="0" w:lastRow="0" w:firstColumn="0" w:lastColumn="0" w:noHBand="1" w:noVBand="1"/>
      </w:tblPr>
      <w:tblGrid>
        <w:gridCol w:w="1332"/>
        <w:gridCol w:w="2065"/>
        <w:gridCol w:w="1284"/>
        <w:gridCol w:w="833"/>
        <w:gridCol w:w="707"/>
        <w:gridCol w:w="850"/>
        <w:gridCol w:w="849"/>
        <w:gridCol w:w="1345"/>
        <w:gridCol w:w="790"/>
      </w:tblGrid>
      <w:tr w:rsidR="004B67E4" w:rsidRPr="00891608" w14:paraId="2909B3E0" w14:textId="77777777" w:rsidTr="004B67E4">
        <w:trPr>
          <w:trHeight w:val="422"/>
        </w:trPr>
        <w:tc>
          <w:tcPr>
            <w:tcW w:w="1332" w:type="dxa"/>
            <w:shd w:val="clear" w:color="auto" w:fill="95B3D7" w:themeFill="accent1" w:themeFillTint="99"/>
            <w:tcMar>
              <w:top w:w="15" w:type="dxa"/>
              <w:left w:w="91" w:type="dxa"/>
              <w:bottom w:w="0" w:type="dxa"/>
              <w:right w:w="91" w:type="dxa"/>
            </w:tcMar>
            <w:vAlign w:val="center"/>
            <w:hideMark/>
          </w:tcPr>
          <w:p w14:paraId="3F52D609" w14:textId="77777777" w:rsidR="00A2365A" w:rsidRPr="00891608" w:rsidRDefault="00A2365A" w:rsidP="0047628F">
            <w:pPr>
              <w:suppressAutoHyphens/>
              <w:rPr>
                <w:b/>
              </w:rPr>
            </w:pPr>
            <w:r w:rsidRPr="00891608">
              <w:rPr>
                <w:b/>
              </w:rPr>
              <w:t>2600 MHz</w:t>
            </w:r>
          </w:p>
        </w:tc>
        <w:tc>
          <w:tcPr>
            <w:tcW w:w="2065" w:type="dxa"/>
            <w:shd w:val="clear" w:color="auto" w:fill="95B3D7" w:themeFill="accent1" w:themeFillTint="99"/>
            <w:tcMar>
              <w:top w:w="15" w:type="dxa"/>
              <w:left w:w="91" w:type="dxa"/>
              <w:bottom w:w="0" w:type="dxa"/>
              <w:right w:w="91" w:type="dxa"/>
            </w:tcMar>
            <w:vAlign w:val="center"/>
            <w:hideMark/>
          </w:tcPr>
          <w:p w14:paraId="67E9E1F9" w14:textId="77777777" w:rsidR="00A2365A" w:rsidRPr="00891608" w:rsidRDefault="00A2365A" w:rsidP="0047628F">
            <w:pPr>
              <w:suppressAutoHyphens/>
              <w:rPr>
                <w:b/>
              </w:rPr>
            </w:pPr>
            <w:r w:rsidRPr="00891608">
              <w:rPr>
                <w:b/>
              </w:rPr>
              <w:t>Technológia</w:t>
            </w:r>
          </w:p>
        </w:tc>
        <w:tc>
          <w:tcPr>
            <w:tcW w:w="1284" w:type="dxa"/>
            <w:shd w:val="clear" w:color="auto" w:fill="95B3D7" w:themeFill="accent1" w:themeFillTint="99"/>
            <w:tcMar>
              <w:top w:w="15" w:type="dxa"/>
              <w:left w:w="91" w:type="dxa"/>
              <w:bottom w:w="0" w:type="dxa"/>
              <w:right w:w="91" w:type="dxa"/>
            </w:tcMar>
            <w:vAlign w:val="center"/>
            <w:hideMark/>
          </w:tcPr>
          <w:p w14:paraId="128EEAF8" w14:textId="77777777" w:rsidR="00A2365A" w:rsidRPr="00891608" w:rsidRDefault="00A2365A" w:rsidP="0047628F">
            <w:pPr>
              <w:suppressAutoHyphens/>
              <w:rPr>
                <w:b/>
              </w:rPr>
            </w:pPr>
            <w:r w:rsidRPr="00891608">
              <w:rPr>
                <w:b/>
              </w:rPr>
              <w:t>SVK</w:t>
            </w:r>
          </w:p>
        </w:tc>
        <w:tc>
          <w:tcPr>
            <w:tcW w:w="833" w:type="dxa"/>
            <w:shd w:val="clear" w:color="auto" w:fill="95B3D7" w:themeFill="accent1" w:themeFillTint="99"/>
            <w:tcMar>
              <w:top w:w="15" w:type="dxa"/>
              <w:left w:w="91" w:type="dxa"/>
              <w:bottom w:w="0" w:type="dxa"/>
              <w:right w:w="91" w:type="dxa"/>
            </w:tcMar>
            <w:vAlign w:val="center"/>
            <w:hideMark/>
          </w:tcPr>
          <w:p w14:paraId="0FD8F9F3" w14:textId="77777777" w:rsidR="00A2365A" w:rsidRPr="00891608" w:rsidRDefault="00A2365A" w:rsidP="0047628F">
            <w:pPr>
              <w:suppressAutoHyphens/>
              <w:rPr>
                <w:b/>
              </w:rPr>
            </w:pPr>
            <w:r w:rsidRPr="00891608">
              <w:rPr>
                <w:b/>
              </w:rPr>
              <w:t>AUT</w:t>
            </w:r>
          </w:p>
        </w:tc>
        <w:tc>
          <w:tcPr>
            <w:tcW w:w="707" w:type="dxa"/>
            <w:shd w:val="clear" w:color="auto" w:fill="95B3D7" w:themeFill="accent1" w:themeFillTint="99"/>
            <w:tcMar>
              <w:top w:w="15" w:type="dxa"/>
              <w:left w:w="91" w:type="dxa"/>
              <w:bottom w:w="0" w:type="dxa"/>
              <w:right w:w="91" w:type="dxa"/>
            </w:tcMar>
            <w:vAlign w:val="center"/>
            <w:hideMark/>
          </w:tcPr>
          <w:p w14:paraId="11F98831" w14:textId="77777777" w:rsidR="00A2365A" w:rsidRPr="00891608" w:rsidRDefault="00A2365A" w:rsidP="0047628F">
            <w:pPr>
              <w:suppressAutoHyphens/>
              <w:rPr>
                <w:b/>
              </w:rPr>
            </w:pPr>
            <w:r w:rsidRPr="00891608">
              <w:rPr>
                <w:b/>
              </w:rPr>
              <w:t>SVN</w:t>
            </w:r>
          </w:p>
        </w:tc>
        <w:tc>
          <w:tcPr>
            <w:tcW w:w="850" w:type="dxa"/>
            <w:shd w:val="clear" w:color="auto" w:fill="95B3D7" w:themeFill="accent1" w:themeFillTint="99"/>
            <w:tcMar>
              <w:top w:w="15" w:type="dxa"/>
              <w:left w:w="91" w:type="dxa"/>
              <w:bottom w:w="0" w:type="dxa"/>
              <w:right w:w="91" w:type="dxa"/>
            </w:tcMar>
            <w:vAlign w:val="center"/>
            <w:hideMark/>
          </w:tcPr>
          <w:p w14:paraId="2CEA7A06" w14:textId="77777777" w:rsidR="00A2365A" w:rsidRPr="00891608" w:rsidRDefault="00A2365A" w:rsidP="0047628F">
            <w:pPr>
              <w:suppressAutoHyphens/>
              <w:rPr>
                <w:b/>
              </w:rPr>
            </w:pPr>
            <w:r w:rsidRPr="00891608">
              <w:rPr>
                <w:b/>
              </w:rPr>
              <w:t>HRV</w:t>
            </w:r>
          </w:p>
        </w:tc>
        <w:tc>
          <w:tcPr>
            <w:tcW w:w="849" w:type="dxa"/>
            <w:shd w:val="clear" w:color="auto" w:fill="95B3D7" w:themeFill="accent1" w:themeFillTint="99"/>
            <w:tcMar>
              <w:top w:w="15" w:type="dxa"/>
              <w:left w:w="91" w:type="dxa"/>
              <w:bottom w:w="0" w:type="dxa"/>
              <w:right w:w="91" w:type="dxa"/>
            </w:tcMar>
            <w:vAlign w:val="center"/>
            <w:hideMark/>
          </w:tcPr>
          <w:p w14:paraId="3A57F0D3" w14:textId="77777777" w:rsidR="00A2365A" w:rsidRPr="00891608" w:rsidRDefault="00A2365A" w:rsidP="0047628F">
            <w:pPr>
              <w:suppressAutoHyphens/>
              <w:rPr>
                <w:b/>
              </w:rPr>
            </w:pPr>
            <w:r w:rsidRPr="00891608">
              <w:rPr>
                <w:b/>
              </w:rPr>
              <w:t>SRB</w:t>
            </w:r>
          </w:p>
        </w:tc>
        <w:tc>
          <w:tcPr>
            <w:tcW w:w="1345" w:type="dxa"/>
            <w:shd w:val="clear" w:color="auto" w:fill="95B3D7" w:themeFill="accent1" w:themeFillTint="99"/>
            <w:tcMar>
              <w:top w:w="15" w:type="dxa"/>
              <w:left w:w="91" w:type="dxa"/>
              <w:bottom w:w="0" w:type="dxa"/>
              <w:right w:w="91" w:type="dxa"/>
            </w:tcMar>
            <w:vAlign w:val="center"/>
            <w:hideMark/>
          </w:tcPr>
          <w:p w14:paraId="5ABEB4C7" w14:textId="77777777" w:rsidR="00A2365A" w:rsidRPr="00891608" w:rsidRDefault="00A2365A" w:rsidP="0047628F">
            <w:pPr>
              <w:suppressAutoHyphens/>
              <w:rPr>
                <w:b/>
              </w:rPr>
            </w:pPr>
            <w:r w:rsidRPr="00891608">
              <w:rPr>
                <w:b/>
              </w:rPr>
              <w:t>ROU</w:t>
            </w:r>
          </w:p>
        </w:tc>
        <w:tc>
          <w:tcPr>
            <w:tcW w:w="790" w:type="dxa"/>
            <w:shd w:val="clear" w:color="auto" w:fill="95B3D7" w:themeFill="accent1" w:themeFillTint="99"/>
            <w:tcMar>
              <w:top w:w="15" w:type="dxa"/>
              <w:left w:w="91" w:type="dxa"/>
              <w:bottom w:w="0" w:type="dxa"/>
              <w:right w:w="91" w:type="dxa"/>
            </w:tcMar>
            <w:vAlign w:val="center"/>
            <w:hideMark/>
          </w:tcPr>
          <w:p w14:paraId="612A263C" w14:textId="77777777" w:rsidR="00A2365A" w:rsidRPr="00891608" w:rsidRDefault="00A2365A" w:rsidP="0047628F">
            <w:pPr>
              <w:suppressAutoHyphens/>
              <w:rPr>
                <w:b/>
              </w:rPr>
            </w:pPr>
            <w:r w:rsidRPr="00891608">
              <w:rPr>
                <w:b/>
              </w:rPr>
              <w:t>UKR</w:t>
            </w:r>
          </w:p>
        </w:tc>
      </w:tr>
      <w:tr w:rsidR="00A2365A" w:rsidRPr="00FE6BF1" w14:paraId="2DA47FC0" w14:textId="77777777" w:rsidTr="004B67E4">
        <w:trPr>
          <w:trHeight w:val="594"/>
        </w:trPr>
        <w:tc>
          <w:tcPr>
            <w:tcW w:w="1332" w:type="dxa"/>
            <w:vMerge w:val="restart"/>
            <w:shd w:val="clear" w:color="auto" w:fill="FFFFFF" w:themeFill="background1"/>
            <w:tcMar>
              <w:top w:w="15" w:type="dxa"/>
              <w:left w:w="91" w:type="dxa"/>
              <w:bottom w:w="0" w:type="dxa"/>
              <w:right w:w="91" w:type="dxa"/>
            </w:tcMar>
            <w:vAlign w:val="center"/>
            <w:hideMark/>
          </w:tcPr>
          <w:p w14:paraId="74465750" w14:textId="77777777" w:rsidR="00A2365A" w:rsidRPr="00FE6BF1" w:rsidRDefault="00A2365A" w:rsidP="0047628F">
            <w:pPr>
              <w:suppressAutoHyphens/>
            </w:pPr>
            <w:r w:rsidRPr="00FE6BF1">
              <w:t>2500-2690 MHz</w:t>
            </w:r>
          </w:p>
          <w:p w14:paraId="49908814" w14:textId="77777777" w:rsidR="00A2365A" w:rsidRPr="00FE6BF1" w:rsidRDefault="00A2365A" w:rsidP="0047628F">
            <w:pPr>
              <w:suppressAutoHyphens/>
            </w:pPr>
            <w:r w:rsidRPr="00FE6BF1">
              <w:t xml:space="preserve">LTE, UMTS, </w:t>
            </w:r>
            <w:proofErr w:type="spellStart"/>
            <w:r w:rsidRPr="00FE6BF1">
              <w:t>WiMAX</w:t>
            </w:r>
            <w:proofErr w:type="spellEnd"/>
            <w:r w:rsidRPr="00FE6BF1">
              <w:t>, NR</w:t>
            </w:r>
          </w:p>
        </w:tc>
        <w:tc>
          <w:tcPr>
            <w:tcW w:w="2065" w:type="dxa"/>
            <w:shd w:val="clear" w:color="auto" w:fill="FFFFFF" w:themeFill="background1"/>
            <w:tcMar>
              <w:top w:w="15" w:type="dxa"/>
              <w:left w:w="91" w:type="dxa"/>
              <w:bottom w:w="0" w:type="dxa"/>
              <w:right w:w="91" w:type="dxa"/>
            </w:tcMar>
            <w:vAlign w:val="center"/>
            <w:hideMark/>
          </w:tcPr>
          <w:p w14:paraId="48C15662" w14:textId="77777777" w:rsidR="00A2365A" w:rsidRPr="00FE6BF1" w:rsidRDefault="00A2365A" w:rsidP="0047628F">
            <w:pPr>
              <w:suppressAutoHyphens/>
            </w:pPr>
            <w:r w:rsidRPr="00FE6BF1">
              <w:t>LTE/UMTS/</w:t>
            </w:r>
            <w:proofErr w:type="spellStart"/>
            <w:r w:rsidRPr="00FE6BF1">
              <w:t>WiMAX</w:t>
            </w:r>
            <w:proofErr w:type="spellEnd"/>
            <w:r w:rsidRPr="00FE6BF1">
              <w:t xml:space="preserve"> vs. LTE/UMTS/</w:t>
            </w:r>
            <w:proofErr w:type="spellStart"/>
            <w:r w:rsidRPr="00FE6BF1">
              <w:t>WiMAX</w:t>
            </w:r>
            <w:proofErr w:type="spellEnd"/>
          </w:p>
        </w:tc>
        <w:tc>
          <w:tcPr>
            <w:tcW w:w="1284" w:type="dxa"/>
            <w:shd w:val="clear" w:color="auto" w:fill="FFFFFF" w:themeFill="background1"/>
            <w:tcMar>
              <w:top w:w="15" w:type="dxa"/>
              <w:left w:w="91" w:type="dxa"/>
              <w:bottom w:w="0" w:type="dxa"/>
              <w:right w:w="91" w:type="dxa"/>
            </w:tcMar>
            <w:vAlign w:val="center"/>
            <w:hideMark/>
          </w:tcPr>
          <w:p w14:paraId="3C1BD5C1" w14:textId="77777777" w:rsidR="00A2365A" w:rsidRPr="00FE6BF1" w:rsidRDefault="00A2365A" w:rsidP="0047628F">
            <w:pPr>
              <w:suppressAutoHyphens/>
            </w:pPr>
            <w:r w:rsidRPr="00FE6BF1">
              <w:t> </w:t>
            </w:r>
          </w:p>
        </w:tc>
        <w:tc>
          <w:tcPr>
            <w:tcW w:w="2390" w:type="dxa"/>
            <w:gridSpan w:val="3"/>
            <w:shd w:val="clear" w:color="auto" w:fill="FFFFFF" w:themeFill="background1"/>
            <w:tcMar>
              <w:top w:w="15" w:type="dxa"/>
              <w:left w:w="91" w:type="dxa"/>
              <w:bottom w:w="0" w:type="dxa"/>
              <w:right w:w="91" w:type="dxa"/>
            </w:tcMar>
            <w:vAlign w:val="center"/>
            <w:hideMark/>
          </w:tcPr>
          <w:p w14:paraId="12E41306" w14:textId="77777777" w:rsidR="00A2365A" w:rsidRPr="00FE6BF1" w:rsidRDefault="00A2365A" w:rsidP="0047628F">
            <w:pPr>
              <w:suppressAutoHyphens/>
            </w:pPr>
            <w:r w:rsidRPr="00FE6BF1">
              <w:t>Budapest, 2018.02.15</w:t>
            </w:r>
          </w:p>
        </w:tc>
        <w:tc>
          <w:tcPr>
            <w:tcW w:w="849" w:type="dxa"/>
            <w:shd w:val="clear" w:color="auto" w:fill="FFFFFF" w:themeFill="background1"/>
            <w:tcMar>
              <w:top w:w="15" w:type="dxa"/>
              <w:left w:w="91" w:type="dxa"/>
              <w:bottom w:w="0" w:type="dxa"/>
              <w:right w:w="91" w:type="dxa"/>
            </w:tcMar>
            <w:vAlign w:val="center"/>
            <w:hideMark/>
          </w:tcPr>
          <w:p w14:paraId="52BA92B6" w14:textId="77777777" w:rsidR="00A2365A" w:rsidRPr="00FE6BF1" w:rsidRDefault="00A2365A" w:rsidP="0047628F">
            <w:pPr>
              <w:suppressAutoHyphens/>
            </w:pPr>
            <w:r w:rsidRPr="00FE6BF1">
              <w:t> </w:t>
            </w:r>
          </w:p>
        </w:tc>
        <w:tc>
          <w:tcPr>
            <w:tcW w:w="1345" w:type="dxa"/>
            <w:shd w:val="clear" w:color="auto" w:fill="FFFFFF" w:themeFill="background1"/>
            <w:tcMar>
              <w:top w:w="15" w:type="dxa"/>
              <w:left w:w="91" w:type="dxa"/>
              <w:bottom w:w="0" w:type="dxa"/>
              <w:right w:w="91" w:type="dxa"/>
            </w:tcMar>
            <w:vAlign w:val="center"/>
            <w:hideMark/>
          </w:tcPr>
          <w:p w14:paraId="5A9B3F89" w14:textId="77777777" w:rsidR="00A2365A" w:rsidRPr="00FE6BF1" w:rsidRDefault="00A2365A" w:rsidP="0047628F">
            <w:pPr>
              <w:suppressAutoHyphens/>
            </w:pPr>
            <w:r w:rsidRPr="00FE6BF1">
              <w:t> </w:t>
            </w:r>
          </w:p>
        </w:tc>
        <w:tc>
          <w:tcPr>
            <w:tcW w:w="790" w:type="dxa"/>
            <w:shd w:val="clear" w:color="auto" w:fill="FFFFFF" w:themeFill="background1"/>
            <w:tcMar>
              <w:top w:w="15" w:type="dxa"/>
              <w:left w:w="91" w:type="dxa"/>
              <w:bottom w:w="0" w:type="dxa"/>
              <w:right w:w="91" w:type="dxa"/>
            </w:tcMar>
            <w:hideMark/>
          </w:tcPr>
          <w:p w14:paraId="10E1486F" w14:textId="77777777" w:rsidR="00A2365A" w:rsidRPr="00FE6BF1" w:rsidRDefault="00A2365A" w:rsidP="0047628F">
            <w:pPr>
              <w:suppressAutoHyphens/>
            </w:pPr>
            <w:r w:rsidRPr="00FE6BF1">
              <w:t> </w:t>
            </w:r>
          </w:p>
        </w:tc>
      </w:tr>
      <w:tr w:rsidR="00A2365A" w:rsidRPr="00FE6BF1" w14:paraId="7557313E" w14:textId="77777777" w:rsidTr="004B67E4">
        <w:trPr>
          <w:trHeight w:val="576"/>
        </w:trPr>
        <w:tc>
          <w:tcPr>
            <w:tcW w:w="0" w:type="auto"/>
            <w:vMerge/>
            <w:shd w:val="clear" w:color="auto" w:fill="FFFFFF" w:themeFill="background1"/>
            <w:vAlign w:val="center"/>
            <w:hideMark/>
          </w:tcPr>
          <w:p w14:paraId="1AC5AFC9" w14:textId="77777777" w:rsidR="00A2365A" w:rsidRPr="00FE6BF1" w:rsidRDefault="00A2365A" w:rsidP="0047628F">
            <w:pPr>
              <w:suppressAutoHyphens/>
            </w:pPr>
          </w:p>
        </w:tc>
        <w:tc>
          <w:tcPr>
            <w:tcW w:w="2065" w:type="dxa"/>
            <w:shd w:val="clear" w:color="auto" w:fill="FFFFFF" w:themeFill="background1"/>
            <w:tcMar>
              <w:top w:w="15" w:type="dxa"/>
              <w:left w:w="91" w:type="dxa"/>
              <w:bottom w:w="0" w:type="dxa"/>
              <w:right w:w="91" w:type="dxa"/>
            </w:tcMar>
            <w:vAlign w:val="center"/>
            <w:hideMark/>
          </w:tcPr>
          <w:p w14:paraId="2CF56CFD" w14:textId="77777777" w:rsidR="00A2365A" w:rsidRPr="00FE6BF1" w:rsidRDefault="00A2365A" w:rsidP="0047628F">
            <w:pPr>
              <w:suppressAutoHyphens/>
            </w:pPr>
            <w:r w:rsidRPr="00FE6BF1">
              <w:t>LTE/UMTS/</w:t>
            </w:r>
            <w:proofErr w:type="spellStart"/>
            <w:r w:rsidRPr="00FE6BF1">
              <w:t>WiMAX</w:t>
            </w:r>
            <w:proofErr w:type="spellEnd"/>
            <w:r w:rsidRPr="00FE6BF1">
              <w:t xml:space="preserve"> vs. LTE/UMTS/</w:t>
            </w:r>
            <w:proofErr w:type="spellStart"/>
            <w:r w:rsidRPr="00FE6BF1">
              <w:t>WiMAX</w:t>
            </w:r>
            <w:proofErr w:type="spellEnd"/>
          </w:p>
        </w:tc>
        <w:tc>
          <w:tcPr>
            <w:tcW w:w="1284" w:type="dxa"/>
            <w:shd w:val="clear" w:color="auto" w:fill="FFFFFF" w:themeFill="background1"/>
            <w:tcMar>
              <w:top w:w="15" w:type="dxa"/>
              <w:left w:w="91" w:type="dxa"/>
              <w:bottom w:w="0" w:type="dxa"/>
              <w:right w:w="91" w:type="dxa"/>
            </w:tcMar>
            <w:vAlign w:val="center"/>
            <w:hideMark/>
          </w:tcPr>
          <w:p w14:paraId="5E62FDE0" w14:textId="77777777" w:rsidR="00A2365A" w:rsidRPr="00FE6BF1" w:rsidRDefault="00A2365A" w:rsidP="0047628F">
            <w:pPr>
              <w:suppressAutoHyphens/>
            </w:pPr>
            <w:r w:rsidRPr="00FE6BF1">
              <w:t>Bécs, 2011.10.12</w:t>
            </w:r>
          </w:p>
        </w:tc>
        <w:tc>
          <w:tcPr>
            <w:tcW w:w="2390" w:type="dxa"/>
            <w:gridSpan w:val="3"/>
            <w:shd w:val="clear" w:color="auto" w:fill="FFFFFF" w:themeFill="background1"/>
            <w:tcMar>
              <w:top w:w="15" w:type="dxa"/>
              <w:left w:w="91" w:type="dxa"/>
              <w:bottom w:w="0" w:type="dxa"/>
              <w:right w:w="91" w:type="dxa"/>
            </w:tcMar>
            <w:vAlign w:val="center"/>
            <w:hideMark/>
          </w:tcPr>
          <w:p w14:paraId="16B25DA8" w14:textId="77777777" w:rsidR="00A2365A" w:rsidRPr="00FE6BF1" w:rsidRDefault="00A2365A" w:rsidP="0047628F">
            <w:pPr>
              <w:suppressAutoHyphens/>
            </w:pPr>
            <w:r w:rsidRPr="00FE6BF1">
              <w:t> </w:t>
            </w:r>
          </w:p>
        </w:tc>
        <w:tc>
          <w:tcPr>
            <w:tcW w:w="849" w:type="dxa"/>
            <w:shd w:val="clear" w:color="auto" w:fill="FFFFFF" w:themeFill="background1"/>
            <w:tcMar>
              <w:top w:w="15" w:type="dxa"/>
              <w:left w:w="91" w:type="dxa"/>
              <w:bottom w:w="0" w:type="dxa"/>
              <w:right w:w="91" w:type="dxa"/>
            </w:tcMar>
            <w:vAlign w:val="center"/>
            <w:hideMark/>
          </w:tcPr>
          <w:p w14:paraId="53BFC35B" w14:textId="77777777" w:rsidR="00A2365A" w:rsidRPr="00FE6BF1" w:rsidRDefault="00A2365A" w:rsidP="0047628F">
            <w:pPr>
              <w:suppressAutoHyphens/>
            </w:pPr>
            <w:r w:rsidRPr="00FE6BF1">
              <w:t> </w:t>
            </w:r>
          </w:p>
        </w:tc>
        <w:tc>
          <w:tcPr>
            <w:tcW w:w="1345" w:type="dxa"/>
            <w:shd w:val="clear" w:color="auto" w:fill="FFFFFF" w:themeFill="background1"/>
            <w:tcMar>
              <w:top w:w="15" w:type="dxa"/>
              <w:left w:w="91" w:type="dxa"/>
              <w:bottom w:w="0" w:type="dxa"/>
              <w:right w:w="91" w:type="dxa"/>
            </w:tcMar>
            <w:vAlign w:val="center"/>
            <w:hideMark/>
          </w:tcPr>
          <w:p w14:paraId="7EB66547" w14:textId="77777777" w:rsidR="00A2365A" w:rsidRPr="00FE6BF1" w:rsidRDefault="00A2365A" w:rsidP="0047628F">
            <w:pPr>
              <w:suppressAutoHyphens/>
            </w:pPr>
            <w:r w:rsidRPr="00FE6BF1">
              <w:t>2013.07.03.</w:t>
            </w:r>
            <w:r w:rsidRPr="00FE6BF1">
              <w:br/>
              <w:t>levelezés útján</w:t>
            </w:r>
          </w:p>
        </w:tc>
        <w:tc>
          <w:tcPr>
            <w:tcW w:w="790" w:type="dxa"/>
            <w:shd w:val="clear" w:color="auto" w:fill="FFFFFF" w:themeFill="background1"/>
            <w:tcMar>
              <w:top w:w="15" w:type="dxa"/>
              <w:left w:w="91" w:type="dxa"/>
              <w:bottom w:w="0" w:type="dxa"/>
              <w:right w:w="91" w:type="dxa"/>
            </w:tcMar>
            <w:hideMark/>
          </w:tcPr>
          <w:p w14:paraId="36585239" w14:textId="77777777" w:rsidR="00A2365A" w:rsidRPr="00FE6BF1" w:rsidRDefault="00A2365A" w:rsidP="0047628F">
            <w:pPr>
              <w:suppressAutoHyphens/>
            </w:pPr>
            <w:r w:rsidRPr="00FE6BF1">
              <w:t> </w:t>
            </w:r>
          </w:p>
        </w:tc>
      </w:tr>
    </w:tbl>
    <w:p w14:paraId="6F8D9194" w14:textId="057BCF0F" w:rsidR="00A2365A" w:rsidRPr="00891608" w:rsidRDefault="00EF0A4A" w:rsidP="00EF0A4A">
      <w:pPr>
        <w:pStyle w:val="Behzottbekezdsnmhh"/>
        <w:ind w:firstLine="0"/>
        <w:jc w:val="center"/>
        <w:rPr>
          <w:b/>
          <w:color w:val="365F91" w:themeColor="accent1" w:themeShade="BF"/>
        </w:rPr>
      </w:pPr>
      <w:r w:rsidRPr="00891608">
        <w:rPr>
          <w:b/>
          <w:color w:val="365F91" w:themeColor="accent1" w:themeShade="BF"/>
        </w:rPr>
        <w:t>5.1. táblázat</w:t>
      </w:r>
    </w:p>
    <w:p w14:paraId="7CC03541" w14:textId="77777777" w:rsidR="001C5CEF" w:rsidRDefault="001C5CEF" w:rsidP="00965703">
      <w:pPr>
        <w:pStyle w:val="Behzottbekezdsnmhh"/>
      </w:pPr>
    </w:p>
    <w:p w14:paraId="5891AB31" w14:textId="07C0711E" w:rsidR="00A2365A" w:rsidRPr="00A2365A" w:rsidRDefault="00965703" w:rsidP="00965703">
      <w:pPr>
        <w:pStyle w:val="Behzottbekezdsnmhh"/>
      </w:pPr>
      <w:r>
        <w:t xml:space="preserve">Az ukrán igazgatás korábban (2017-ben) azt a tájékoztatást adta, hogy </w:t>
      </w:r>
      <w:r w:rsidR="00A2365A" w:rsidRPr="00A2365A">
        <w:t xml:space="preserve">a 4G bevezetését tervezi a 2600 MHz-es sávban, ezért </w:t>
      </w:r>
      <w:r>
        <w:t>a</w:t>
      </w:r>
      <w:r w:rsidR="00A2365A" w:rsidRPr="00A2365A">
        <w:t xml:space="preserve"> sávr</w:t>
      </w:r>
      <w:r>
        <w:t xml:space="preserve">a vonatkozó MFCN </w:t>
      </w:r>
      <w:r w:rsidR="00FF2C5D">
        <w:t>megállapodás megkötését helyezték</w:t>
      </w:r>
      <w:r w:rsidR="003A5295">
        <w:t xml:space="preserve"> kilátásba; a</w:t>
      </w:r>
      <w:r w:rsidR="00FF2C5D">
        <w:t xml:space="preserve"> szerb igazgatás </w:t>
      </w:r>
      <w:r w:rsidR="003A5295">
        <w:t xml:space="preserve">pedig </w:t>
      </w:r>
      <w:r w:rsidR="00FF2C5D">
        <w:t xml:space="preserve">2018 utánra ígérte, hogy megvizsgálják a megállapodás megkötésének lehetőségét, de egyelőre </w:t>
      </w:r>
      <w:r w:rsidR="00B232DF">
        <w:t>egyik</w:t>
      </w:r>
      <w:r w:rsidR="00FF2C5D">
        <w:t xml:space="preserve"> viszonylatban sem történt előrelépés a témában. </w:t>
      </w:r>
    </w:p>
    <w:p w14:paraId="676161A5" w14:textId="48E5E3D8" w:rsidR="00A2365A" w:rsidRDefault="00A2365A" w:rsidP="00965703">
      <w:pPr>
        <w:pStyle w:val="Behzottbekezdsnmhh"/>
      </w:pPr>
      <w:r w:rsidRPr="00A2365A">
        <w:t xml:space="preserve">A </w:t>
      </w:r>
      <w:r w:rsidR="00965703">
        <w:t>szlovák és román igazgatás 2018-ban azt a tájékoztatást</w:t>
      </w:r>
      <w:r w:rsidR="00200AA9">
        <w:t xml:space="preserve"> adta</w:t>
      </w:r>
      <w:r w:rsidR="00965703">
        <w:t>, hogy megvizsgálják a 2018-ban Ausztriával, Szlovéniával és Horvátországgal megkötött m</w:t>
      </w:r>
      <w:r w:rsidR="00FF2C5D">
        <w:t>egállapodásunkat</w:t>
      </w:r>
      <w:r w:rsidR="00965703">
        <w:t xml:space="preserve"> </w:t>
      </w:r>
      <w:r w:rsidR="00FF2C5D">
        <w:t>a velük kötött korá</w:t>
      </w:r>
      <w:r w:rsidR="003A5295">
        <w:t>bbi megállapodás felülvizsgálatának</w:t>
      </w:r>
      <w:r w:rsidR="00FF2C5D">
        <w:t xml:space="preserve"> céljából. Egyelőre nem történt érdemi előrelépés e tekintetben.</w:t>
      </w:r>
    </w:p>
    <w:p w14:paraId="5BE2E4E1" w14:textId="23387FDE" w:rsidR="004942E2" w:rsidRDefault="004942E2">
      <w:pPr>
        <w:spacing w:after="200"/>
        <w:jc w:val="left"/>
        <w:rPr>
          <w:i/>
        </w:rPr>
      </w:pPr>
      <w:r>
        <w:rPr>
          <w:i/>
        </w:rPr>
        <w:br w:type="page"/>
      </w:r>
    </w:p>
    <w:p w14:paraId="2A7380DA" w14:textId="5A9F6E9F" w:rsidR="008C63E0" w:rsidRPr="00AA62BB" w:rsidRDefault="00891608" w:rsidP="008C63E0">
      <w:pPr>
        <w:pStyle w:val="Cmsor1szmozottnmhh"/>
        <w:pageBreakBefore w:val="0"/>
        <w:ind w:left="431" w:hanging="431"/>
      </w:pPr>
      <w:bookmarkStart w:id="34" w:name="_Toc96075723"/>
      <w:r>
        <w:lastRenderedPageBreak/>
        <w:t xml:space="preserve">MFCN és egyéb </w:t>
      </w:r>
      <w:r w:rsidR="004B67E4">
        <w:t>rádió</w:t>
      </w:r>
      <w:r>
        <w:t>szolgálatok közötti ö</w:t>
      </w:r>
      <w:r w:rsidR="0079418F">
        <w:t>sszeférhetőségi kérdések</w:t>
      </w:r>
      <w:bookmarkEnd w:id="34"/>
    </w:p>
    <w:p w14:paraId="3DAD9729" w14:textId="4D02678B" w:rsidR="00FA3B4E" w:rsidRDefault="00FA3B4E" w:rsidP="00FA3B4E">
      <w:pPr>
        <w:pStyle w:val="Cmsor2szmozottnmhh"/>
      </w:pPr>
      <w:r>
        <w:t xml:space="preserve"> </w:t>
      </w:r>
      <w:bookmarkStart w:id="35" w:name="_Toc96075724"/>
      <w:r>
        <w:t xml:space="preserve">Sávon kívüli </w:t>
      </w:r>
      <w:r w:rsidR="0079418F">
        <w:t>zavaró sugárzások</w:t>
      </w:r>
      <w:r>
        <w:t xml:space="preserve"> figyelembevétele</w:t>
      </w:r>
      <w:bookmarkEnd w:id="35"/>
    </w:p>
    <w:p w14:paraId="5E8351F2" w14:textId="75A69042" w:rsidR="00FA3B4E" w:rsidRPr="00394F77" w:rsidRDefault="00FA3B4E" w:rsidP="00FA3B4E">
      <w:pPr>
        <w:widowControl w:val="0"/>
        <w:spacing w:before="280"/>
        <w:rPr>
          <w:rFonts w:cs="Arial"/>
          <w:sz w:val="20"/>
        </w:rPr>
      </w:pPr>
      <w:r w:rsidRPr="00394F77">
        <w:rPr>
          <w:rFonts w:cs="Arial"/>
          <w:sz w:val="20"/>
        </w:rPr>
        <w:t xml:space="preserve">MFCN állomás telepítésekor figyelembe kell venni </w:t>
      </w:r>
      <w:r w:rsidRPr="009C1999">
        <w:rPr>
          <w:rFonts w:eastAsia="Times New Roman" w:cs="Arial"/>
          <w:sz w:val="20"/>
          <w:lang w:eastAsia="hu-HU"/>
        </w:rPr>
        <w:t>a</w:t>
      </w:r>
      <w:r w:rsidR="009C1999">
        <w:rPr>
          <w:rFonts w:eastAsia="Times New Roman" w:cs="Arial"/>
          <w:sz w:val="20"/>
          <w:lang w:eastAsia="hu-HU"/>
        </w:rPr>
        <w:t>z</w:t>
      </w:r>
      <w:r w:rsidRPr="009C1999">
        <w:rPr>
          <w:rFonts w:eastAsia="Times New Roman" w:cs="Arial"/>
          <w:sz w:val="20"/>
          <w:lang w:eastAsia="hu-HU"/>
        </w:rPr>
        <w:t xml:space="preserve"> </w:t>
      </w:r>
      <w:r w:rsidR="009C1999">
        <w:rPr>
          <w:rFonts w:eastAsia="Times New Roman" w:cs="Arial"/>
          <w:sz w:val="20"/>
          <w:lang w:eastAsia="hu-HU"/>
        </w:rPr>
        <w:t> 1</w:t>
      </w:r>
      <w:r w:rsidR="009C1999" w:rsidRPr="009C1999">
        <w:rPr>
          <w:rFonts w:eastAsia="Times New Roman" w:cs="Arial"/>
          <w:sz w:val="20"/>
          <w:lang w:eastAsia="hu-HU"/>
        </w:rPr>
        <w:t>250−1350 MHz, a 2200−2300 MHz</w:t>
      </w:r>
      <w:r w:rsidR="009C1999">
        <w:rPr>
          <w:rFonts w:eastAsia="Times New Roman" w:cs="Arial"/>
          <w:sz w:val="20"/>
          <w:lang w:eastAsia="hu-HU"/>
        </w:rPr>
        <w:t xml:space="preserve"> és a 2700−3410 MHz frekvenciasávban, de különös tekintettel a</w:t>
      </w:r>
      <w:r w:rsidR="009C1999" w:rsidRPr="009C1999">
        <w:rPr>
          <w:rFonts w:eastAsia="Times New Roman" w:cs="Arial"/>
          <w:sz w:val="20"/>
          <w:lang w:eastAsia="hu-HU"/>
        </w:rPr>
        <w:t xml:space="preserve"> </w:t>
      </w:r>
      <w:r w:rsidRPr="00394F77">
        <w:rPr>
          <w:rFonts w:cs="Arial"/>
          <w:sz w:val="20"/>
        </w:rPr>
        <w:t>2700–3100 MHz frek</w:t>
      </w:r>
      <w:r w:rsidR="009C1999">
        <w:rPr>
          <w:rFonts w:cs="Arial"/>
          <w:sz w:val="20"/>
        </w:rPr>
        <w:t>venciatartományban</w:t>
      </w:r>
      <w:r w:rsidRPr="00394F77">
        <w:rPr>
          <w:rFonts w:cs="Arial"/>
          <w:sz w:val="20"/>
        </w:rPr>
        <w:t xml:space="preserve"> működő, korábban engedélyezett katonai radarok zavaró hatását.</w:t>
      </w:r>
    </w:p>
    <w:p w14:paraId="6EEB9F0E" w14:textId="77777777" w:rsidR="00FA3B4E" w:rsidRPr="00394F77" w:rsidRDefault="00FA3B4E" w:rsidP="00FA3B4E">
      <w:pPr>
        <w:widowControl w:val="0"/>
        <w:spacing w:before="280"/>
        <w:rPr>
          <w:rFonts w:cs="Arial"/>
          <w:sz w:val="20"/>
        </w:rPr>
      </w:pPr>
      <w:r w:rsidRPr="00394F77">
        <w:rPr>
          <w:rFonts w:eastAsia="Times New Roman" w:cs="Arial"/>
          <w:sz w:val="20"/>
          <w:lang w:eastAsia="hu-HU"/>
        </w:rPr>
        <w:t>A radarok zavaró hatását a kialakítandó rendszer hálózatának tervezése és állomásainak telepítése során a radarállomások környezetében figyelembe kell venni. A tervezés folyamán javasolt helyszíni vizsgálatokat végezni, mivel a radarállomások zavaró hatása sok helyen nem érvényesül a hullámterjedési adottságok és a terep fedettsége miatt.</w:t>
      </w:r>
    </w:p>
    <w:p w14:paraId="4510224B" w14:textId="38A13A8D" w:rsidR="00FA3B4E" w:rsidRDefault="00FA3B4E" w:rsidP="00FA3B4E">
      <w:pPr>
        <w:spacing w:after="200"/>
        <w:jc w:val="left"/>
        <w:rPr>
          <w:rFonts w:cs="Arial"/>
          <w:sz w:val="20"/>
        </w:rPr>
      </w:pPr>
      <w:r w:rsidRPr="00394F77">
        <w:rPr>
          <w:rFonts w:cs="Arial"/>
          <w:sz w:val="20"/>
        </w:rPr>
        <w:t>A zavartatás szempontjából releváns zavaró sugárforrások adatait (radarállomások telephely- és koordinátaadatai, üzemi fre</w:t>
      </w:r>
      <w:r>
        <w:rPr>
          <w:rFonts w:cs="Arial"/>
          <w:sz w:val="20"/>
        </w:rPr>
        <w:t xml:space="preserve">kvenciasáv üzemeltetési idő) a </w:t>
      </w:r>
      <w:r w:rsidR="000A2B9F">
        <w:rPr>
          <w:rFonts w:cs="Arial"/>
          <w:sz w:val="20"/>
        </w:rPr>
        <w:t>6</w:t>
      </w:r>
      <w:r>
        <w:rPr>
          <w:rFonts w:cs="Arial"/>
          <w:sz w:val="20"/>
        </w:rPr>
        <w:t>.</w:t>
      </w:r>
      <w:r w:rsidRPr="00394F77">
        <w:rPr>
          <w:rFonts w:cs="Arial"/>
          <w:sz w:val="20"/>
        </w:rPr>
        <w:t>1</w:t>
      </w:r>
      <w:proofErr w:type="gramStart"/>
      <w:r w:rsidRPr="00394F77">
        <w:rPr>
          <w:rFonts w:cs="Arial"/>
          <w:sz w:val="20"/>
        </w:rPr>
        <w:t>.a</w:t>
      </w:r>
      <w:proofErr w:type="gramEnd"/>
      <w:r w:rsidRPr="00394F77">
        <w:rPr>
          <w:rFonts w:cs="Arial"/>
          <w:sz w:val="20"/>
        </w:rPr>
        <w:t xml:space="preserve"> táblázat tartalmazza.</w:t>
      </w:r>
    </w:p>
    <w:tbl>
      <w:tblPr>
        <w:tblW w:w="5000" w:type="pct"/>
        <w:tblInd w:w="-180" w:type="dxa"/>
        <w:tblBorders>
          <w:top w:val="single" w:sz="4" w:space="0" w:color="454B53"/>
          <w:left w:val="single" w:sz="4" w:space="0" w:color="454B53"/>
          <w:bottom w:val="single" w:sz="4" w:space="0" w:color="454B53"/>
          <w:right w:val="single" w:sz="4" w:space="0" w:color="454B53"/>
          <w:insideH w:val="single" w:sz="4" w:space="0" w:color="454B53"/>
          <w:insideV w:val="single" w:sz="4" w:space="0" w:color="454B53"/>
        </w:tblBorders>
        <w:tblLayout w:type="fixed"/>
        <w:tblCellMar>
          <w:left w:w="138" w:type="dxa"/>
        </w:tblCellMar>
        <w:tblLook w:val="0000" w:firstRow="0" w:lastRow="0" w:firstColumn="0" w:lastColumn="0" w:noHBand="0" w:noVBand="0"/>
      </w:tblPr>
      <w:tblGrid>
        <w:gridCol w:w="1478"/>
        <w:gridCol w:w="1630"/>
        <w:gridCol w:w="1556"/>
        <w:gridCol w:w="2021"/>
        <w:gridCol w:w="2367"/>
      </w:tblGrid>
      <w:tr w:rsidR="00891608" w:rsidRPr="00891608" w14:paraId="7DFE8C3E" w14:textId="77777777" w:rsidTr="00891608">
        <w:trPr>
          <w:cantSplit/>
          <w:trHeight w:val="486"/>
          <w:tblHeader/>
        </w:trPr>
        <w:tc>
          <w:tcPr>
            <w:tcW w:w="152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7E9CFC46" w14:textId="77777777" w:rsidR="00FA3B4E" w:rsidRPr="00891608" w:rsidRDefault="00FA3B4E" w:rsidP="0047628F">
            <w:pPr>
              <w:spacing w:before="280" w:after="280" w:line="280" w:lineRule="exact"/>
              <w:jc w:val="center"/>
              <w:rPr>
                <w:rFonts w:cs="Arial"/>
                <w:b/>
              </w:rPr>
            </w:pPr>
            <w:r w:rsidRPr="00891608">
              <w:rPr>
                <w:rFonts w:cs="Arial"/>
                <w:b/>
                <w:sz w:val="20"/>
              </w:rPr>
              <w:t>Telephelyek</w:t>
            </w:r>
          </w:p>
        </w:tc>
        <w:tc>
          <w:tcPr>
            <w:tcW w:w="329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6786F6AC" w14:textId="77777777" w:rsidR="00FA3B4E" w:rsidRPr="00891608" w:rsidRDefault="00FA3B4E" w:rsidP="0047628F">
            <w:pPr>
              <w:spacing w:before="280" w:after="280" w:line="280" w:lineRule="exact"/>
              <w:jc w:val="center"/>
              <w:rPr>
                <w:rFonts w:cs="Arial"/>
                <w:b/>
              </w:rPr>
            </w:pPr>
            <w:r w:rsidRPr="00891608">
              <w:rPr>
                <w:rFonts w:cs="Arial"/>
                <w:b/>
                <w:sz w:val="20"/>
              </w:rPr>
              <w:t>Telephelyek földrajzi koordinátái (WGS-84)</w:t>
            </w:r>
          </w:p>
        </w:tc>
        <w:tc>
          <w:tcPr>
            <w:tcW w:w="209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3FB21E65" w14:textId="77777777" w:rsidR="00FA3B4E" w:rsidRPr="00891608" w:rsidRDefault="00FA3B4E" w:rsidP="0047628F">
            <w:pPr>
              <w:spacing w:before="280" w:after="280" w:line="280" w:lineRule="exact"/>
              <w:jc w:val="center"/>
              <w:rPr>
                <w:rFonts w:cs="Arial"/>
                <w:b/>
              </w:rPr>
            </w:pPr>
            <w:r w:rsidRPr="00891608">
              <w:rPr>
                <w:rFonts w:cs="Arial"/>
                <w:b/>
                <w:sz w:val="20"/>
              </w:rPr>
              <w:t>Üzemi frekvenciasáv</w:t>
            </w:r>
          </w:p>
        </w:tc>
        <w:tc>
          <w:tcPr>
            <w:tcW w:w="245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2F44D079" w14:textId="77777777" w:rsidR="00FA3B4E" w:rsidRPr="00891608" w:rsidRDefault="00FA3B4E" w:rsidP="0047628F">
            <w:pPr>
              <w:spacing w:before="280" w:after="280" w:line="280" w:lineRule="exact"/>
              <w:jc w:val="center"/>
              <w:rPr>
                <w:rFonts w:cs="Arial"/>
                <w:b/>
              </w:rPr>
            </w:pPr>
            <w:r w:rsidRPr="00891608">
              <w:rPr>
                <w:rFonts w:cs="Arial"/>
                <w:b/>
                <w:sz w:val="20"/>
              </w:rPr>
              <w:t>Üzemeltetési idő</w:t>
            </w:r>
          </w:p>
        </w:tc>
      </w:tr>
      <w:tr w:rsidR="00891608" w:rsidRPr="00891608" w14:paraId="5EBCF018" w14:textId="77777777" w:rsidTr="00891608">
        <w:trPr>
          <w:cantSplit/>
          <w:trHeight w:val="214"/>
          <w:tblHeader/>
        </w:trPr>
        <w:tc>
          <w:tcPr>
            <w:tcW w:w="152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29572202" w14:textId="77777777" w:rsidR="00FA3B4E" w:rsidRPr="00891608" w:rsidRDefault="00FA3B4E" w:rsidP="0047628F">
            <w:pPr>
              <w:snapToGrid w:val="0"/>
              <w:spacing w:before="280" w:after="280" w:line="280" w:lineRule="exact"/>
              <w:jc w:val="center"/>
              <w:rPr>
                <w:rFonts w:cs="Arial"/>
                <w:b/>
                <w:sz w:val="20"/>
              </w:rPr>
            </w:pPr>
          </w:p>
        </w:tc>
        <w:tc>
          <w:tcPr>
            <w:tcW w:w="16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0EC06765" w14:textId="77777777" w:rsidR="00FA3B4E" w:rsidRPr="00891608" w:rsidRDefault="00FA3B4E" w:rsidP="0047628F">
            <w:pPr>
              <w:spacing w:before="280" w:after="280" w:line="280" w:lineRule="exact"/>
              <w:jc w:val="center"/>
              <w:rPr>
                <w:rFonts w:cs="Arial"/>
                <w:b/>
              </w:rPr>
            </w:pPr>
            <w:r w:rsidRPr="00891608">
              <w:rPr>
                <w:rFonts w:cs="Arial"/>
                <w:b/>
                <w:sz w:val="20"/>
              </w:rPr>
              <w:t>Észak</w:t>
            </w:r>
          </w:p>
        </w:tc>
        <w:tc>
          <w:tcPr>
            <w:tcW w:w="16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064B37CE" w14:textId="77777777" w:rsidR="00FA3B4E" w:rsidRPr="00891608" w:rsidRDefault="00FA3B4E" w:rsidP="0047628F">
            <w:pPr>
              <w:spacing w:before="280" w:after="280" w:line="280" w:lineRule="exact"/>
              <w:jc w:val="center"/>
              <w:rPr>
                <w:rFonts w:cs="Arial"/>
                <w:b/>
              </w:rPr>
            </w:pPr>
            <w:r w:rsidRPr="00891608">
              <w:rPr>
                <w:rFonts w:cs="Arial"/>
                <w:b/>
                <w:sz w:val="20"/>
              </w:rPr>
              <w:t>Kelet</w:t>
            </w:r>
          </w:p>
        </w:tc>
        <w:tc>
          <w:tcPr>
            <w:tcW w:w="209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0EA89076" w14:textId="77777777" w:rsidR="00FA3B4E" w:rsidRPr="00891608" w:rsidRDefault="00FA3B4E" w:rsidP="0047628F">
            <w:pPr>
              <w:snapToGrid w:val="0"/>
              <w:spacing w:before="280" w:after="280" w:line="280" w:lineRule="exact"/>
              <w:jc w:val="center"/>
              <w:rPr>
                <w:rFonts w:cs="Arial"/>
                <w:b/>
                <w:sz w:val="20"/>
              </w:rPr>
            </w:pPr>
          </w:p>
        </w:tc>
        <w:tc>
          <w:tcPr>
            <w:tcW w:w="2457"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73BAC24D" w14:textId="77777777" w:rsidR="00FA3B4E" w:rsidRPr="00891608" w:rsidRDefault="00FA3B4E" w:rsidP="0047628F">
            <w:pPr>
              <w:snapToGrid w:val="0"/>
              <w:spacing w:before="280" w:after="280" w:line="280" w:lineRule="exact"/>
              <w:jc w:val="center"/>
              <w:rPr>
                <w:rFonts w:cs="Arial"/>
                <w:b/>
                <w:sz w:val="20"/>
              </w:rPr>
            </w:pPr>
          </w:p>
        </w:tc>
      </w:tr>
      <w:tr w:rsidR="00FA3B4E" w:rsidRPr="00506A5A" w14:paraId="75BB1A39" w14:textId="77777777" w:rsidTr="00891608">
        <w:trPr>
          <w:cantSplit/>
          <w:trHeight w:val="454"/>
        </w:trPr>
        <w:tc>
          <w:tcPr>
            <w:tcW w:w="1529" w:type="dxa"/>
            <w:tcBorders>
              <w:top w:val="single" w:sz="8" w:space="0" w:color="000000" w:themeColor="text1"/>
            </w:tcBorders>
            <w:shd w:val="clear" w:color="auto" w:fill="FFFFFF"/>
            <w:vAlign w:val="center"/>
          </w:tcPr>
          <w:p w14:paraId="1153A6C2" w14:textId="77777777" w:rsidR="00FA3B4E" w:rsidRPr="00836553" w:rsidRDefault="00FA3B4E" w:rsidP="0047628F">
            <w:pPr>
              <w:spacing w:before="280" w:after="280" w:line="280" w:lineRule="exact"/>
              <w:rPr>
                <w:rFonts w:cs="Arial"/>
                <w:sz w:val="20"/>
                <w:szCs w:val="20"/>
              </w:rPr>
            </w:pPr>
            <w:r w:rsidRPr="00836553">
              <w:rPr>
                <w:rFonts w:cs="Arial"/>
                <w:b/>
                <w:sz w:val="20"/>
                <w:szCs w:val="20"/>
              </w:rPr>
              <w:t>Kecskemét</w:t>
            </w:r>
          </w:p>
        </w:tc>
        <w:tc>
          <w:tcPr>
            <w:tcW w:w="1688" w:type="dxa"/>
            <w:tcBorders>
              <w:top w:val="single" w:sz="8" w:space="0" w:color="000000" w:themeColor="text1"/>
            </w:tcBorders>
            <w:shd w:val="clear" w:color="auto" w:fill="FFFFFF"/>
            <w:vAlign w:val="center"/>
          </w:tcPr>
          <w:p w14:paraId="51311261"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46°54’30”</w:t>
            </w:r>
          </w:p>
        </w:tc>
        <w:tc>
          <w:tcPr>
            <w:tcW w:w="1611" w:type="dxa"/>
            <w:tcBorders>
              <w:top w:val="single" w:sz="8" w:space="0" w:color="000000" w:themeColor="text1"/>
            </w:tcBorders>
            <w:shd w:val="clear" w:color="auto" w:fill="FFFFFF"/>
            <w:vAlign w:val="center"/>
          </w:tcPr>
          <w:p w14:paraId="629AEC07"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19°44’20”</w:t>
            </w:r>
          </w:p>
        </w:tc>
        <w:tc>
          <w:tcPr>
            <w:tcW w:w="2096" w:type="dxa"/>
            <w:tcBorders>
              <w:top w:val="single" w:sz="8" w:space="0" w:color="000000" w:themeColor="text1"/>
            </w:tcBorders>
            <w:shd w:val="clear" w:color="auto" w:fill="FFFFFF"/>
            <w:vAlign w:val="center"/>
          </w:tcPr>
          <w:p w14:paraId="6C5DABBF"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 xml:space="preserve">2,7–2,9 </w:t>
            </w:r>
            <w:proofErr w:type="spellStart"/>
            <w:r w:rsidRPr="00836553">
              <w:rPr>
                <w:rFonts w:cs="Arial"/>
                <w:sz w:val="20"/>
                <w:szCs w:val="20"/>
              </w:rPr>
              <w:t>GHz</w:t>
            </w:r>
            <w:proofErr w:type="spellEnd"/>
          </w:p>
        </w:tc>
        <w:tc>
          <w:tcPr>
            <w:tcW w:w="2457" w:type="dxa"/>
            <w:tcBorders>
              <w:top w:val="single" w:sz="8" w:space="0" w:color="000000" w:themeColor="text1"/>
            </w:tcBorders>
            <w:shd w:val="clear" w:color="auto" w:fill="FFFFFF"/>
            <w:vAlign w:val="center"/>
          </w:tcPr>
          <w:p w14:paraId="6092AB1B"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folyamatos</w:t>
            </w:r>
          </w:p>
        </w:tc>
      </w:tr>
      <w:tr w:rsidR="00FA3B4E" w:rsidRPr="00506A5A" w14:paraId="55B537AD" w14:textId="77777777" w:rsidTr="0047628F">
        <w:trPr>
          <w:cantSplit/>
          <w:trHeight w:val="454"/>
        </w:trPr>
        <w:tc>
          <w:tcPr>
            <w:tcW w:w="1529" w:type="dxa"/>
            <w:shd w:val="clear" w:color="auto" w:fill="F2F2F2" w:themeFill="background1" w:themeFillShade="F2"/>
            <w:vAlign w:val="center"/>
          </w:tcPr>
          <w:p w14:paraId="25EA00BC" w14:textId="77777777" w:rsidR="00FA3B4E" w:rsidRPr="00836553" w:rsidRDefault="00FA3B4E" w:rsidP="0047628F">
            <w:pPr>
              <w:spacing w:before="280" w:after="280" w:line="280" w:lineRule="exact"/>
              <w:rPr>
                <w:rFonts w:cs="Arial"/>
                <w:sz w:val="20"/>
                <w:szCs w:val="20"/>
              </w:rPr>
            </w:pPr>
            <w:r w:rsidRPr="00836553">
              <w:rPr>
                <w:rFonts w:cs="Arial"/>
                <w:b/>
                <w:sz w:val="20"/>
                <w:szCs w:val="20"/>
              </w:rPr>
              <w:t>Pápa</w:t>
            </w:r>
          </w:p>
        </w:tc>
        <w:tc>
          <w:tcPr>
            <w:tcW w:w="1688" w:type="dxa"/>
            <w:shd w:val="clear" w:color="auto" w:fill="F2F2F2" w:themeFill="background1" w:themeFillShade="F2"/>
            <w:vAlign w:val="center"/>
          </w:tcPr>
          <w:p w14:paraId="1D2AE1E0"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47°15’13”</w:t>
            </w:r>
          </w:p>
        </w:tc>
        <w:tc>
          <w:tcPr>
            <w:tcW w:w="1611" w:type="dxa"/>
            <w:shd w:val="clear" w:color="auto" w:fill="F2F2F2" w:themeFill="background1" w:themeFillShade="F2"/>
            <w:vAlign w:val="center"/>
          </w:tcPr>
          <w:p w14:paraId="1127FCFC"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17°28’09”</w:t>
            </w:r>
          </w:p>
        </w:tc>
        <w:tc>
          <w:tcPr>
            <w:tcW w:w="2096" w:type="dxa"/>
            <w:shd w:val="clear" w:color="auto" w:fill="F2F2F2" w:themeFill="background1" w:themeFillShade="F2"/>
            <w:vAlign w:val="center"/>
          </w:tcPr>
          <w:p w14:paraId="46210246"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 xml:space="preserve">2,7–2,9 </w:t>
            </w:r>
            <w:proofErr w:type="spellStart"/>
            <w:r w:rsidRPr="00836553">
              <w:rPr>
                <w:rFonts w:cs="Arial"/>
                <w:sz w:val="20"/>
                <w:szCs w:val="20"/>
              </w:rPr>
              <w:t>GHz</w:t>
            </w:r>
            <w:proofErr w:type="spellEnd"/>
          </w:p>
        </w:tc>
        <w:tc>
          <w:tcPr>
            <w:tcW w:w="2457" w:type="dxa"/>
            <w:shd w:val="clear" w:color="auto" w:fill="F2F2F2" w:themeFill="background1" w:themeFillShade="F2"/>
            <w:vAlign w:val="center"/>
          </w:tcPr>
          <w:p w14:paraId="7B611024"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folyamatos</w:t>
            </w:r>
          </w:p>
        </w:tc>
      </w:tr>
      <w:tr w:rsidR="00FA3B4E" w:rsidRPr="00506A5A" w14:paraId="7F36041F" w14:textId="77777777" w:rsidTr="0047628F">
        <w:trPr>
          <w:cantSplit/>
          <w:trHeight w:val="454"/>
        </w:trPr>
        <w:tc>
          <w:tcPr>
            <w:tcW w:w="1529" w:type="dxa"/>
            <w:shd w:val="clear" w:color="auto" w:fill="FFFFFF"/>
            <w:vAlign w:val="center"/>
          </w:tcPr>
          <w:p w14:paraId="2425D8C4" w14:textId="77777777" w:rsidR="00FA3B4E" w:rsidRPr="00836553" w:rsidRDefault="00FA3B4E" w:rsidP="0047628F">
            <w:pPr>
              <w:spacing w:before="280" w:after="280" w:line="280" w:lineRule="exact"/>
              <w:rPr>
                <w:rFonts w:cs="Arial"/>
                <w:sz w:val="20"/>
                <w:szCs w:val="20"/>
              </w:rPr>
            </w:pPr>
            <w:r w:rsidRPr="00836553">
              <w:rPr>
                <w:rFonts w:cs="Arial"/>
                <w:b/>
                <w:sz w:val="20"/>
                <w:szCs w:val="20"/>
              </w:rPr>
              <w:t>Kup</w:t>
            </w:r>
          </w:p>
        </w:tc>
        <w:tc>
          <w:tcPr>
            <w:tcW w:w="1688" w:type="dxa"/>
            <w:shd w:val="clear" w:color="auto" w:fill="FFFFFF"/>
            <w:vAlign w:val="center"/>
          </w:tcPr>
          <w:p w14:paraId="5AF9A6C7"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47°15’07”</w:t>
            </w:r>
          </w:p>
        </w:tc>
        <w:tc>
          <w:tcPr>
            <w:tcW w:w="1611" w:type="dxa"/>
            <w:shd w:val="clear" w:color="auto" w:fill="FFFFFF"/>
            <w:vAlign w:val="center"/>
          </w:tcPr>
          <w:p w14:paraId="367FF663"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17°28’13”</w:t>
            </w:r>
          </w:p>
        </w:tc>
        <w:tc>
          <w:tcPr>
            <w:tcW w:w="2096" w:type="dxa"/>
            <w:shd w:val="clear" w:color="auto" w:fill="FFFFFF"/>
            <w:vAlign w:val="center"/>
          </w:tcPr>
          <w:p w14:paraId="661C027D"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 xml:space="preserve">2,7–3,1 </w:t>
            </w:r>
            <w:proofErr w:type="spellStart"/>
            <w:r w:rsidRPr="00836553">
              <w:rPr>
                <w:rFonts w:cs="Arial"/>
                <w:sz w:val="20"/>
                <w:szCs w:val="20"/>
              </w:rPr>
              <w:t>GHz</w:t>
            </w:r>
            <w:proofErr w:type="spellEnd"/>
          </w:p>
        </w:tc>
        <w:tc>
          <w:tcPr>
            <w:tcW w:w="2457" w:type="dxa"/>
            <w:shd w:val="clear" w:color="auto" w:fill="FFFFFF"/>
            <w:vAlign w:val="center"/>
          </w:tcPr>
          <w:p w14:paraId="5B985D09"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folyamatos</w:t>
            </w:r>
          </w:p>
        </w:tc>
      </w:tr>
      <w:tr w:rsidR="00FA3B4E" w:rsidRPr="00506A5A" w14:paraId="37CB6EBF" w14:textId="77777777" w:rsidTr="0047628F">
        <w:trPr>
          <w:cantSplit/>
          <w:trHeight w:val="454"/>
        </w:trPr>
        <w:tc>
          <w:tcPr>
            <w:tcW w:w="1529" w:type="dxa"/>
            <w:shd w:val="clear" w:color="auto" w:fill="F2F2F2" w:themeFill="background1" w:themeFillShade="F2"/>
            <w:vAlign w:val="center"/>
          </w:tcPr>
          <w:p w14:paraId="56492201" w14:textId="77777777" w:rsidR="00FA3B4E" w:rsidRPr="00836553" w:rsidRDefault="00FA3B4E" w:rsidP="0047628F">
            <w:pPr>
              <w:spacing w:before="280" w:after="280" w:line="280" w:lineRule="exact"/>
              <w:rPr>
                <w:rFonts w:cs="Arial"/>
                <w:sz w:val="20"/>
                <w:szCs w:val="20"/>
              </w:rPr>
            </w:pPr>
            <w:r w:rsidRPr="00836553">
              <w:rPr>
                <w:rFonts w:cs="Arial"/>
                <w:b/>
                <w:sz w:val="20"/>
                <w:szCs w:val="20"/>
              </w:rPr>
              <w:t>Juta</w:t>
            </w:r>
          </w:p>
        </w:tc>
        <w:tc>
          <w:tcPr>
            <w:tcW w:w="1688" w:type="dxa"/>
            <w:shd w:val="clear" w:color="auto" w:fill="F2F2F2" w:themeFill="background1" w:themeFillShade="F2"/>
            <w:vAlign w:val="center"/>
          </w:tcPr>
          <w:p w14:paraId="4EAA6D3C"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46°23’27”</w:t>
            </w:r>
          </w:p>
        </w:tc>
        <w:tc>
          <w:tcPr>
            <w:tcW w:w="1611" w:type="dxa"/>
            <w:shd w:val="clear" w:color="auto" w:fill="F2F2F2" w:themeFill="background1" w:themeFillShade="F2"/>
            <w:vAlign w:val="center"/>
          </w:tcPr>
          <w:p w14:paraId="7B2D6DB6"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17°44’06”</w:t>
            </w:r>
          </w:p>
        </w:tc>
        <w:tc>
          <w:tcPr>
            <w:tcW w:w="2096" w:type="dxa"/>
            <w:shd w:val="clear" w:color="auto" w:fill="F2F2F2" w:themeFill="background1" w:themeFillShade="F2"/>
            <w:vAlign w:val="center"/>
          </w:tcPr>
          <w:p w14:paraId="18D6D3EF"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 xml:space="preserve">2,7–3,1 </w:t>
            </w:r>
            <w:proofErr w:type="spellStart"/>
            <w:r w:rsidRPr="00836553">
              <w:rPr>
                <w:rFonts w:cs="Arial"/>
                <w:sz w:val="20"/>
                <w:szCs w:val="20"/>
              </w:rPr>
              <w:t>GHz</w:t>
            </w:r>
            <w:proofErr w:type="spellEnd"/>
          </w:p>
        </w:tc>
        <w:tc>
          <w:tcPr>
            <w:tcW w:w="2457" w:type="dxa"/>
            <w:shd w:val="clear" w:color="auto" w:fill="F2F2F2" w:themeFill="background1" w:themeFillShade="F2"/>
            <w:vAlign w:val="center"/>
          </w:tcPr>
          <w:p w14:paraId="048D3233"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folyamatos</w:t>
            </w:r>
          </w:p>
        </w:tc>
      </w:tr>
      <w:tr w:rsidR="00FA3B4E" w:rsidRPr="00506A5A" w14:paraId="3F03A2A6" w14:textId="77777777" w:rsidTr="0047628F">
        <w:trPr>
          <w:cantSplit/>
          <w:trHeight w:val="454"/>
        </w:trPr>
        <w:tc>
          <w:tcPr>
            <w:tcW w:w="1529" w:type="dxa"/>
            <w:shd w:val="clear" w:color="auto" w:fill="FFFFFF"/>
            <w:vAlign w:val="center"/>
          </w:tcPr>
          <w:p w14:paraId="12647346" w14:textId="77777777" w:rsidR="00FA3B4E" w:rsidRPr="00836553" w:rsidRDefault="00FA3B4E" w:rsidP="0047628F">
            <w:pPr>
              <w:spacing w:before="280" w:after="280" w:line="280" w:lineRule="exact"/>
              <w:rPr>
                <w:rFonts w:cs="Arial"/>
                <w:sz w:val="20"/>
                <w:szCs w:val="20"/>
              </w:rPr>
            </w:pPr>
            <w:r w:rsidRPr="00836553">
              <w:rPr>
                <w:rFonts w:cs="Arial"/>
                <w:b/>
                <w:sz w:val="20"/>
                <w:szCs w:val="20"/>
              </w:rPr>
              <w:t>Békéscsaba</w:t>
            </w:r>
          </w:p>
        </w:tc>
        <w:tc>
          <w:tcPr>
            <w:tcW w:w="1688" w:type="dxa"/>
            <w:shd w:val="clear" w:color="auto" w:fill="FFFFFF"/>
            <w:vAlign w:val="center"/>
          </w:tcPr>
          <w:p w14:paraId="32A70EC2"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46°41’06”</w:t>
            </w:r>
          </w:p>
        </w:tc>
        <w:tc>
          <w:tcPr>
            <w:tcW w:w="1611" w:type="dxa"/>
            <w:shd w:val="clear" w:color="auto" w:fill="FFFFFF"/>
            <w:vAlign w:val="center"/>
          </w:tcPr>
          <w:p w14:paraId="4DEE0982"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21°00’48”</w:t>
            </w:r>
          </w:p>
        </w:tc>
        <w:tc>
          <w:tcPr>
            <w:tcW w:w="2096" w:type="dxa"/>
            <w:shd w:val="clear" w:color="auto" w:fill="FFFFFF"/>
            <w:vAlign w:val="center"/>
          </w:tcPr>
          <w:p w14:paraId="3FEFA2AF"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 xml:space="preserve">2,7–3,1 </w:t>
            </w:r>
            <w:proofErr w:type="spellStart"/>
            <w:r w:rsidRPr="00836553">
              <w:rPr>
                <w:rFonts w:cs="Arial"/>
                <w:sz w:val="20"/>
                <w:szCs w:val="20"/>
              </w:rPr>
              <w:t>GHz</w:t>
            </w:r>
            <w:proofErr w:type="spellEnd"/>
          </w:p>
        </w:tc>
        <w:tc>
          <w:tcPr>
            <w:tcW w:w="2457" w:type="dxa"/>
            <w:shd w:val="clear" w:color="auto" w:fill="FFFFFF"/>
            <w:vAlign w:val="center"/>
          </w:tcPr>
          <w:p w14:paraId="6740E0F9"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ad hoc, 5 nap/év</w:t>
            </w:r>
          </w:p>
        </w:tc>
      </w:tr>
      <w:tr w:rsidR="00FA3B4E" w:rsidRPr="00506A5A" w14:paraId="5E5D3BF0" w14:textId="77777777" w:rsidTr="0047628F">
        <w:trPr>
          <w:cantSplit/>
          <w:trHeight w:val="454"/>
        </w:trPr>
        <w:tc>
          <w:tcPr>
            <w:tcW w:w="1529" w:type="dxa"/>
            <w:shd w:val="clear" w:color="auto" w:fill="F2F2F2" w:themeFill="background1" w:themeFillShade="F2"/>
            <w:vAlign w:val="center"/>
          </w:tcPr>
          <w:p w14:paraId="09838D41" w14:textId="77777777" w:rsidR="00FA3B4E" w:rsidRPr="00836553" w:rsidRDefault="00FA3B4E" w:rsidP="0047628F">
            <w:pPr>
              <w:spacing w:before="280" w:after="280" w:line="280" w:lineRule="exact"/>
              <w:rPr>
                <w:rFonts w:cs="Arial"/>
                <w:sz w:val="20"/>
                <w:szCs w:val="20"/>
              </w:rPr>
            </w:pPr>
            <w:r w:rsidRPr="00836553">
              <w:rPr>
                <w:rFonts w:cs="Arial"/>
                <w:b/>
                <w:sz w:val="20"/>
                <w:szCs w:val="20"/>
              </w:rPr>
              <w:t>Medina</w:t>
            </w:r>
          </w:p>
        </w:tc>
        <w:tc>
          <w:tcPr>
            <w:tcW w:w="1688" w:type="dxa"/>
            <w:shd w:val="clear" w:color="auto" w:fill="F2F2F2" w:themeFill="background1" w:themeFillShade="F2"/>
            <w:vAlign w:val="center"/>
          </w:tcPr>
          <w:p w14:paraId="16CEAD04"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46°28’15”</w:t>
            </w:r>
          </w:p>
        </w:tc>
        <w:tc>
          <w:tcPr>
            <w:tcW w:w="1611" w:type="dxa"/>
            <w:shd w:val="clear" w:color="auto" w:fill="F2F2F2" w:themeFill="background1" w:themeFillShade="F2"/>
            <w:vAlign w:val="center"/>
          </w:tcPr>
          <w:p w14:paraId="11D020FD"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18°37’11”</w:t>
            </w:r>
          </w:p>
        </w:tc>
        <w:tc>
          <w:tcPr>
            <w:tcW w:w="2096" w:type="dxa"/>
            <w:shd w:val="clear" w:color="auto" w:fill="F2F2F2" w:themeFill="background1" w:themeFillShade="F2"/>
            <w:vAlign w:val="center"/>
          </w:tcPr>
          <w:p w14:paraId="788E35AA"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 xml:space="preserve">2,7–3,1 </w:t>
            </w:r>
            <w:proofErr w:type="spellStart"/>
            <w:r w:rsidRPr="00836553">
              <w:rPr>
                <w:rFonts w:cs="Arial"/>
                <w:sz w:val="20"/>
                <w:szCs w:val="20"/>
              </w:rPr>
              <w:t>GHz</w:t>
            </w:r>
            <w:proofErr w:type="spellEnd"/>
          </w:p>
        </w:tc>
        <w:tc>
          <w:tcPr>
            <w:tcW w:w="2457" w:type="dxa"/>
            <w:shd w:val="clear" w:color="auto" w:fill="F2F2F2" w:themeFill="background1" w:themeFillShade="F2"/>
            <w:vAlign w:val="center"/>
          </w:tcPr>
          <w:p w14:paraId="02ADBDF6"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ad hoc, 5 nap/év</w:t>
            </w:r>
          </w:p>
        </w:tc>
      </w:tr>
      <w:tr w:rsidR="00FA3B4E" w:rsidRPr="00506A5A" w14:paraId="384C78F2" w14:textId="77777777" w:rsidTr="0047628F">
        <w:trPr>
          <w:cantSplit/>
          <w:trHeight w:val="454"/>
        </w:trPr>
        <w:tc>
          <w:tcPr>
            <w:tcW w:w="1529" w:type="dxa"/>
            <w:shd w:val="clear" w:color="auto" w:fill="FFFFFF"/>
            <w:vAlign w:val="center"/>
          </w:tcPr>
          <w:p w14:paraId="39D16186" w14:textId="77777777" w:rsidR="00FA3B4E" w:rsidRPr="00836553" w:rsidRDefault="00FA3B4E" w:rsidP="0047628F">
            <w:pPr>
              <w:spacing w:before="280" w:after="280" w:line="280" w:lineRule="exact"/>
              <w:rPr>
                <w:rFonts w:cs="Arial"/>
                <w:sz w:val="20"/>
                <w:szCs w:val="20"/>
              </w:rPr>
            </w:pPr>
            <w:r w:rsidRPr="00836553">
              <w:rPr>
                <w:rFonts w:cs="Arial"/>
                <w:b/>
                <w:sz w:val="20"/>
                <w:szCs w:val="20"/>
              </w:rPr>
              <w:t>Ferihegy</w:t>
            </w:r>
          </w:p>
        </w:tc>
        <w:tc>
          <w:tcPr>
            <w:tcW w:w="1688" w:type="dxa"/>
            <w:shd w:val="clear" w:color="auto" w:fill="FFFFFF"/>
            <w:vAlign w:val="center"/>
          </w:tcPr>
          <w:p w14:paraId="30971B69"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47°25’05”</w:t>
            </w:r>
          </w:p>
        </w:tc>
        <w:tc>
          <w:tcPr>
            <w:tcW w:w="1611" w:type="dxa"/>
            <w:shd w:val="clear" w:color="auto" w:fill="FFFFFF"/>
            <w:vAlign w:val="center"/>
          </w:tcPr>
          <w:p w14:paraId="30035ACB"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19°18’12”</w:t>
            </w:r>
          </w:p>
        </w:tc>
        <w:tc>
          <w:tcPr>
            <w:tcW w:w="2096" w:type="dxa"/>
            <w:shd w:val="clear" w:color="auto" w:fill="FFFFFF"/>
            <w:vAlign w:val="center"/>
          </w:tcPr>
          <w:p w14:paraId="0BBEFAD0" w14:textId="77777777" w:rsidR="00FA3B4E" w:rsidRPr="00836553" w:rsidRDefault="00FA3B4E" w:rsidP="0047628F">
            <w:pPr>
              <w:spacing w:before="280" w:after="280" w:line="280" w:lineRule="exact"/>
              <w:jc w:val="center"/>
              <w:rPr>
                <w:rFonts w:cs="Arial"/>
                <w:sz w:val="20"/>
                <w:szCs w:val="20"/>
              </w:rPr>
            </w:pPr>
            <w:r w:rsidRPr="00836553">
              <w:rPr>
                <w:rFonts w:cs="Arial"/>
                <w:sz w:val="20"/>
                <w:szCs w:val="20"/>
              </w:rPr>
              <w:t xml:space="preserve">2,7–2,9 </w:t>
            </w:r>
            <w:proofErr w:type="spellStart"/>
            <w:r w:rsidRPr="00836553">
              <w:rPr>
                <w:rFonts w:cs="Arial"/>
                <w:sz w:val="20"/>
                <w:szCs w:val="20"/>
              </w:rPr>
              <w:t>GHz</w:t>
            </w:r>
            <w:proofErr w:type="spellEnd"/>
          </w:p>
        </w:tc>
        <w:tc>
          <w:tcPr>
            <w:tcW w:w="2457" w:type="dxa"/>
            <w:shd w:val="clear" w:color="auto" w:fill="FFFFFF"/>
            <w:vAlign w:val="center"/>
          </w:tcPr>
          <w:p w14:paraId="38A8A19B" w14:textId="77777777" w:rsidR="00FA3B4E" w:rsidRPr="00836553" w:rsidRDefault="00FA3B4E" w:rsidP="00FA3B4E">
            <w:pPr>
              <w:keepNext/>
              <w:spacing w:before="280" w:after="280" w:line="280" w:lineRule="exact"/>
              <w:jc w:val="center"/>
              <w:rPr>
                <w:rFonts w:cs="Arial"/>
                <w:sz w:val="20"/>
                <w:szCs w:val="20"/>
              </w:rPr>
            </w:pPr>
            <w:r w:rsidRPr="00836553">
              <w:rPr>
                <w:rFonts w:cs="Arial"/>
                <w:sz w:val="20"/>
                <w:szCs w:val="20"/>
              </w:rPr>
              <w:t>folyamatos</w:t>
            </w:r>
          </w:p>
        </w:tc>
      </w:tr>
    </w:tbl>
    <w:p w14:paraId="4ECC2781" w14:textId="2D291999" w:rsidR="00FA3B4E" w:rsidRPr="00FA3B4E" w:rsidRDefault="000A2B9F" w:rsidP="00FA3B4E">
      <w:pPr>
        <w:pStyle w:val="Kpalrs"/>
        <w:jc w:val="center"/>
        <w:rPr>
          <w:b w:val="0"/>
          <w:sz w:val="20"/>
          <w:szCs w:val="20"/>
        </w:rPr>
      </w:pPr>
      <w:r>
        <w:rPr>
          <w:sz w:val="20"/>
          <w:szCs w:val="20"/>
        </w:rPr>
        <w:t>6</w:t>
      </w:r>
      <w:r w:rsidR="00FA3B4E" w:rsidRPr="00471A86">
        <w:rPr>
          <w:sz w:val="20"/>
          <w:szCs w:val="20"/>
        </w:rPr>
        <w:t>.</w:t>
      </w:r>
      <w:r w:rsidR="00FA3B4E" w:rsidRPr="00471A86">
        <w:rPr>
          <w:sz w:val="20"/>
          <w:szCs w:val="20"/>
        </w:rPr>
        <w:fldChar w:fldCharType="begin"/>
      </w:r>
      <w:r w:rsidR="00FA3B4E" w:rsidRPr="00471A86">
        <w:rPr>
          <w:sz w:val="20"/>
          <w:szCs w:val="20"/>
        </w:rPr>
        <w:instrText xml:space="preserve"> SEQ Figure \* ARABIC </w:instrText>
      </w:r>
      <w:r w:rsidR="00FA3B4E" w:rsidRPr="00471A86">
        <w:rPr>
          <w:sz w:val="20"/>
          <w:szCs w:val="20"/>
        </w:rPr>
        <w:fldChar w:fldCharType="separate"/>
      </w:r>
      <w:r w:rsidR="00831317" w:rsidRPr="00471A86">
        <w:rPr>
          <w:noProof/>
          <w:sz w:val="20"/>
          <w:szCs w:val="20"/>
        </w:rPr>
        <w:t>1</w:t>
      </w:r>
      <w:r w:rsidR="00FA3B4E" w:rsidRPr="00471A86">
        <w:rPr>
          <w:sz w:val="20"/>
          <w:szCs w:val="20"/>
        </w:rPr>
        <w:fldChar w:fldCharType="end"/>
      </w:r>
      <w:proofErr w:type="gramStart"/>
      <w:r w:rsidR="00FA3B4E" w:rsidRPr="00471A86">
        <w:rPr>
          <w:sz w:val="20"/>
          <w:szCs w:val="20"/>
        </w:rPr>
        <w:t>.a</w:t>
      </w:r>
      <w:proofErr w:type="gramEnd"/>
      <w:r w:rsidR="00FA3B4E" w:rsidRPr="00FA3B4E">
        <w:rPr>
          <w:sz w:val="20"/>
          <w:szCs w:val="20"/>
        </w:rPr>
        <w:t xml:space="preserve"> Táblázat</w:t>
      </w:r>
    </w:p>
    <w:p w14:paraId="0873E2B1" w14:textId="77777777" w:rsidR="00FA3B4E" w:rsidRDefault="00FA3B4E">
      <w:pPr>
        <w:spacing w:after="200"/>
        <w:jc w:val="left"/>
      </w:pPr>
    </w:p>
    <w:p w14:paraId="5579163A" w14:textId="06127839" w:rsidR="00FA3B4E" w:rsidRDefault="00FA3B4E">
      <w:pPr>
        <w:spacing w:after="200"/>
        <w:jc w:val="left"/>
      </w:pPr>
      <w:r w:rsidRPr="00754266">
        <w:rPr>
          <w:rFonts w:cs="Arial"/>
          <w:sz w:val="20"/>
        </w:rPr>
        <w:lastRenderedPageBreak/>
        <w:t>A radarállomások sugárzási paramétereinek (lehetséges mellékhullámú teljesítményszint, frekvenciasáv, ant</w:t>
      </w:r>
      <w:r>
        <w:rPr>
          <w:rFonts w:cs="Arial"/>
          <w:sz w:val="20"/>
        </w:rPr>
        <w:t xml:space="preserve">ennamagasság) értékeit az </w:t>
      </w:r>
      <w:r w:rsidR="000A2B9F">
        <w:rPr>
          <w:rFonts w:cs="Arial"/>
          <w:sz w:val="20"/>
        </w:rPr>
        <w:t>6</w:t>
      </w:r>
      <w:r>
        <w:rPr>
          <w:rFonts w:cs="Arial"/>
          <w:sz w:val="20"/>
        </w:rPr>
        <w:t>.1</w:t>
      </w:r>
      <w:proofErr w:type="gramStart"/>
      <w:r>
        <w:rPr>
          <w:rFonts w:cs="Arial"/>
          <w:sz w:val="20"/>
        </w:rPr>
        <w:t>.b</w:t>
      </w:r>
      <w:proofErr w:type="gramEnd"/>
      <w:r>
        <w:rPr>
          <w:rFonts w:cs="Arial"/>
          <w:sz w:val="20"/>
        </w:rPr>
        <w:t xml:space="preserve"> – </w:t>
      </w:r>
      <w:r w:rsidR="000A2B9F">
        <w:rPr>
          <w:rFonts w:cs="Arial"/>
          <w:sz w:val="20"/>
        </w:rPr>
        <w:t>6</w:t>
      </w:r>
      <w:r w:rsidRPr="00754266">
        <w:rPr>
          <w:rFonts w:cs="Arial"/>
          <w:sz w:val="20"/>
        </w:rPr>
        <w:t>.1.h táblázatok tartalmazzák</w:t>
      </w:r>
    </w:p>
    <w:p w14:paraId="59E76311" w14:textId="6A100955" w:rsidR="00FA3B4E" w:rsidRPr="00506A5A" w:rsidRDefault="00FA3B4E" w:rsidP="00FA3B4E">
      <w:pPr>
        <w:spacing w:before="280" w:line="240" w:lineRule="auto"/>
        <w:rPr>
          <w:rFonts w:cs="Arial"/>
        </w:rPr>
      </w:pPr>
    </w:p>
    <w:tbl>
      <w:tblPr>
        <w:tblW w:w="5000" w:type="pct"/>
        <w:tblInd w:w="-210" w:type="dxa"/>
        <w:tblBorders>
          <w:top w:val="single" w:sz="4" w:space="0" w:color="454B53"/>
          <w:left w:val="single" w:sz="4" w:space="0" w:color="454B53"/>
          <w:bottom w:val="single" w:sz="4" w:space="0" w:color="454B53"/>
          <w:right w:val="single" w:sz="4" w:space="0" w:color="454B53"/>
          <w:insideH w:val="single" w:sz="4" w:space="0" w:color="454B53"/>
          <w:insideV w:val="single" w:sz="4" w:space="0" w:color="454B53"/>
        </w:tblBorders>
        <w:tblLayout w:type="fixed"/>
        <w:tblCellMar>
          <w:left w:w="117" w:type="dxa"/>
        </w:tblCellMar>
        <w:tblLook w:val="0000" w:firstRow="0" w:lastRow="0" w:firstColumn="0" w:lastColumn="0" w:noHBand="0" w:noVBand="0"/>
      </w:tblPr>
      <w:tblGrid>
        <w:gridCol w:w="2775"/>
        <w:gridCol w:w="2940"/>
        <w:gridCol w:w="3337"/>
      </w:tblGrid>
      <w:tr w:rsidR="00FA3B4E" w:rsidRPr="000A2B9F" w14:paraId="50CE67E7" w14:textId="77777777" w:rsidTr="00891608">
        <w:trPr>
          <w:trHeight w:val="680"/>
        </w:trPr>
        <w:tc>
          <w:tcPr>
            <w:tcW w:w="27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1CD078D1" w14:textId="77777777" w:rsidR="00FA3B4E" w:rsidRPr="000A2B9F" w:rsidRDefault="00FA3B4E" w:rsidP="0047628F">
            <w:pPr>
              <w:spacing w:before="280" w:after="280" w:line="280" w:lineRule="exact"/>
              <w:jc w:val="center"/>
              <w:rPr>
                <w:rFonts w:cs="Arial"/>
                <w:b/>
                <w:sz w:val="20"/>
              </w:rPr>
            </w:pPr>
            <w:r w:rsidRPr="000A2B9F">
              <w:rPr>
                <w:rFonts w:cs="Arial"/>
                <w:b/>
                <w:sz w:val="20"/>
              </w:rPr>
              <w:t>Sugárforrás</w:t>
            </w:r>
          </w:p>
        </w:tc>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04B7A426" w14:textId="77777777" w:rsidR="00FA3B4E" w:rsidRPr="000A2B9F" w:rsidRDefault="00FA3B4E" w:rsidP="0047628F">
            <w:pPr>
              <w:spacing w:before="280" w:after="280" w:line="280" w:lineRule="exact"/>
              <w:jc w:val="center"/>
              <w:rPr>
                <w:rFonts w:cs="Arial"/>
                <w:b/>
                <w:sz w:val="20"/>
              </w:rPr>
            </w:pPr>
            <w:r w:rsidRPr="000A2B9F">
              <w:rPr>
                <w:rFonts w:cs="Arial"/>
                <w:b/>
                <w:sz w:val="20"/>
              </w:rPr>
              <w:t>Frekvenciasáv</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1420FE74" w14:textId="77777777" w:rsidR="00FA3B4E" w:rsidRPr="000A2B9F" w:rsidRDefault="00FA3B4E" w:rsidP="0047628F">
            <w:pPr>
              <w:spacing w:before="280" w:after="280" w:line="280" w:lineRule="exact"/>
              <w:jc w:val="center"/>
              <w:rPr>
                <w:rFonts w:cs="Arial"/>
                <w:b/>
                <w:sz w:val="20"/>
              </w:rPr>
            </w:pPr>
            <w:r w:rsidRPr="000A2B9F">
              <w:rPr>
                <w:rFonts w:cs="Arial"/>
                <w:b/>
                <w:sz w:val="20"/>
              </w:rPr>
              <w:t>Maximum EIRP (Impulzus csúcsteljesítmény)</w:t>
            </w:r>
          </w:p>
        </w:tc>
      </w:tr>
      <w:tr w:rsidR="00FA3B4E" w:rsidRPr="00506A5A" w14:paraId="7173A534" w14:textId="77777777" w:rsidTr="00891608">
        <w:trPr>
          <w:trHeight w:val="454"/>
        </w:trPr>
        <w:tc>
          <w:tcPr>
            <w:tcW w:w="2778" w:type="dxa"/>
            <w:vMerge w:val="restart"/>
            <w:tcBorders>
              <w:top w:val="single" w:sz="8" w:space="0" w:color="000000" w:themeColor="text1"/>
            </w:tcBorders>
            <w:shd w:val="clear" w:color="auto" w:fill="F2F2F2" w:themeFill="background1" w:themeFillShade="F2"/>
            <w:vAlign w:val="center"/>
          </w:tcPr>
          <w:p w14:paraId="1974F8DD" w14:textId="77777777" w:rsidR="00FA3B4E" w:rsidRPr="002700FA" w:rsidRDefault="00FA3B4E" w:rsidP="0047628F">
            <w:pPr>
              <w:spacing w:before="280" w:after="280" w:line="280" w:lineRule="exact"/>
              <w:rPr>
                <w:rFonts w:cs="Arial"/>
                <w:sz w:val="20"/>
                <w:szCs w:val="20"/>
              </w:rPr>
            </w:pPr>
            <w:r w:rsidRPr="002700FA">
              <w:rPr>
                <w:rFonts w:cs="Arial"/>
                <w:b/>
                <w:sz w:val="20"/>
                <w:szCs w:val="20"/>
              </w:rPr>
              <w:t>Kecskemét</w:t>
            </w:r>
            <w:r w:rsidRPr="002700FA">
              <w:rPr>
                <w:rFonts w:cs="Arial"/>
                <w:sz w:val="20"/>
                <w:szCs w:val="20"/>
              </w:rPr>
              <w:br/>
              <w:t>antennamagasság: 20 m</w:t>
            </w:r>
          </w:p>
        </w:tc>
        <w:tc>
          <w:tcPr>
            <w:tcW w:w="2943" w:type="dxa"/>
            <w:tcBorders>
              <w:top w:val="single" w:sz="8" w:space="0" w:color="000000" w:themeColor="text1"/>
            </w:tcBorders>
            <w:shd w:val="clear" w:color="auto" w:fill="FFFFFF"/>
            <w:vAlign w:val="center"/>
          </w:tcPr>
          <w:p w14:paraId="377BF800" w14:textId="77777777" w:rsidR="00FA3B4E" w:rsidRPr="002700FA" w:rsidRDefault="00FA3B4E" w:rsidP="0047628F">
            <w:pPr>
              <w:spacing w:before="280" w:after="280" w:line="280" w:lineRule="exact"/>
              <w:rPr>
                <w:rFonts w:cs="Arial"/>
                <w:sz w:val="20"/>
                <w:szCs w:val="20"/>
              </w:rPr>
            </w:pPr>
            <w:r w:rsidRPr="002700FA">
              <w:rPr>
                <w:rFonts w:cs="Arial"/>
                <w:sz w:val="20"/>
                <w:szCs w:val="20"/>
              </w:rPr>
              <w:t>2500–2610 MHz</w:t>
            </w:r>
          </w:p>
        </w:tc>
        <w:tc>
          <w:tcPr>
            <w:tcW w:w="3341" w:type="dxa"/>
            <w:tcBorders>
              <w:top w:val="single" w:sz="8" w:space="0" w:color="000000" w:themeColor="text1"/>
            </w:tcBorders>
            <w:shd w:val="clear" w:color="auto" w:fill="FFFFFF"/>
            <w:vAlign w:val="center"/>
          </w:tcPr>
          <w:p w14:paraId="29E5D6F1" w14:textId="77777777" w:rsidR="00FA3B4E" w:rsidRPr="002700FA" w:rsidRDefault="00FA3B4E" w:rsidP="0047628F">
            <w:pPr>
              <w:spacing w:before="280" w:after="280" w:line="280" w:lineRule="exact"/>
              <w:rPr>
                <w:rFonts w:cs="Arial"/>
                <w:sz w:val="20"/>
                <w:szCs w:val="20"/>
              </w:rPr>
            </w:pPr>
            <w:r w:rsidRPr="002700FA">
              <w:rPr>
                <w:rFonts w:cs="Arial"/>
                <w:sz w:val="20"/>
                <w:szCs w:val="20"/>
              </w:rPr>
              <w:t>nincs</w:t>
            </w:r>
          </w:p>
        </w:tc>
      </w:tr>
      <w:tr w:rsidR="00FA3B4E" w:rsidRPr="00506A5A" w14:paraId="51209D49" w14:textId="77777777" w:rsidTr="00FA3B4E">
        <w:trPr>
          <w:trHeight w:val="454"/>
        </w:trPr>
        <w:tc>
          <w:tcPr>
            <w:tcW w:w="2778" w:type="dxa"/>
            <w:vMerge/>
            <w:shd w:val="clear" w:color="auto" w:fill="F2F2F2" w:themeFill="background1" w:themeFillShade="F2"/>
            <w:vAlign w:val="center"/>
          </w:tcPr>
          <w:p w14:paraId="7C95AAEE" w14:textId="77777777" w:rsidR="00FA3B4E" w:rsidRPr="002700FA" w:rsidRDefault="00FA3B4E" w:rsidP="0047628F">
            <w:pPr>
              <w:snapToGrid w:val="0"/>
              <w:spacing w:before="280" w:after="280" w:line="280" w:lineRule="exact"/>
              <w:rPr>
                <w:rFonts w:cs="Arial"/>
                <w:sz w:val="20"/>
                <w:szCs w:val="20"/>
              </w:rPr>
            </w:pPr>
          </w:p>
        </w:tc>
        <w:tc>
          <w:tcPr>
            <w:tcW w:w="2943" w:type="dxa"/>
            <w:shd w:val="clear" w:color="auto" w:fill="FFFFFF"/>
            <w:vAlign w:val="center"/>
          </w:tcPr>
          <w:p w14:paraId="14CB7429" w14:textId="77777777" w:rsidR="00FA3B4E" w:rsidRPr="002700FA" w:rsidRDefault="00FA3B4E" w:rsidP="0047628F">
            <w:pPr>
              <w:spacing w:before="280" w:after="280" w:line="280" w:lineRule="exact"/>
              <w:rPr>
                <w:rFonts w:cs="Arial"/>
                <w:sz w:val="20"/>
                <w:szCs w:val="20"/>
              </w:rPr>
            </w:pPr>
            <w:r w:rsidRPr="002700FA">
              <w:rPr>
                <w:rFonts w:cs="Arial"/>
                <w:sz w:val="20"/>
                <w:szCs w:val="20"/>
              </w:rPr>
              <w:t>2610–2660 MHz</w:t>
            </w:r>
          </w:p>
        </w:tc>
        <w:tc>
          <w:tcPr>
            <w:tcW w:w="3341" w:type="dxa"/>
            <w:shd w:val="clear" w:color="auto" w:fill="FFFFFF"/>
            <w:vAlign w:val="center"/>
          </w:tcPr>
          <w:p w14:paraId="5C33FA92" w14:textId="77777777" w:rsidR="00FA3B4E" w:rsidRPr="002700FA" w:rsidRDefault="00FA3B4E" w:rsidP="0047628F">
            <w:pPr>
              <w:spacing w:before="280" w:after="280" w:line="280" w:lineRule="exact"/>
              <w:rPr>
                <w:rFonts w:cs="Arial"/>
                <w:sz w:val="20"/>
                <w:szCs w:val="20"/>
              </w:rPr>
            </w:pPr>
            <w:r w:rsidRPr="002700FA">
              <w:rPr>
                <w:rFonts w:cs="Arial"/>
                <w:sz w:val="20"/>
                <w:szCs w:val="20"/>
              </w:rPr>
              <w:t xml:space="preserve">20–50 </w:t>
            </w:r>
            <w:proofErr w:type="spellStart"/>
            <w:r w:rsidRPr="002700FA">
              <w:rPr>
                <w:rFonts w:cs="Arial"/>
                <w:sz w:val="20"/>
                <w:szCs w:val="20"/>
              </w:rPr>
              <w:t>dBm</w:t>
            </w:r>
            <w:proofErr w:type="spellEnd"/>
            <w:r w:rsidRPr="002700FA">
              <w:rPr>
                <w:rFonts w:cs="Arial"/>
                <w:sz w:val="20"/>
                <w:szCs w:val="20"/>
              </w:rPr>
              <w:t>/MHz</w:t>
            </w:r>
          </w:p>
        </w:tc>
      </w:tr>
      <w:tr w:rsidR="00FA3B4E" w:rsidRPr="00506A5A" w14:paraId="44CE1733" w14:textId="77777777" w:rsidTr="00FA3B4E">
        <w:trPr>
          <w:trHeight w:val="454"/>
        </w:trPr>
        <w:tc>
          <w:tcPr>
            <w:tcW w:w="2778" w:type="dxa"/>
            <w:vMerge/>
            <w:shd w:val="clear" w:color="auto" w:fill="F2F2F2" w:themeFill="background1" w:themeFillShade="F2"/>
            <w:vAlign w:val="center"/>
          </w:tcPr>
          <w:p w14:paraId="6B3EE916" w14:textId="77777777" w:rsidR="00FA3B4E" w:rsidRPr="002700FA" w:rsidRDefault="00FA3B4E" w:rsidP="0047628F">
            <w:pPr>
              <w:snapToGrid w:val="0"/>
              <w:spacing w:before="280" w:after="280" w:line="280" w:lineRule="exact"/>
              <w:rPr>
                <w:rFonts w:cs="Arial"/>
                <w:sz w:val="20"/>
                <w:szCs w:val="20"/>
              </w:rPr>
            </w:pPr>
          </w:p>
        </w:tc>
        <w:tc>
          <w:tcPr>
            <w:tcW w:w="2943" w:type="dxa"/>
            <w:shd w:val="clear" w:color="auto" w:fill="FFFFFF"/>
            <w:vAlign w:val="center"/>
          </w:tcPr>
          <w:p w14:paraId="6780DC96" w14:textId="77777777" w:rsidR="00FA3B4E" w:rsidRPr="002700FA" w:rsidRDefault="00FA3B4E" w:rsidP="0047628F">
            <w:pPr>
              <w:spacing w:before="280" w:after="280" w:line="280" w:lineRule="exact"/>
              <w:rPr>
                <w:rFonts w:cs="Arial"/>
                <w:sz w:val="20"/>
                <w:szCs w:val="20"/>
              </w:rPr>
            </w:pPr>
            <w:r w:rsidRPr="002700FA">
              <w:rPr>
                <w:rFonts w:cs="Arial"/>
                <w:sz w:val="20"/>
                <w:szCs w:val="20"/>
              </w:rPr>
              <w:t>2660–2690 MHz</w:t>
            </w:r>
          </w:p>
        </w:tc>
        <w:tc>
          <w:tcPr>
            <w:tcW w:w="3341" w:type="dxa"/>
            <w:shd w:val="clear" w:color="auto" w:fill="FFFFFF"/>
            <w:vAlign w:val="center"/>
          </w:tcPr>
          <w:p w14:paraId="559B6066" w14:textId="77777777" w:rsidR="00FA3B4E" w:rsidRPr="002700FA" w:rsidRDefault="00FA3B4E" w:rsidP="00FA3B4E">
            <w:pPr>
              <w:keepNext/>
              <w:spacing w:before="280" w:after="280" w:line="280" w:lineRule="exact"/>
              <w:rPr>
                <w:rFonts w:cs="Arial"/>
                <w:sz w:val="20"/>
                <w:szCs w:val="20"/>
              </w:rPr>
            </w:pPr>
            <w:r w:rsidRPr="002700FA">
              <w:rPr>
                <w:rFonts w:cs="Arial"/>
                <w:sz w:val="20"/>
                <w:szCs w:val="20"/>
              </w:rPr>
              <w:t xml:space="preserve">50 </w:t>
            </w:r>
            <w:proofErr w:type="spellStart"/>
            <w:r w:rsidRPr="002700FA">
              <w:rPr>
                <w:rFonts w:cs="Arial"/>
                <w:sz w:val="20"/>
                <w:szCs w:val="20"/>
              </w:rPr>
              <w:t>dBm</w:t>
            </w:r>
            <w:proofErr w:type="spellEnd"/>
            <w:r w:rsidRPr="002700FA">
              <w:rPr>
                <w:rFonts w:cs="Arial"/>
                <w:sz w:val="20"/>
                <w:szCs w:val="20"/>
              </w:rPr>
              <w:t>/MHz</w:t>
            </w:r>
          </w:p>
        </w:tc>
      </w:tr>
    </w:tbl>
    <w:p w14:paraId="5C4EF322" w14:textId="2643EF96" w:rsidR="00FA3B4E" w:rsidRPr="00FA3B4E" w:rsidRDefault="000A2B9F" w:rsidP="00FA3B4E">
      <w:pPr>
        <w:pStyle w:val="Kpalrs"/>
        <w:jc w:val="center"/>
        <w:rPr>
          <w:b w:val="0"/>
          <w:sz w:val="20"/>
          <w:szCs w:val="20"/>
        </w:rPr>
      </w:pPr>
      <w:r>
        <w:rPr>
          <w:sz w:val="20"/>
          <w:szCs w:val="20"/>
        </w:rPr>
        <w:t>6</w:t>
      </w:r>
      <w:r w:rsidR="00FA3B4E" w:rsidRPr="00471A86">
        <w:rPr>
          <w:sz w:val="20"/>
          <w:szCs w:val="20"/>
        </w:rPr>
        <w:t>.1</w:t>
      </w:r>
      <w:proofErr w:type="gramStart"/>
      <w:r w:rsidR="00FA3B4E" w:rsidRPr="00471A86">
        <w:rPr>
          <w:sz w:val="20"/>
          <w:szCs w:val="20"/>
        </w:rPr>
        <w:t>.b</w:t>
      </w:r>
      <w:proofErr w:type="gramEnd"/>
      <w:r w:rsidR="00FA3B4E" w:rsidRPr="00FA3B4E">
        <w:rPr>
          <w:sz w:val="20"/>
          <w:szCs w:val="20"/>
        </w:rPr>
        <w:t xml:space="preserve"> Táblázat</w:t>
      </w:r>
    </w:p>
    <w:p w14:paraId="315CD9D1" w14:textId="6A7CE78B" w:rsidR="00FA3B4E" w:rsidRPr="00506A5A" w:rsidRDefault="00FA3B4E" w:rsidP="00FA3B4E">
      <w:pPr>
        <w:spacing w:before="280" w:line="240" w:lineRule="auto"/>
        <w:rPr>
          <w:rFonts w:cs="Arial"/>
        </w:rPr>
      </w:pPr>
    </w:p>
    <w:tbl>
      <w:tblPr>
        <w:tblW w:w="5000" w:type="pct"/>
        <w:tblInd w:w="-210" w:type="dxa"/>
        <w:tblBorders>
          <w:top w:val="single" w:sz="4" w:space="0" w:color="454B53"/>
          <w:left w:val="single" w:sz="4" w:space="0" w:color="454B53"/>
          <w:bottom w:val="single" w:sz="4" w:space="0" w:color="454B53"/>
          <w:right w:val="single" w:sz="4" w:space="0" w:color="454B53"/>
          <w:insideH w:val="single" w:sz="4" w:space="0" w:color="454B53"/>
          <w:insideV w:val="single" w:sz="4" w:space="0" w:color="454B53"/>
        </w:tblBorders>
        <w:tblLayout w:type="fixed"/>
        <w:tblCellMar>
          <w:left w:w="117" w:type="dxa"/>
        </w:tblCellMar>
        <w:tblLook w:val="0000" w:firstRow="0" w:lastRow="0" w:firstColumn="0" w:lastColumn="0" w:noHBand="0" w:noVBand="0"/>
      </w:tblPr>
      <w:tblGrid>
        <w:gridCol w:w="2775"/>
        <w:gridCol w:w="2940"/>
        <w:gridCol w:w="3337"/>
      </w:tblGrid>
      <w:tr w:rsidR="00FA3B4E" w:rsidRPr="00506A5A" w14:paraId="1B1BA2A8" w14:textId="77777777" w:rsidTr="000A2B9F">
        <w:trPr>
          <w:trHeight w:val="680"/>
        </w:trPr>
        <w:tc>
          <w:tcPr>
            <w:tcW w:w="27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521CFC0B" w14:textId="77777777" w:rsidR="00FA3B4E" w:rsidRPr="000A2B9F" w:rsidRDefault="00FA3B4E" w:rsidP="0047628F">
            <w:pPr>
              <w:spacing w:before="280" w:after="280" w:line="280" w:lineRule="exact"/>
              <w:jc w:val="center"/>
              <w:rPr>
                <w:rFonts w:cs="Arial"/>
              </w:rPr>
            </w:pPr>
            <w:r w:rsidRPr="000A2B9F">
              <w:rPr>
                <w:rFonts w:cs="Arial"/>
                <w:b/>
                <w:sz w:val="20"/>
              </w:rPr>
              <w:t>Sugárforrás</w:t>
            </w:r>
          </w:p>
        </w:tc>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3CFE1906" w14:textId="77777777" w:rsidR="00FA3B4E" w:rsidRPr="000A2B9F" w:rsidRDefault="00FA3B4E" w:rsidP="0047628F">
            <w:pPr>
              <w:spacing w:before="280" w:after="280" w:line="280" w:lineRule="exact"/>
              <w:jc w:val="center"/>
              <w:rPr>
                <w:rFonts w:cs="Arial"/>
              </w:rPr>
            </w:pPr>
            <w:r w:rsidRPr="000A2B9F">
              <w:rPr>
                <w:rFonts w:cs="Arial"/>
                <w:b/>
                <w:sz w:val="20"/>
              </w:rPr>
              <w:t>Frekvenciasáv</w:t>
            </w:r>
          </w:p>
        </w:tc>
        <w:tc>
          <w:tcPr>
            <w:tcW w:w="33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7B12CBA6" w14:textId="77777777" w:rsidR="00FA3B4E" w:rsidRPr="000A2B9F" w:rsidRDefault="00FA3B4E" w:rsidP="0047628F">
            <w:pPr>
              <w:spacing w:before="280" w:after="280" w:line="280" w:lineRule="exact"/>
              <w:jc w:val="center"/>
              <w:rPr>
                <w:rFonts w:cs="Arial"/>
              </w:rPr>
            </w:pPr>
            <w:r w:rsidRPr="000A2B9F">
              <w:rPr>
                <w:rFonts w:cs="Arial"/>
                <w:b/>
                <w:sz w:val="20"/>
              </w:rPr>
              <w:t>Maximum EIRP (Impulzus csúcsteljesítmény)</w:t>
            </w:r>
          </w:p>
        </w:tc>
      </w:tr>
      <w:tr w:rsidR="00FA3B4E" w:rsidRPr="00506A5A" w14:paraId="59FE7B88" w14:textId="77777777" w:rsidTr="000A2B9F">
        <w:trPr>
          <w:trHeight w:val="454"/>
        </w:trPr>
        <w:tc>
          <w:tcPr>
            <w:tcW w:w="2778" w:type="dxa"/>
            <w:vMerge w:val="restart"/>
            <w:tcBorders>
              <w:top w:val="single" w:sz="8" w:space="0" w:color="000000" w:themeColor="text1"/>
            </w:tcBorders>
            <w:shd w:val="clear" w:color="auto" w:fill="F2F2F2" w:themeFill="background1" w:themeFillShade="F2"/>
            <w:vAlign w:val="center"/>
          </w:tcPr>
          <w:p w14:paraId="0E3BCA8C" w14:textId="77777777" w:rsidR="00FA3B4E" w:rsidRPr="00872525" w:rsidRDefault="00FA3B4E" w:rsidP="0047628F">
            <w:pPr>
              <w:spacing w:before="280" w:after="280" w:line="280" w:lineRule="exact"/>
              <w:rPr>
                <w:rFonts w:cs="Arial"/>
                <w:sz w:val="20"/>
                <w:szCs w:val="20"/>
              </w:rPr>
            </w:pPr>
            <w:r w:rsidRPr="00872525">
              <w:rPr>
                <w:rFonts w:cs="Arial"/>
                <w:b/>
                <w:sz w:val="20"/>
                <w:szCs w:val="20"/>
              </w:rPr>
              <w:t>Pápa</w:t>
            </w:r>
            <w:r w:rsidRPr="00872525">
              <w:rPr>
                <w:rFonts w:cs="Arial"/>
                <w:sz w:val="20"/>
                <w:szCs w:val="20"/>
              </w:rPr>
              <w:br/>
              <w:t>antennamagasság: 20 m</w:t>
            </w:r>
          </w:p>
        </w:tc>
        <w:tc>
          <w:tcPr>
            <w:tcW w:w="2943" w:type="dxa"/>
            <w:tcBorders>
              <w:top w:val="single" w:sz="8" w:space="0" w:color="000000" w:themeColor="text1"/>
            </w:tcBorders>
            <w:shd w:val="clear" w:color="auto" w:fill="FFFFFF"/>
            <w:vAlign w:val="center"/>
          </w:tcPr>
          <w:p w14:paraId="26D60339" w14:textId="77777777" w:rsidR="00FA3B4E" w:rsidRPr="00872525" w:rsidRDefault="00FA3B4E" w:rsidP="0047628F">
            <w:pPr>
              <w:spacing w:before="280" w:after="280" w:line="280" w:lineRule="exact"/>
              <w:rPr>
                <w:rFonts w:cs="Arial"/>
                <w:sz w:val="20"/>
                <w:szCs w:val="20"/>
              </w:rPr>
            </w:pPr>
            <w:r w:rsidRPr="00872525">
              <w:rPr>
                <w:rFonts w:cs="Arial"/>
                <w:sz w:val="20"/>
                <w:szCs w:val="20"/>
              </w:rPr>
              <w:t>2500– 2640 MHz</w:t>
            </w:r>
          </w:p>
        </w:tc>
        <w:tc>
          <w:tcPr>
            <w:tcW w:w="3341" w:type="dxa"/>
            <w:tcBorders>
              <w:top w:val="single" w:sz="8" w:space="0" w:color="000000" w:themeColor="text1"/>
            </w:tcBorders>
            <w:shd w:val="clear" w:color="auto" w:fill="FFFFFF"/>
            <w:vAlign w:val="center"/>
          </w:tcPr>
          <w:p w14:paraId="7B467B8B" w14:textId="77777777" w:rsidR="00FA3B4E" w:rsidRPr="00872525" w:rsidRDefault="00FA3B4E" w:rsidP="0047628F">
            <w:pPr>
              <w:spacing w:before="280" w:after="280" w:line="280" w:lineRule="exact"/>
              <w:rPr>
                <w:rFonts w:cs="Arial"/>
                <w:sz w:val="20"/>
                <w:szCs w:val="20"/>
              </w:rPr>
            </w:pPr>
            <w:r w:rsidRPr="00872525">
              <w:rPr>
                <w:rFonts w:cs="Arial"/>
                <w:sz w:val="20"/>
                <w:szCs w:val="20"/>
              </w:rPr>
              <w:t>nincs</w:t>
            </w:r>
          </w:p>
        </w:tc>
      </w:tr>
      <w:tr w:rsidR="00FA3B4E" w:rsidRPr="00506A5A" w14:paraId="4C17C605" w14:textId="77777777" w:rsidTr="00FA3B4E">
        <w:trPr>
          <w:trHeight w:val="454"/>
        </w:trPr>
        <w:tc>
          <w:tcPr>
            <w:tcW w:w="2778" w:type="dxa"/>
            <w:vMerge/>
            <w:shd w:val="clear" w:color="auto" w:fill="F2F2F2" w:themeFill="background1" w:themeFillShade="F2"/>
            <w:vAlign w:val="center"/>
          </w:tcPr>
          <w:p w14:paraId="12D5E9F3" w14:textId="77777777" w:rsidR="00FA3B4E" w:rsidRPr="00872525" w:rsidRDefault="00FA3B4E" w:rsidP="0047628F">
            <w:pPr>
              <w:snapToGrid w:val="0"/>
              <w:spacing w:before="280" w:after="280" w:line="280" w:lineRule="exact"/>
              <w:rPr>
                <w:rFonts w:cs="Arial"/>
                <w:sz w:val="20"/>
                <w:szCs w:val="20"/>
              </w:rPr>
            </w:pPr>
          </w:p>
        </w:tc>
        <w:tc>
          <w:tcPr>
            <w:tcW w:w="2943" w:type="dxa"/>
            <w:shd w:val="clear" w:color="auto" w:fill="FFFFFF"/>
            <w:vAlign w:val="center"/>
          </w:tcPr>
          <w:p w14:paraId="337CC514" w14:textId="77777777" w:rsidR="00FA3B4E" w:rsidRPr="00872525" w:rsidRDefault="00FA3B4E" w:rsidP="0047628F">
            <w:pPr>
              <w:spacing w:before="280" w:after="280" w:line="280" w:lineRule="exact"/>
              <w:rPr>
                <w:rFonts w:cs="Arial"/>
                <w:sz w:val="20"/>
                <w:szCs w:val="20"/>
              </w:rPr>
            </w:pPr>
            <w:r w:rsidRPr="00872525">
              <w:rPr>
                <w:rFonts w:cs="Arial"/>
                <w:sz w:val="20"/>
                <w:szCs w:val="20"/>
              </w:rPr>
              <w:t>2640–2660 MHz</w:t>
            </w:r>
          </w:p>
        </w:tc>
        <w:tc>
          <w:tcPr>
            <w:tcW w:w="3341" w:type="dxa"/>
            <w:shd w:val="clear" w:color="auto" w:fill="FFFFFF"/>
            <w:vAlign w:val="center"/>
          </w:tcPr>
          <w:p w14:paraId="54A153C6" w14:textId="77777777" w:rsidR="00FA3B4E" w:rsidRPr="00872525" w:rsidRDefault="00FA3B4E" w:rsidP="0047628F">
            <w:pPr>
              <w:spacing w:before="280" w:after="280" w:line="280" w:lineRule="exact"/>
              <w:rPr>
                <w:rFonts w:cs="Arial"/>
                <w:sz w:val="20"/>
                <w:szCs w:val="20"/>
              </w:rPr>
            </w:pPr>
            <w:r w:rsidRPr="00872525">
              <w:rPr>
                <w:rFonts w:cs="Arial"/>
                <w:sz w:val="20"/>
                <w:szCs w:val="20"/>
              </w:rPr>
              <w:t xml:space="preserve">20–30 </w:t>
            </w:r>
            <w:proofErr w:type="spellStart"/>
            <w:r w:rsidRPr="00872525">
              <w:rPr>
                <w:rFonts w:cs="Arial"/>
                <w:sz w:val="20"/>
                <w:szCs w:val="20"/>
              </w:rPr>
              <w:t>dBm</w:t>
            </w:r>
            <w:proofErr w:type="spellEnd"/>
            <w:r w:rsidRPr="00872525">
              <w:rPr>
                <w:rFonts w:cs="Arial"/>
                <w:sz w:val="20"/>
                <w:szCs w:val="20"/>
              </w:rPr>
              <w:t>/MHz</w:t>
            </w:r>
          </w:p>
        </w:tc>
      </w:tr>
      <w:tr w:rsidR="00FA3B4E" w:rsidRPr="00506A5A" w14:paraId="730721F4" w14:textId="77777777" w:rsidTr="00FA3B4E">
        <w:trPr>
          <w:trHeight w:val="454"/>
        </w:trPr>
        <w:tc>
          <w:tcPr>
            <w:tcW w:w="2778" w:type="dxa"/>
            <w:vMerge/>
            <w:shd w:val="clear" w:color="auto" w:fill="F2F2F2" w:themeFill="background1" w:themeFillShade="F2"/>
            <w:vAlign w:val="center"/>
          </w:tcPr>
          <w:p w14:paraId="471487A8" w14:textId="77777777" w:rsidR="00FA3B4E" w:rsidRPr="00872525" w:rsidRDefault="00FA3B4E" w:rsidP="0047628F">
            <w:pPr>
              <w:snapToGrid w:val="0"/>
              <w:spacing w:before="280" w:after="280" w:line="280" w:lineRule="exact"/>
              <w:rPr>
                <w:rFonts w:cs="Arial"/>
                <w:sz w:val="20"/>
                <w:szCs w:val="20"/>
              </w:rPr>
            </w:pPr>
          </w:p>
        </w:tc>
        <w:tc>
          <w:tcPr>
            <w:tcW w:w="2943" w:type="dxa"/>
            <w:shd w:val="clear" w:color="auto" w:fill="FFFFFF"/>
            <w:vAlign w:val="center"/>
          </w:tcPr>
          <w:p w14:paraId="79A509B3" w14:textId="77777777" w:rsidR="00FA3B4E" w:rsidRPr="00872525" w:rsidRDefault="00FA3B4E" w:rsidP="0047628F">
            <w:pPr>
              <w:spacing w:before="280" w:after="280" w:line="280" w:lineRule="exact"/>
              <w:rPr>
                <w:rFonts w:cs="Arial"/>
                <w:sz w:val="20"/>
                <w:szCs w:val="20"/>
              </w:rPr>
            </w:pPr>
            <w:r w:rsidRPr="00872525">
              <w:rPr>
                <w:rFonts w:cs="Arial"/>
                <w:sz w:val="20"/>
                <w:szCs w:val="20"/>
              </w:rPr>
              <w:t>2660–2690 MHz</w:t>
            </w:r>
          </w:p>
        </w:tc>
        <w:tc>
          <w:tcPr>
            <w:tcW w:w="3341" w:type="dxa"/>
            <w:shd w:val="clear" w:color="auto" w:fill="FFFFFF"/>
            <w:vAlign w:val="center"/>
          </w:tcPr>
          <w:p w14:paraId="4B7217C8" w14:textId="77777777" w:rsidR="00FA3B4E" w:rsidRPr="00872525" w:rsidRDefault="00FA3B4E" w:rsidP="00FA3B4E">
            <w:pPr>
              <w:keepNext/>
              <w:spacing w:before="280" w:after="280" w:line="280" w:lineRule="exact"/>
              <w:rPr>
                <w:rFonts w:cs="Arial"/>
                <w:sz w:val="20"/>
                <w:szCs w:val="20"/>
              </w:rPr>
            </w:pPr>
            <w:r w:rsidRPr="00872525">
              <w:rPr>
                <w:rFonts w:cs="Arial"/>
                <w:sz w:val="20"/>
                <w:szCs w:val="20"/>
              </w:rPr>
              <w:t xml:space="preserve">30 </w:t>
            </w:r>
            <w:proofErr w:type="spellStart"/>
            <w:r w:rsidRPr="00872525">
              <w:rPr>
                <w:rFonts w:cs="Arial"/>
                <w:sz w:val="20"/>
                <w:szCs w:val="20"/>
              </w:rPr>
              <w:t>dBm</w:t>
            </w:r>
            <w:proofErr w:type="spellEnd"/>
            <w:r w:rsidRPr="00872525">
              <w:rPr>
                <w:rFonts w:cs="Arial"/>
                <w:sz w:val="20"/>
                <w:szCs w:val="20"/>
              </w:rPr>
              <w:t>/MHz</w:t>
            </w:r>
          </w:p>
        </w:tc>
      </w:tr>
    </w:tbl>
    <w:p w14:paraId="415328DA" w14:textId="16B621EE" w:rsidR="00FA3B4E" w:rsidRPr="00FA3B4E" w:rsidRDefault="000A2B9F" w:rsidP="00FA3B4E">
      <w:pPr>
        <w:pStyle w:val="Kpalrs"/>
        <w:jc w:val="center"/>
        <w:rPr>
          <w:b w:val="0"/>
          <w:sz w:val="20"/>
          <w:szCs w:val="20"/>
        </w:rPr>
      </w:pPr>
      <w:r>
        <w:rPr>
          <w:sz w:val="20"/>
          <w:szCs w:val="20"/>
        </w:rPr>
        <w:t>6</w:t>
      </w:r>
      <w:r w:rsidR="00FA3B4E" w:rsidRPr="00471A86">
        <w:rPr>
          <w:sz w:val="20"/>
          <w:szCs w:val="20"/>
        </w:rPr>
        <w:t>.1</w:t>
      </w:r>
      <w:proofErr w:type="gramStart"/>
      <w:r w:rsidR="00FA3B4E" w:rsidRPr="00471A86">
        <w:rPr>
          <w:sz w:val="20"/>
          <w:szCs w:val="20"/>
        </w:rPr>
        <w:t>.c</w:t>
      </w:r>
      <w:proofErr w:type="gramEnd"/>
      <w:r w:rsidR="00FA3B4E" w:rsidRPr="00FA3B4E">
        <w:rPr>
          <w:sz w:val="20"/>
          <w:szCs w:val="20"/>
        </w:rPr>
        <w:t xml:space="preserve"> Táblázat</w:t>
      </w:r>
    </w:p>
    <w:p w14:paraId="73AE86B9" w14:textId="30217E27" w:rsidR="00FA3B4E" w:rsidRPr="00506A5A" w:rsidRDefault="00FA3B4E" w:rsidP="00FA3B4E">
      <w:pPr>
        <w:pageBreakBefore/>
        <w:spacing w:before="280" w:line="240" w:lineRule="auto"/>
        <w:rPr>
          <w:rFonts w:cs="Arial"/>
        </w:rPr>
      </w:pPr>
    </w:p>
    <w:tbl>
      <w:tblPr>
        <w:tblW w:w="5000" w:type="pct"/>
        <w:tblInd w:w="-210" w:type="dxa"/>
        <w:tblBorders>
          <w:top w:val="single" w:sz="4" w:space="0" w:color="454B53"/>
          <w:left w:val="single" w:sz="4" w:space="0" w:color="454B53"/>
          <w:bottom w:val="single" w:sz="4" w:space="0" w:color="454B53"/>
          <w:right w:val="single" w:sz="4" w:space="0" w:color="454B53"/>
          <w:insideH w:val="single" w:sz="4" w:space="0" w:color="454B53"/>
          <w:insideV w:val="single" w:sz="4" w:space="0" w:color="454B53"/>
        </w:tblBorders>
        <w:tblLayout w:type="fixed"/>
        <w:tblCellMar>
          <w:left w:w="117" w:type="dxa"/>
        </w:tblCellMar>
        <w:tblLook w:val="0000" w:firstRow="0" w:lastRow="0" w:firstColumn="0" w:lastColumn="0" w:noHBand="0" w:noVBand="0"/>
      </w:tblPr>
      <w:tblGrid>
        <w:gridCol w:w="2177"/>
        <w:gridCol w:w="2214"/>
        <w:gridCol w:w="2312"/>
        <w:gridCol w:w="2349"/>
      </w:tblGrid>
      <w:tr w:rsidR="00891608" w:rsidRPr="00891608" w14:paraId="0C496211" w14:textId="77777777" w:rsidTr="00891608">
        <w:trPr>
          <w:trHeight w:val="680"/>
        </w:trPr>
        <w:tc>
          <w:tcPr>
            <w:tcW w:w="2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0973556E" w14:textId="77777777" w:rsidR="00FA3B4E" w:rsidRPr="00891608" w:rsidRDefault="00FA3B4E" w:rsidP="0047628F">
            <w:pPr>
              <w:spacing w:before="280" w:after="280" w:line="280" w:lineRule="exact"/>
              <w:jc w:val="center"/>
              <w:rPr>
                <w:rFonts w:cs="Arial"/>
              </w:rPr>
            </w:pPr>
            <w:r w:rsidRPr="00891608">
              <w:rPr>
                <w:rFonts w:cs="Arial"/>
                <w:b/>
                <w:sz w:val="20"/>
              </w:rPr>
              <w:t>Sugárforrás</w:t>
            </w:r>
            <w:r w:rsidRPr="00891608">
              <w:rPr>
                <w:rFonts w:cs="Arial"/>
                <w:b/>
                <w:sz w:val="20"/>
              </w:rPr>
              <w:br/>
              <w:t>1. típus</w:t>
            </w:r>
          </w:p>
        </w:tc>
        <w:tc>
          <w:tcPr>
            <w:tcW w:w="22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28A117EE" w14:textId="77777777" w:rsidR="00FA3B4E" w:rsidRPr="00891608" w:rsidRDefault="00FA3B4E" w:rsidP="0047628F">
            <w:pPr>
              <w:spacing w:before="280" w:after="280" w:line="280" w:lineRule="exact"/>
              <w:jc w:val="center"/>
              <w:rPr>
                <w:rFonts w:cs="Arial"/>
              </w:rPr>
            </w:pPr>
            <w:r w:rsidRPr="00891608">
              <w:rPr>
                <w:rFonts w:cs="Arial"/>
                <w:b/>
                <w:sz w:val="20"/>
              </w:rPr>
              <w:t>Frekvenciasáv</w:t>
            </w:r>
          </w:p>
        </w:tc>
        <w:tc>
          <w:tcPr>
            <w:tcW w:w="23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471FDD6D" w14:textId="77777777" w:rsidR="00FA3B4E" w:rsidRPr="00891608" w:rsidRDefault="00FA3B4E" w:rsidP="0047628F">
            <w:pPr>
              <w:spacing w:before="280" w:after="280" w:line="280" w:lineRule="exact"/>
              <w:jc w:val="center"/>
              <w:rPr>
                <w:rFonts w:cs="Arial"/>
              </w:rPr>
            </w:pPr>
            <w:r w:rsidRPr="00891608">
              <w:rPr>
                <w:rFonts w:cs="Arial"/>
                <w:b/>
                <w:sz w:val="20"/>
              </w:rPr>
              <w:t>Maximum EIRP (Impulzus csúcsteljesítmény)</w:t>
            </w:r>
          </w:p>
        </w:tc>
        <w:tc>
          <w:tcPr>
            <w:tcW w:w="23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2C7E81E1" w14:textId="77777777" w:rsidR="00FA3B4E" w:rsidRPr="00891608" w:rsidRDefault="00FA3B4E" w:rsidP="0047628F">
            <w:pPr>
              <w:spacing w:before="280" w:after="280" w:line="280" w:lineRule="exact"/>
              <w:jc w:val="center"/>
              <w:rPr>
                <w:rFonts w:cs="Arial"/>
              </w:rPr>
            </w:pPr>
            <w:r w:rsidRPr="00891608">
              <w:rPr>
                <w:rFonts w:cs="Arial"/>
                <w:b/>
                <w:sz w:val="20"/>
              </w:rPr>
              <w:t>Jellemzők</w:t>
            </w:r>
          </w:p>
        </w:tc>
      </w:tr>
      <w:tr w:rsidR="00FA3B4E" w:rsidRPr="00F668A2" w14:paraId="191DCC21" w14:textId="77777777" w:rsidTr="00891608">
        <w:trPr>
          <w:trHeight w:val="707"/>
        </w:trPr>
        <w:tc>
          <w:tcPr>
            <w:tcW w:w="2179" w:type="dxa"/>
            <w:vMerge w:val="restart"/>
            <w:tcBorders>
              <w:top w:val="single" w:sz="8" w:space="0" w:color="000000" w:themeColor="text1"/>
            </w:tcBorders>
            <w:shd w:val="clear" w:color="auto" w:fill="F2F2F2" w:themeFill="background1" w:themeFillShade="F2"/>
            <w:vAlign w:val="center"/>
          </w:tcPr>
          <w:p w14:paraId="7643EB08" w14:textId="77777777" w:rsidR="00FA3B4E" w:rsidRPr="00F668A2" w:rsidRDefault="00FA3B4E" w:rsidP="0047628F">
            <w:pPr>
              <w:spacing w:before="280" w:after="280" w:line="280" w:lineRule="exact"/>
              <w:rPr>
                <w:rFonts w:cs="Arial"/>
              </w:rPr>
            </w:pPr>
            <w:r w:rsidRPr="00F668A2">
              <w:rPr>
                <w:rFonts w:cs="Arial"/>
                <w:b/>
                <w:sz w:val="20"/>
              </w:rPr>
              <w:t>Kup, Juta</w:t>
            </w:r>
            <w:r w:rsidRPr="00F668A2">
              <w:rPr>
                <w:rFonts w:cs="Arial"/>
                <w:b/>
                <w:sz w:val="20"/>
              </w:rPr>
              <w:br/>
            </w:r>
            <w:r w:rsidRPr="00F668A2">
              <w:rPr>
                <w:rFonts w:cs="Arial"/>
                <w:sz w:val="20"/>
              </w:rPr>
              <w:t>antennamagasság:</w:t>
            </w:r>
            <w:r w:rsidRPr="00F668A2">
              <w:rPr>
                <w:rFonts w:cs="Arial"/>
                <w:sz w:val="20"/>
              </w:rPr>
              <w:br/>
              <w:t>10 m</w:t>
            </w:r>
          </w:p>
        </w:tc>
        <w:tc>
          <w:tcPr>
            <w:tcW w:w="2216" w:type="dxa"/>
            <w:tcBorders>
              <w:top w:val="single" w:sz="8" w:space="0" w:color="000000" w:themeColor="text1"/>
            </w:tcBorders>
            <w:shd w:val="clear" w:color="auto" w:fill="FFFFFF"/>
            <w:vAlign w:val="center"/>
          </w:tcPr>
          <w:p w14:paraId="269C8F57" w14:textId="77777777" w:rsidR="00FA3B4E" w:rsidRPr="00F668A2" w:rsidRDefault="00FA3B4E" w:rsidP="0047628F">
            <w:pPr>
              <w:spacing w:before="280" w:after="280" w:line="280" w:lineRule="exact"/>
              <w:rPr>
                <w:rFonts w:cs="Arial"/>
              </w:rPr>
            </w:pPr>
            <w:r w:rsidRPr="00F668A2">
              <w:rPr>
                <w:rFonts w:cs="Arial"/>
                <w:sz w:val="20"/>
              </w:rPr>
              <w:t>2500–2650 MHz</w:t>
            </w:r>
          </w:p>
        </w:tc>
        <w:tc>
          <w:tcPr>
            <w:tcW w:w="2315" w:type="dxa"/>
            <w:tcBorders>
              <w:top w:val="single" w:sz="8" w:space="0" w:color="000000" w:themeColor="text1"/>
            </w:tcBorders>
            <w:shd w:val="clear" w:color="auto" w:fill="FFFFFF"/>
            <w:vAlign w:val="center"/>
          </w:tcPr>
          <w:p w14:paraId="5F33B2C7" w14:textId="77777777" w:rsidR="00FA3B4E" w:rsidRPr="00F668A2" w:rsidRDefault="00FA3B4E" w:rsidP="0047628F">
            <w:pPr>
              <w:spacing w:before="280" w:after="280" w:line="280" w:lineRule="exact"/>
              <w:rPr>
                <w:rFonts w:cs="Arial"/>
              </w:rPr>
            </w:pPr>
            <w:r w:rsidRPr="00F668A2">
              <w:rPr>
                <w:rFonts w:cs="Arial"/>
                <w:sz w:val="20"/>
              </w:rPr>
              <w:t xml:space="preserve">30 </w:t>
            </w:r>
            <w:proofErr w:type="spellStart"/>
            <w:r w:rsidRPr="00F668A2">
              <w:rPr>
                <w:rFonts w:cs="Arial"/>
                <w:sz w:val="20"/>
              </w:rPr>
              <w:t>dBm</w:t>
            </w:r>
            <w:proofErr w:type="spellEnd"/>
            <w:r w:rsidRPr="00F668A2">
              <w:rPr>
                <w:rFonts w:cs="Arial"/>
                <w:sz w:val="20"/>
              </w:rPr>
              <w:t>/MHz</w:t>
            </w:r>
          </w:p>
        </w:tc>
        <w:tc>
          <w:tcPr>
            <w:tcW w:w="2352" w:type="dxa"/>
            <w:vMerge w:val="restart"/>
            <w:tcBorders>
              <w:top w:val="single" w:sz="8" w:space="0" w:color="000000" w:themeColor="text1"/>
            </w:tcBorders>
            <w:shd w:val="clear" w:color="auto" w:fill="FFFFFF"/>
            <w:vAlign w:val="center"/>
          </w:tcPr>
          <w:p w14:paraId="5D5E62A5" w14:textId="77777777" w:rsidR="00FA3B4E" w:rsidRPr="00F668A2" w:rsidRDefault="00FA3B4E" w:rsidP="0047628F">
            <w:pPr>
              <w:spacing w:before="280" w:after="280" w:line="280" w:lineRule="exact"/>
              <w:rPr>
                <w:rFonts w:cs="Arial"/>
              </w:rPr>
            </w:pPr>
            <w:r w:rsidRPr="00F668A2">
              <w:rPr>
                <w:rFonts w:cs="Arial"/>
                <w:sz w:val="20"/>
              </w:rPr>
              <w:t>Távoli pontra vonatkozó</w:t>
            </w:r>
            <w:r w:rsidRPr="00F668A2">
              <w:rPr>
                <w:rFonts w:cs="Arial"/>
                <w:sz w:val="20"/>
              </w:rPr>
              <w:br/>
              <w:t>kitöltési tényező: 0,00056%</w:t>
            </w:r>
          </w:p>
          <w:p w14:paraId="08FB326E" w14:textId="77777777" w:rsidR="00FA3B4E" w:rsidRPr="00F668A2" w:rsidRDefault="00FA3B4E" w:rsidP="0047628F">
            <w:pPr>
              <w:spacing w:before="280" w:after="280" w:line="280" w:lineRule="exact"/>
              <w:rPr>
                <w:rFonts w:cs="Arial"/>
              </w:rPr>
            </w:pPr>
            <w:r w:rsidRPr="00F668A2">
              <w:rPr>
                <w:rFonts w:cs="Arial"/>
                <w:sz w:val="20"/>
              </w:rPr>
              <w:t>Antenna forgás: n=6/perc</w:t>
            </w:r>
          </w:p>
          <w:p w14:paraId="27CA5B50" w14:textId="77777777" w:rsidR="00FA3B4E" w:rsidRPr="00F668A2" w:rsidRDefault="00FA3B4E" w:rsidP="0047628F">
            <w:pPr>
              <w:spacing w:before="280" w:after="280" w:line="280" w:lineRule="exact"/>
              <w:rPr>
                <w:rFonts w:cs="Arial"/>
              </w:rPr>
            </w:pPr>
            <w:r w:rsidRPr="00F668A2">
              <w:rPr>
                <w:rFonts w:cs="Arial"/>
                <w:sz w:val="20"/>
              </w:rPr>
              <w:t>Működés:</w:t>
            </w:r>
            <w:r w:rsidRPr="00F668A2">
              <w:rPr>
                <w:rFonts w:cs="Arial"/>
                <w:sz w:val="20"/>
              </w:rPr>
              <w:br/>
              <w:t>0-24 óra</w:t>
            </w:r>
          </w:p>
        </w:tc>
      </w:tr>
      <w:tr w:rsidR="00FA3B4E" w:rsidRPr="00F668A2" w14:paraId="3377880C" w14:textId="77777777" w:rsidTr="00FA3B4E">
        <w:trPr>
          <w:trHeight w:val="707"/>
        </w:trPr>
        <w:tc>
          <w:tcPr>
            <w:tcW w:w="2179" w:type="dxa"/>
            <w:vMerge/>
            <w:shd w:val="clear" w:color="auto" w:fill="F2F2F2" w:themeFill="background1" w:themeFillShade="F2"/>
            <w:vAlign w:val="center"/>
          </w:tcPr>
          <w:p w14:paraId="272CCD14" w14:textId="77777777" w:rsidR="00FA3B4E" w:rsidRPr="00F668A2" w:rsidRDefault="00FA3B4E" w:rsidP="0047628F">
            <w:pPr>
              <w:snapToGrid w:val="0"/>
              <w:spacing w:before="280" w:after="280" w:line="280" w:lineRule="exact"/>
              <w:rPr>
                <w:rFonts w:cs="Arial"/>
                <w:sz w:val="18"/>
              </w:rPr>
            </w:pPr>
          </w:p>
        </w:tc>
        <w:tc>
          <w:tcPr>
            <w:tcW w:w="2216" w:type="dxa"/>
            <w:shd w:val="clear" w:color="auto" w:fill="FFFFFF"/>
            <w:vAlign w:val="center"/>
          </w:tcPr>
          <w:p w14:paraId="7CC44FDA" w14:textId="77777777" w:rsidR="00FA3B4E" w:rsidRPr="00F668A2" w:rsidRDefault="00FA3B4E" w:rsidP="0047628F">
            <w:pPr>
              <w:spacing w:before="280" w:after="280" w:line="280" w:lineRule="exact"/>
              <w:rPr>
                <w:rFonts w:cs="Arial"/>
              </w:rPr>
            </w:pPr>
            <w:r w:rsidRPr="00F668A2">
              <w:rPr>
                <w:rFonts w:cs="Arial"/>
                <w:sz w:val="18"/>
              </w:rPr>
              <w:t>2650–2670 MHz</w:t>
            </w:r>
          </w:p>
        </w:tc>
        <w:tc>
          <w:tcPr>
            <w:tcW w:w="2315" w:type="dxa"/>
            <w:shd w:val="clear" w:color="auto" w:fill="FFFFFF"/>
            <w:vAlign w:val="center"/>
          </w:tcPr>
          <w:p w14:paraId="12386B5D" w14:textId="77777777" w:rsidR="00FA3B4E" w:rsidRPr="00F668A2" w:rsidRDefault="00FA3B4E" w:rsidP="0047628F">
            <w:pPr>
              <w:spacing w:before="280" w:after="280" w:line="280" w:lineRule="exact"/>
              <w:rPr>
                <w:rFonts w:cs="Arial"/>
              </w:rPr>
            </w:pPr>
            <w:r w:rsidRPr="00F668A2">
              <w:rPr>
                <w:rFonts w:cs="Arial"/>
                <w:sz w:val="18"/>
              </w:rPr>
              <w:t xml:space="preserve">30–40 </w:t>
            </w:r>
            <w:proofErr w:type="spellStart"/>
            <w:r w:rsidRPr="00F668A2">
              <w:rPr>
                <w:rFonts w:cs="Arial"/>
                <w:sz w:val="18"/>
              </w:rPr>
              <w:t>dBm</w:t>
            </w:r>
            <w:proofErr w:type="spellEnd"/>
            <w:r w:rsidRPr="00F668A2">
              <w:rPr>
                <w:rFonts w:cs="Arial"/>
                <w:sz w:val="18"/>
              </w:rPr>
              <w:t>/MHz</w:t>
            </w:r>
          </w:p>
        </w:tc>
        <w:tc>
          <w:tcPr>
            <w:tcW w:w="2352" w:type="dxa"/>
            <w:vMerge/>
            <w:shd w:val="clear" w:color="auto" w:fill="FFFFFF"/>
            <w:vAlign w:val="center"/>
          </w:tcPr>
          <w:p w14:paraId="197B8A5B" w14:textId="77777777" w:rsidR="00FA3B4E" w:rsidRPr="00F668A2" w:rsidRDefault="00FA3B4E" w:rsidP="0047628F">
            <w:pPr>
              <w:snapToGrid w:val="0"/>
              <w:spacing w:before="280" w:after="280" w:line="280" w:lineRule="exact"/>
              <w:rPr>
                <w:rFonts w:cs="Arial"/>
                <w:sz w:val="18"/>
              </w:rPr>
            </w:pPr>
          </w:p>
        </w:tc>
      </w:tr>
      <w:tr w:rsidR="00FA3B4E" w:rsidRPr="00F668A2" w14:paraId="00494179" w14:textId="77777777" w:rsidTr="00FA3B4E">
        <w:trPr>
          <w:trHeight w:val="707"/>
        </w:trPr>
        <w:tc>
          <w:tcPr>
            <w:tcW w:w="2179" w:type="dxa"/>
            <w:vMerge/>
            <w:shd w:val="clear" w:color="auto" w:fill="F2F2F2" w:themeFill="background1" w:themeFillShade="F2"/>
            <w:vAlign w:val="center"/>
          </w:tcPr>
          <w:p w14:paraId="0BAAF6AD" w14:textId="77777777" w:rsidR="00FA3B4E" w:rsidRPr="00F668A2" w:rsidRDefault="00FA3B4E" w:rsidP="0047628F">
            <w:pPr>
              <w:snapToGrid w:val="0"/>
              <w:spacing w:before="280" w:after="280" w:line="280" w:lineRule="exact"/>
              <w:rPr>
                <w:rFonts w:cs="Arial"/>
                <w:sz w:val="20"/>
              </w:rPr>
            </w:pPr>
          </w:p>
        </w:tc>
        <w:tc>
          <w:tcPr>
            <w:tcW w:w="2216" w:type="dxa"/>
            <w:shd w:val="clear" w:color="auto" w:fill="FFFFFF"/>
            <w:vAlign w:val="center"/>
          </w:tcPr>
          <w:p w14:paraId="38C5F4CF" w14:textId="77777777" w:rsidR="00FA3B4E" w:rsidRPr="00F668A2" w:rsidRDefault="00FA3B4E" w:rsidP="0047628F">
            <w:pPr>
              <w:spacing w:before="280" w:after="280" w:line="280" w:lineRule="exact"/>
              <w:rPr>
                <w:rFonts w:cs="Arial"/>
              </w:rPr>
            </w:pPr>
            <w:r w:rsidRPr="00F668A2">
              <w:rPr>
                <w:rFonts w:cs="Arial"/>
                <w:sz w:val="20"/>
              </w:rPr>
              <w:t>2670–2690 MHz</w:t>
            </w:r>
          </w:p>
        </w:tc>
        <w:tc>
          <w:tcPr>
            <w:tcW w:w="2315" w:type="dxa"/>
            <w:shd w:val="clear" w:color="auto" w:fill="FFFFFF"/>
            <w:vAlign w:val="center"/>
          </w:tcPr>
          <w:p w14:paraId="1D4D7840" w14:textId="77777777" w:rsidR="00FA3B4E" w:rsidRPr="00F668A2" w:rsidRDefault="00FA3B4E" w:rsidP="0047628F">
            <w:pPr>
              <w:spacing w:before="280" w:after="280" w:line="280" w:lineRule="exact"/>
              <w:rPr>
                <w:rFonts w:cs="Arial"/>
              </w:rPr>
            </w:pPr>
            <w:r w:rsidRPr="00F668A2">
              <w:rPr>
                <w:rFonts w:cs="Arial"/>
                <w:sz w:val="20"/>
              </w:rPr>
              <w:t xml:space="preserve">40–50 </w:t>
            </w:r>
            <w:proofErr w:type="spellStart"/>
            <w:r w:rsidRPr="00F668A2">
              <w:rPr>
                <w:rFonts w:cs="Arial"/>
                <w:sz w:val="20"/>
              </w:rPr>
              <w:t>dBm</w:t>
            </w:r>
            <w:proofErr w:type="spellEnd"/>
            <w:r w:rsidRPr="00F668A2">
              <w:rPr>
                <w:rFonts w:cs="Arial"/>
                <w:sz w:val="20"/>
              </w:rPr>
              <w:t>/MHz</w:t>
            </w:r>
          </w:p>
        </w:tc>
        <w:tc>
          <w:tcPr>
            <w:tcW w:w="2352" w:type="dxa"/>
            <w:vMerge/>
            <w:shd w:val="clear" w:color="auto" w:fill="FFFFFF"/>
            <w:vAlign w:val="center"/>
          </w:tcPr>
          <w:p w14:paraId="400AFAEE" w14:textId="77777777" w:rsidR="00FA3B4E" w:rsidRPr="00F668A2" w:rsidRDefault="00FA3B4E" w:rsidP="00FA3B4E">
            <w:pPr>
              <w:keepNext/>
              <w:snapToGrid w:val="0"/>
              <w:spacing w:before="280" w:after="280" w:line="280" w:lineRule="exact"/>
              <w:rPr>
                <w:rFonts w:cs="Arial"/>
                <w:sz w:val="20"/>
              </w:rPr>
            </w:pPr>
          </w:p>
        </w:tc>
      </w:tr>
    </w:tbl>
    <w:p w14:paraId="2C72DDFC" w14:textId="7C67EE6B" w:rsidR="00FA3B4E" w:rsidRPr="00FA3B4E" w:rsidRDefault="000A2B9F" w:rsidP="00FA3B4E">
      <w:pPr>
        <w:pStyle w:val="Kpalrs"/>
        <w:jc w:val="center"/>
        <w:rPr>
          <w:b w:val="0"/>
          <w:sz w:val="20"/>
          <w:szCs w:val="20"/>
        </w:rPr>
      </w:pPr>
      <w:r>
        <w:rPr>
          <w:sz w:val="20"/>
          <w:szCs w:val="20"/>
        </w:rPr>
        <w:t>6</w:t>
      </w:r>
      <w:r w:rsidR="00FA3B4E" w:rsidRPr="00471A86">
        <w:rPr>
          <w:sz w:val="20"/>
          <w:szCs w:val="20"/>
        </w:rPr>
        <w:t>.1</w:t>
      </w:r>
      <w:proofErr w:type="gramStart"/>
      <w:r w:rsidR="00FA3B4E" w:rsidRPr="00471A86">
        <w:rPr>
          <w:sz w:val="20"/>
          <w:szCs w:val="20"/>
        </w:rPr>
        <w:t>.d</w:t>
      </w:r>
      <w:proofErr w:type="gramEnd"/>
      <w:r w:rsidR="00FA3B4E" w:rsidRPr="00FA3B4E">
        <w:rPr>
          <w:sz w:val="20"/>
          <w:szCs w:val="20"/>
        </w:rPr>
        <w:t xml:space="preserve"> Táblázat</w:t>
      </w:r>
    </w:p>
    <w:p w14:paraId="15617D9A" w14:textId="1CB74518" w:rsidR="00FA3B4E" w:rsidRPr="00506A5A" w:rsidRDefault="00FA3B4E" w:rsidP="00FA3B4E">
      <w:pPr>
        <w:spacing w:before="280" w:line="240" w:lineRule="auto"/>
        <w:rPr>
          <w:rFonts w:cs="Arial"/>
        </w:rPr>
      </w:pPr>
    </w:p>
    <w:tbl>
      <w:tblPr>
        <w:tblW w:w="5000" w:type="pct"/>
        <w:tblInd w:w="-210" w:type="dxa"/>
        <w:tblBorders>
          <w:top w:val="single" w:sz="4" w:space="0" w:color="454B53"/>
          <w:left w:val="single" w:sz="4" w:space="0" w:color="454B53"/>
          <w:bottom w:val="single" w:sz="4" w:space="0" w:color="454B53"/>
          <w:right w:val="single" w:sz="4" w:space="0" w:color="454B53"/>
          <w:insideH w:val="single" w:sz="4" w:space="0" w:color="454B53"/>
          <w:insideV w:val="single" w:sz="4" w:space="0" w:color="454B53"/>
        </w:tblBorders>
        <w:tblLayout w:type="fixed"/>
        <w:tblCellMar>
          <w:left w:w="117" w:type="dxa"/>
        </w:tblCellMar>
        <w:tblLook w:val="0000" w:firstRow="0" w:lastRow="0" w:firstColumn="0" w:lastColumn="0" w:noHBand="0" w:noVBand="0"/>
      </w:tblPr>
      <w:tblGrid>
        <w:gridCol w:w="2177"/>
        <w:gridCol w:w="2178"/>
        <w:gridCol w:w="2366"/>
        <w:gridCol w:w="2331"/>
      </w:tblGrid>
      <w:tr w:rsidR="00891608" w:rsidRPr="00891608" w14:paraId="468E082E" w14:textId="77777777" w:rsidTr="00891608">
        <w:trPr>
          <w:trHeight w:val="680"/>
        </w:trPr>
        <w:tc>
          <w:tcPr>
            <w:tcW w:w="21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581C2ABA" w14:textId="77777777" w:rsidR="00FA3B4E" w:rsidRPr="00891608" w:rsidRDefault="00FA3B4E" w:rsidP="0047628F">
            <w:pPr>
              <w:spacing w:before="280" w:after="280" w:line="280" w:lineRule="exact"/>
              <w:jc w:val="center"/>
              <w:rPr>
                <w:rFonts w:cs="Arial"/>
              </w:rPr>
            </w:pPr>
            <w:r w:rsidRPr="00891608">
              <w:rPr>
                <w:rFonts w:cs="Arial"/>
                <w:b/>
                <w:sz w:val="20"/>
              </w:rPr>
              <w:t>Sugárforrás</w:t>
            </w:r>
            <w:r w:rsidRPr="00891608">
              <w:rPr>
                <w:rFonts w:cs="Arial"/>
                <w:b/>
                <w:sz w:val="20"/>
              </w:rPr>
              <w:br/>
              <w:t>1. típus</w:t>
            </w:r>
          </w:p>
        </w:tc>
        <w:tc>
          <w:tcPr>
            <w:tcW w:w="2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4BA0091A" w14:textId="77777777" w:rsidR="00FA3B4E" w:rsidRPr="00891608" w:rsidRDefault="00FA3B4E" w:rsidP="0047628F">
            <w:pPr>
              <w:spacing w:before="280" w:after="280" w:line="280" w:lineRule="exact"/>
              <w:jc w:val="center"/>
              <w:rPr>
                <w:rFonts w:cs="Arial"/>
              </w:rPr>
            </w:pPr>
            <w:r w:rsidRPr="00891608">
              <w:rPr>
                <w:rFonts w:cs="Arial"/>
                <w:b/>
                <w:sz w:val="20"/>
              </w:rPr>
              <w:t>Frekvenciasáv</w:t>
            </w:r>
          </w:p>
        </w:tc>
        <w:tc>
          <w:tcPr>
            <w:tcW w:w="23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558A0D33" w14:textId="77777777" w:rsidR="00FA3B4E" w:rsidRPr="00891608" w:rsidRDefault="00FA3B4E" w:rsidP="0047628F">
            <w:pPr>
              <w:spacing w:before="280" w:after="280" w:line="280" w:lineRule="exact"/>
              <w:jc w:val="center"/>
              <w:rPr>
                <w:rFonts w:cs="Arial"/>
              </w:rPr>
            </w:pPr>
            <w:r w:rsidRPr="00891608">
              <w:rPr>
                <w:rFonts w:cs="Arial"/>
                <w:b/>
                <w:sz w:val="20"/>
              </w:rPr>
              <w:t>Maximum EIRP (Impulzus csúcsteljesítmény)</w:t>
            </w:r>
          </w:p>
        </w:tc>
        <w:tc>
          <w:tcPr>
            <w:tcW w:w="23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2C2946CE" w14:textId="77777777" w:rsidR="00FA3B4E" w:rsidRPr="00891608" w:rsidRDefault="00FA3B4E" w:rsidP="0047628F">
            <w:pPr>
              <w:spacing w:before="280" w:after="280" w:line="280" w:lineRule="exact"/>
              <w:jc w:val="center"/>
              <w:rPr>
                <w:rFonts w:cs="Arial"/>
              </w:rPr>
            </w:pPr>
            <w:r w:rsidRPr="00891608">
              <w:rPr>
                <w:rFonts w:cs="Arial"/>
                <w:b/>
                <w:sz w:val="20"/>
              </w:rPr>
              <w:t>Jellemzők</w:t>
            </w:r>
          </w:p>
        </w:tc>
      </w:tr>
      <w:tr w:rsidR="00FA3B4E" w:rsidRPr="0074558F" w14:paraId="6786B782" w14:textId="77777777" w:rsidTr="00891608">
        <w:trPr>
          <w:trHeight w:val="926"/>
        </w:trPr>
        <w:tc>
          <w:tcPr>
            <w:tcW w:w="2179" w:type="dxa"/>
            <w:vMerge w:val="restart"/>
            <w:tcBorders>
              <w:top w:val="single" w:sz="8" w:space="0" w:color="000000" w:themeColor="text1"/>
            </w:tcBorders>
            <w:shd w:val="clear" w:color="auto" w:fill="F2F2F2" w:themeFill="background1" w:themeFillShade="F2"/>
            <w:vAlign w:val="center"/>
          </w:tcPr>
          <w:p w14:paraId="51DCA128" w14:textId="77777777" w:rsidR="00FA3B4E" w:rsidRPr="0074558F" w:rsidRDefault="00FA3B4E" w:rsidP="0047628F">
            <w:pPr>
              <w:spacing w:before="280" w:after="280" w:line="280" w:lineRule="exact"/>
              <w:rPr>
                <w:rFonts w:cs="Arial"/>
                <w:sz w:val="20"/>
                <w:szCs w:val="20"/>
              </w:rPr>
            </w:pPr>
            <w:r w:rsidRPr="0074558F">
              <w:rPr>
                <w:rFonts w:cs="Arial"/>
                <w:b/>
                <w:sz w:val="20"/>
                <w:szCs w:val="20"/>
              </w:rPr>
              <w:t xml:space="preserve">Békéscsaba, Medina </w:t>
            </w:r>
            <w:r w:rsidRPr="0074558F">
              <w:rPr>
                <w:rFonts w:cs="Arial"/>
                <w:sz w:val="20"/>
                <w:szCs w:val="20"/>
              </w:rPr>
              <w:br/>
              <w:t>antennamagasság:</w:t>
            </w:r>
            <w:r w:rsidRPr="0074558F">
              <w:rPr>
                <w:rFonts w:cs="Arial"/>
                <w:sz w:val="20"/>
                <w:szCs w:val="20"/>
              </w:rPr>
              <w:br/>
              <w:t>10 m</w:t>
            </w:r>
          </w:p>
          <w:p w14:paraId="181F4A35" w14:textId="77777777" w:rsidR="00FA3B4E" w:rsidRPr="0074558F" w:rsidRDefault="00FA3B4E" w:rsidP="0047628F">
            <w:pPr>
              <w:spacing w:before="280" w:after="280" w:line="280" w:lineRule="exact"/>
              <w:rPr>
                <w:rFonts w:cs="Arial"/>
                <w:sz w:val="20"/>
                <w:szCs w:val="20"/>
              </w:rPr>
            </w:pPr>
            <w:r w:rsidRPr="0074558F">
              <w:rPr>
                <w:rFonts w:cs="Arial"/>
                <w:b/>
                <w:sz w:val="20"/>
                <w:szCs w:val="20"/>
              </w:rPr>
              <w:t>Működés: időszakos</w:t>
            </w:r>
            <w:r w:rsidRPr="0074558F">
              <w:rPr>
                <w:rFonts w:cs="Arial"/>
                <w:b/>
                <w:sz w:val="20"/>
                <w:szCs w:val="20"/>
              </w:rPr>
              <w:br/>
              <w:t>(5 nap/év)</w:t>
            </w:r>
          </w:p>
        </w:tc>
        <w:tc>
          <w:tcPr>
            <w:tcW w:w="2180" w:type="dxa"/>
            <w:tcBorders>
              <w:top w:val="single" w:sz="8" w:space="0" w:color="000000" w:themeColor="text1"/>
            </w:tcBorders>
            <w:shd w:val="clear" w:color="auto" w:fill="FFFFFF"/>
            <w:vAlign w:val="center"/>
          </w:tcPr>
          <w:p w14:paraId="036EA275" w14:textId="77777777" w:rsidR="00FA3B4E" w:rsidRPr="0074558F" w:rsidRDefault="00FA3B4E" w:rsidP="0047628F">
            <w:pPr>
              <w:spacing w:before="280" w:after="280" w:line="280" w:lineRule="exact"/>
              <w:rPr>
                <w:rFonts w:cs="Arial"/>
                <w:sz w:val="20"/>
                <w:szCs w:val="20"/>
              </w:rPr>
            </w:pPr>
            <w:r w:rsidRPr="0074558F">
              <w:rPr>
                <w:rFonts w:cs="Arial"/>
                <w:sz w:val="20"/>
                <w:szCs w:val="20"/>
              </w:rPr>
              <w:t>2500–2650 MHz</w:t>
            </w:r>
          </w:p>
        </w:tc>
        <w:tc>
          <w:tcPr>
            <w:tcW w:w="2369" w:type="dxa"/>
            <w:tcBorders>
              <w:top w:val="single" w:sz="8" w:space="0" w:color="000000" w:themeColor="text1"/>
            </w:tcBorders>
            <w:shd w:val="clear" w:color="auto" w:fill="FFFFFF"/>
            <w:vAlign w:val="center"/>
          </w:tcPr>
          <w:p w14:paraId="465B15C1" w14:textId="77777777" w:rsidR="00FA3B4E" w:rsidRPr="0074558F" w:rsidRDefault="00FA3B4E" w:rsidP="0047628F">
            <w:pPr>
              <w:spacing w:before="280" w:after="280" w:line="280" w:lineRule="exact"/>
              <w:rPr>
                <w:rFonts w:cs="Arial"/>
                <w:sz w:val="20"/>
                <w:szCs w:val="20"/>
              </w:rPr>
            </w:pPr>
            <w:r w:rsidRPr="0074558F">
              <w:rPr>
                <w:rFonts w:cs="Arial"/>
                <w:sz w:val="20"/>
                <w:szCs w:val="20"/>
              </w:rPr>
              <w:t xml:space="preserve">30 </w:t>
            </w:r>
            <w:proofErr w:type="spellStart"/>
            <w:r w:rsidRPr="0074558F">
              <w:rPr>
                <w:rFonts w:cs="Arial"/>
                <w:sz w:val="20"/>
                <w:szCs w:val="20"/>
              </w:rPr>
              <w:t>dBm</w:t>
            </w:r>
            <w:proofErr w:type="spellEnd"/>
            <w:r w:rsidRPr="0074558F">
              <w:rPr>
                <w:rFonts w:cs="Arial"/>
                <w:sz w:val="20"/>
                <w:szCs w:val="20"/>
              </w:rPr>
              <w:t>/MHz</w:t>
            </w:r>
          </w:p>
        </w:tc>
        <w:tc>
          <w:tcPr>
            <w:tcW w:w="2334" w:type="dxa"/>
            <w:vMerge w:val="restart"/>
            <w:tcBorders>
              <w:top w:val="single" w:sz="8" w:space="0" w:color="000000" w:themeColor="text1"/>
            </w:tcBorders>
            <w:shd w:val="clear" w:color="auto" w:fill="FFFFFF"/>
            <w:vAlign w:val="center"/>
          </w:tcPr>
          <w:p w14:paraId="2F5E703F" w14:textId="77777777" w:rsidR="00FA3B4E" w:rsidRPr="0074558F" w:rsidRDefault="00FA3B4E" w:rsidP="0047628F">
            <w:pPr>
              <w:spacing w:before="280" w:after="280" w:line="280" w:lineRule="exact"/>
              <w:rPr>
                <w:rFonts w:cs="Arial"/>
                <w:sz w:val="20"/>
                <w:szCs w:val="20"/>
              </w:rPr>
            </w:pPr>
            <w:r w:rsidRPr="0074558F">
              <w:rPr>
                <w:rFonts w:cs="Arial"/>
                <w:sz w:val="20"/>
                <w:szCs w:val="20"/>
              </w:rPr>
              <w:t>Távoli pontra vonatkozó</w:t>
            </w:r>
            <w:r w:rsidRPr="0074558F">
              <w:rPr>
                <w:rFonts w:cs="Arial"/>
                <w:sz w:val="20"/>
                <w:szCs w:val="20"/>
              </w:rPr>
              <w:br/>
              <w:t>kitöltési tényező: 0,00056%</w:t>
            </w:r>
          </w:p>
          <w:p w14:paraId="5504E046" w14:textId="77777777" w:rsidR="00FA3B4E" w:rsidRPr="0074558F" w:rsidRDefault="00FA3B4E" w:rsidP="0047628F">
            <w:pPr>
              <w:spacing w:before="280" w:after="280" w:line="280" w:lineRule="exact"/>
              <w:rPr>
                <w:rFonts w:cs="Arial"/>
                <w:sz w:val="20"/>
                <w:szCs w:val="20"/>
              </w:rPr>
            </w:pPr>
            <w:r w:rsidRPr="0074558F">
              <w:rPr>
                <w:rFonts w:cs="Arial"/>
                <w:sz w:val="20"/>
                <w:szCs w:val="20"/>
              </w:rPr>
              <w:t>Antennaforgás: n=6/perc</w:t>
            </w:r>
          </w:p>
          <w:p w14:paraId="371CD0E5" w14:textId="77777777" w:rsidR="00FA3B4E" w:rsidRPr="0074558F" w:rsidRDefault="00FA3B4E" w:rsidP="0047628F">
            <w:pPr>
              <w:spacing w:before="280" w:after="280" w:line="280" w:lineRule="exact"/>
              <w:rPr>
                <w:rFonts w:cs="Arial"/>
                <w:sz w:val="20"/>
                <w:szCs w:val="20"/>
              </w:rPr>
            </w:pPr>
            <w:r w:rsidRPr="0074558F">
              <w:rPr>
                <w:rFonts w:cs="Arial"/>
                <w:sz w:val="20"/>
                <w:szCs w:val="20"/>
              </w:rPr>
              <w:t>Az időszakos üzem során a radar működése: 0-24 óra</w:t>
            </w:r>
          </w:p>
        </w:tc>
      </w:tr>
      <w:tr w:rsidR="00FA3B4E" w:rsidRPr="0074558F" w14:paraId="031AB2D0" w14:textId="77777777" w:rsidTr="00FA3B4E">
        <w:trPr>
          <w:trHeight w:val="926"/>
        </w:trPr>
        <w:tc>
          <w:tcPr>
            <w:tcW w:w="2179" w:type="dxa"/>
            <w:vMerge/>
            <w:shd w:val="clear" w:color="auto" w:fill="F2F2F2" w:themeFill="background1" w:themeFillShade="F2"/>
            <w:vAlign w:val="center"/>
          </w:tcPr>
          <w:p w14:paraId="363AD9A8" w14:textId="77777777" w:rsidR="00FA3B4E" w:rsidRPr="0074558F" w:rsidRDefault="00FA3B4E" w:rsidP="0047628F">
            <w:pPr>
              <w:snapToGrid w:val="0"/>
              <w:spacing w:before="280" w:after="280" w:line="280" w:lineRule="exact"/>
              <w:rPr>
                <w:rFonts w:cs="Arial"/>
                <w:sz w:val="20"/>
                <w:szCs w:val="20"/>
              </w:rPr>
            </w:pPr>
          </w:p>
        </w:tc>
        <w:tc>
          <w:tcPr>
            <w:tcW w:w="2180" w:type="dxa"/>
            <w:shd w:val="clear" w:color="auto" w:fill="FFFFFF"/>
            <w:vAlign w:val="center"/>
          </w:tcPr>
          <w:p w14:paraId="0ABCDD4C" w14:textId="77777777" w:rsidR="00FA3B4E" w:rsidRPr="0074558F" w:rsidRDefault="00FA3B4E" w:rsidP="0047628F">
            <w:pPr>
              <w:spacing w:before="280" w:after="280" w:line="280" w:lineRule="exact"/>
              <w:rPr>
                <w:rFonts w:cs="Arial"/>
                <w:sz w:val="20"/>
                <w:szCs w:val="20"/>
              </w:rPr>
            </w:pPr>
            <w:r w:rsidRPr="0074558F">
              <w:rPr>
                <w:rFonts w:cs="Arial"/>
                <w:sz w:val="20"/>
                <w:szCs w:val="20"/>
              </w:rPr>
              <w:t>2650–2670 MHz</w:t>
            </w:r>
          </w:p>
        </w:tc>
        <w:tc>
          <w:tcPr>
            <w:tcW w:w="2369" w:type="dxa"/>
            <w:shd w:val="clear" w:color="auto" w:fill="FFFFFF"/>
            <w:vAlign w:val="center"/>
          </w:tcPr>
          <w:p w14:paraId="0A82693B" w14:textId="77777777" w:rsidR="00FA3B4E" w:rsidRPr="0074558F" w:rsidRDefault="00FA3B4E" w:rsidP="0047628F">
            <w:pPr>
              <w:spacing w:before="280" w:after="280" w:line="280" w:lineRule="exact"/>
              <w:rPr>
                <w:rFonts w:cs="Arial"/>
                <w:sz w:val="20"/>
                <w:szCs w:val="20"/>
              </w:rPr>
            </w:pPr>
            <w:r w:rsidRPr="0074558F">
              <w:rPr>
                <w:rFonts w:cs="Arial"/>
                <w:sz w:val="20"/>
                <w:szCs w:val="20"/>
              </w:rPr>
              <w:t>30– 40dBm/MHz</w:t>
            </w:r>
          </w:p>
        </w:tc>
        <w:tc>
          <w:tcPr>
            <w:tcW w:w="2334" w:type="dxa"/>
            <w:vMerge/>
            <w:shd w:val="clear" w:color="auto" w:fill="FFFFFF"/>
            <w:vAlign w:val="center"/>
          </w:tcPr>
          <w:p w14:paraId="480BADE3" w14:textId="77777777" w:rsidR="00FA3B4E" w:rsidRPr="0074558F" w:rsidRDefault="00FA3B4E" w:rsidP="0047628F">
            <w:pPr>
              <w:snapToGrid w:val="0"/>
              <w:spacing w:before="280" w:after="280" w:line="280" w:lineRule="exact"/>
              <w:rPr>
                <w:rFonts w:cs="Arial"/>
                <w:sz w:val="20"/>
                <w:szCs w:val="20"/>
              </w:rPr>
            </w:pPr>
          </w:p>
        </w:tc>
      </w:tr>
      <w:tr w:rsidR="00FA3B4E" w:rsidRPr="0074558F" w14:paraId="07351E23" w14:textId="77777777" w:rsidTr="00FA3B4E">
        <w:trPr>
          <w:trHeight w:val="926"/>
        </w:trPr>
        <w:tc>
          <w:tcPr>
            <w:tcW w:w="2179" w:type="dxa"/>
            <w:vMerge/>
            <w:shd w:val="clear" w:color="auto" w:fill="F2F2F2" w:themeFill="background1" w:themeFillShade="F2"/>
            <w:vAlign w:val="center"/>
          </w:tcPr>
          <w:p w14:paraId="324A84C5" w14:textId="77777777" w:rsidR="00FA3B4E" w:rsidRPr="0074558F" w:rsidRDefault="00FA3B4E" w:rsidP="0047628F">
            <w:pPr>
              <w:snapToGrid w:val="0"/>
              <w:spacing w:before="280" w:after="280" w:line="280" w:lineRule="exact"/>
              <w:rPr>
                <w:rFonts w:cs="Arial"/>
                <w:sz w:val="20"/>
                <w:szCs w:val="20"/>
              </w:rPr>
            </w:pPr>
          </w:p>
        </w:tc>
        <w:tc>
          <w:tcPr>
            <w:tcW w:w="2180" w:type="dxa"/>
            <w:shd w:val="clear" w:color="auto" w:fill="FFFFFF"/>
            <w:vAlign w:val="center"/>
          </w:tcPr>
          <w:p w14:paraId="6FD43DAD" w14:textId="77777777" w:rsidR="00FA3B4E" w:rsidRPr="0074558F" w:rsidRDefault="00FA3B4E" w:rsidP="0047628F">
            <w:pPr>
              <w:spacing w:before="280" w:after="280" w:line="280" w:lineRule="exact"/>
              <w:rPr>
                <w:rFonts w:cs="Arial"/>
                <w:sz w:val="20"/>
                <w:szCs w:val="20"/>
              </w:rPr>
            </w:pPr>
            <w:r w:rsidRPr="0074558F">
              <w:rPr>
                <w:rFonts w:cs="Arial"/>
                <w:sz w:val="20"/>
                <w:szCs w:val="20"/>
              </w:rPr>
              <w:t>2670–2690 MHz</w:t>
            </w:r>
          </w:p>
        </w:tc>
        <w:tc>
          <w:tcPr>
            <w:tcW w:w="2369" w:type="dxa"/>
            <w:shd w:val="clear" w:color="auto" w:fill="FFFFFF"/>
            <w:vAlign w:val="center"/>
          </w:tcPr>
          <w:p w14:paraId="3C4F0AF6" w14:textId="77777777" w:rsidR="00FA3B4E" w:rsidRPr="0074558F" w:rsidRDefault="00FA3B4E" w:rsidP="0047628F">
            <w:pPr>
              <w:spacing w:before="280" w:after="280" w:line="280" w:lineRule="exact"/>
              <w:rPr>
                <w:rFonts w:cs="Arial"/>
                <w:sz w:val="20"/>
                <w:szCs w:val="20"/>
              </w:rPr>
            </w:pPr>
            <w:r w:rsidRPr="0074558F">
              <w:rPr>
                <w:rFonts w:cs="Arial"/>
                <w:sz w:val="20"/>
                <w:szCs w:val="20"/>
              </w:rPr>
              <w:t xml:space="preserve">40–50 </w:t>
            </w:r>
            <w:proofErr w:type="spellStart"/>
            <w:r w:rsidRPr="0074558F">
              <w:rPr>
                <w:rFonts w:cs="Arial"/>
                <w:sz w:val="20"/>
                <w:szCs w:val="20"/>
              </w:rPr>
              <w:t>dBm</w:t>
            </w:r>
            <w:proofErr w:type="spellEnd"/>
            <w:r w:rsidRPr="0074558F">
              <w:rPr>
                <w:rFonts w:cs="Arial"/>
                <w:sz w:val="20"/>
                <w:szCs w:val="20"/>
              </w:rPr>
              <w:t>/MHz</w:t>
            </w:r>
          </w:p>
        </w:tc>
        <w:tc>
          <w:tcPr>
            <w:tcW w:w="2334" w:type="dxa"/>
            <w:vMerge/>
            <w:shd w:val="clear" w:color="auto" w:fill="FFFFFF"/>
            <w:vAlign w:val="center"/>
          </w:tcPr>
          <w:p w14:paraId="3F64559C" w14:textId="77777777" w:rsidR="00FA3B4E" w:rsidRPr="0074558F" w:rsidRDefault="00FA3B4E" w:rsidP="00FA3B4E">
            <w:pPr>
              <w:keepNext/>
              <w:snapToGrid w:val="0"/>
              <w:spacing w:before="280" w:after="280" w:line="280" w:lineRule="exact"/>
              <w:rPr>
                <w:rFonts w:cs="Arial"/>
                <w:sz w:val="20"/>
                <w:szCs w:val="20"/>
              </w:rPr>
            </w:pPr>
          </w:p>
        </w:tc>
      </w:tr>
    </w:tbl>
    <w:p w14:paraId="211BF8F3" w14:textId="01FEAB31" w:rsidR="00FA3B4E" w:rsidRPr="00FA3B4E" w:rsidRDefault="000A2B9F" w:rsidP="00FA3B4E">
      <w:pPr>
        <w:pStyle w:val="Kpalrs"/>
        <w:jc w:val="center"/>
        <w:rPr>
          <w:b w:val="0"/>
          <w:sz w:val="20"/>
          <w:szCs w:val="20"/>
        </w:rPr>
      </w:pPr>
      <w:r>
        <w:rPr>
          <w:sz w:val="20"/>
          <w:szCs w:val="20"/>
        </w:rPr>
        <w:t>6</w:t>
      </w:r>
      <w:r w:rsidR="00FA3B4E" w:rsidRPr="00471A86">
        <w:rPr>
          <w:sz w:val="20"/>
          <w:szCs w:val="20"/>
        </w:rPr>
        <w:t>.1</w:t>
      </w:r>
      <w:proofErr w:type="gramStart"/>
      <w:r w:rsidR="00FA3B4E" w:rsidRPr="00471A86">
        <w:rPr>
          <w:sz w:val="20"/>
          <w:szCs w:val="20"/>
        </w:rPr>
        <w:t>.e</w:t>
      </w:r>
      <w:proofErr w:type="gramEnd"/>
      <w:r w:rsidR="00FA3B4E" w:rsidRPr="00FA3B4E">
        <w:rPr>
          <w:sz w:val="20"/>
          <w:szCs w:val="20"/>
        </w:rPr>
        <w:t xml:space="preserve"> Táblázat</w:t>
      </w:r>
    </w:p>
    <w:p w14:paraId="1AE72FE5" w14:textId="1A754D1C" w:rsidR="00FA3B4E" w:rsidRDefault="00FA3B4E">
      <w:pPr>
        <w:pStyle w:val="Kpalrs"/>
      </w:pPr>
    </w:p>
    <w:p w14:paraId="1BD1DDBD" w14:textId="03CDE07C" w:rsidR="00FA3B4E" w:rsidRPr="00506A5A" w:rsidRDefault="00FA3B4E" w:rsidP="00FA3B4E">
      <w:pPr>
        <w:pageBreakBefore/>
        <w:spacing w:before="280" w:line="240" w:lineRule="auto"/>
        <w:rPr>
          <w:rFonts w:cs="Arial"/>
        </w:rPr>
      </w:pPr>
    </w:p>
    <w:tbl>
      <w:tblPr>
        <w:tblW w:w="5000" w:type="pct"/>
        <w:tblInd w:w="-180" w:type="dxa"/>
        <w:tblBorders>
          <w:top w:val="single" w:sz="4" w:space="0" w:color="454B53"/>
          <w:left w:val="single" w:sz="4" w:space="0" w:color="454B53"/>
          <w:bottom w:val="single" w:sz="4" w:space="0" w:color="454B53"/>
          <w:right w:val="single" w:sz="4" w:space="0" w:color="454B53"/>
          <w:insideH w:val="single" w:sz="4" w:space="0" w:color="454B53"/>
          <w:insideV w:val="single" w:sz="4" w:space="0" w:color="454B53"/>
        </w:tblBorders>
        <w:tblLayout w:type="fixed"/>
        <w:tblCellMar>
          <w:left w:w="117" w:type="dxa"/>
        </w:tblCellMar>
        <w:tblLook w:val="0000" w:firstRow="0" w:lastRow="0" w:firstColumn="0" w:lastColumn="0" w:noHBand="0" w:noVBand="0"/>
      </w:tblPr>
      <w:tblGrid>
        <w:gridCol w:w="2154"/>
        <w:gridCol w:w="2185"/>
        <w:gridCol w:w="2319"/>
        <w:gridCol w:w="2394"/>
      </w:tblGrid>
      <w:tr w:rsidR="00891608" w:rsidRPr="00891608" w14:paraId="09426D73" w14:textId="77777777" w:rsidTr="00891608">
        <w:trPr>
          <w:trHeight w:val="680"/>
        </w:trPr>
        <w:tc>
          <w:tcPr>
            <w:tcW w:w="215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5D3457E7" w14:textId="77777777" w:rsidR="00FA3B4E" w:rsidRPr="00891608" w:rsidRDefault="00FA3B4E" w:rsidP="0047628F">
            <w:pPr>
              <w:spacing w:before="280" w:after="280" w:line="280" w:lineRule="exact"/>
              <w:jc w:val="center"/>
              <w:rPr>
                <w:rFonts w:cs="Arial"/>
              </w:rPr>
            </w:pPr>
            <w:r w:rsidRPr="00891608">
              <w:rPr>
                <w:rFonts w:cs="Arial"/>
                <w:b/>
                <w:sz w:val="20"/>
              </w:rPr>
              <w:t>Sugárforrás</w:t>
            </w:r>
            <w:r w:rsidRPr="00891608">
              <w:rPr>
                <w:rFonts w:cs="Arial"/>
                <w:b/>
                <w:sz w:val="20"/>
              </w:rPr>
              <w:br/>
              <w:t>2. típus</w:t>
            </w:r>
          </w:p>
        </w:tc>
        <w:tc>
          <w:tcPr>
            <w:tcW w:w="21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3C1D1442" w14:textId="77777777" w:rsidR="00FA3B4E" w:rsidRPr="00891608" w:rsidRDefault="00FA3B4E" w:rsidP="0047628F">
            <w:pPr>
              <w:spacing w:before="280" w:after="280" w:line="280" w:lineRule="exact"/>
              <w:jc w:val="center"/>
              <w:rPr>
                <w:rFonts w:cs="Arial"/>
              </w:rPr>
            </w:pPr>
            <w:r w:rsidRPr="00891608">
              <w:rPr>
                <w:rFonts w:cs="Arial"/>
                <w:b/>
                <w:sz w:val="20"/>
              </w:rPr>
              <w:t>Frekvenciasáv</w:t>
            </w:r>
          </w:p>
        </w:tc>
        <w:tc>
          <w:tcPr>
            <w:tcW w:w="2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429EEB90" w14:textId="77777777" w:rsidR="00FA3B4E" w:rsidRPr="00891608" w:rsidRDefault="00FA3B4E" w:rsidP="0047628F">
            <w:pPr>
              <w:spacing w:before="280" w:after="280" w:line="280" w:lineRule="exact"/>
              <w:jc w:val="center"/>
              <w:rPr>
                <w:rFonts w:cs="Arial"/>
              </w:rPr>
            </w:pPr>
            <w:r w:rsidRPr="00891608">
              <w:rPr>
                <w:rFonts w:cs="Arial"/>
                <w:b/>
                <w:sz w:val="20"/>
              </w:rPr>
              <w:t>Maximum EIRP (Impulzus csúcsteljesítmény)</w:t>
            </w:r>
          </w:p>
        </w:tc>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65BFC701" w14:textId="77777777" w:rsidR="00FA3B4E" w:rsidRPr="00891608" w:rsidRDefault="00FA3B4E" w:rsidP="0047628F">
            <w:pPr>
              <w:spacing w:before="280" w:after="280" w:line="280" w:lineRule="exact"/>
              <w:jc w:val="center"/>
              <w:rPr>
                <w:rFonts w:cs="Arial"/>
              </w:rPr>
            </w:pPr>
            <w:r w:rsidRPr="00891608">
              <w:rPr>
                <w:rFonts w:cs="Arial"/>
                <w:b/>
                <w:sz w:val="20"/>
              </w:rPr>
              <w:t>Jellemzők</w:t>
            </w:r>
          </w:p>
        </w:tc>
      </w:tr>
      <w:tr w:rsidR="00FA3B4E" w:rsidRPr="00506A5A" w14:paraId="7E911687" w14:textId="77777777" w:rsidTr="00891608">
        <w:trPr>
          <w:trHeight w:val="1721"/>
        </w:trPr>
        <w:tc>
          <w:tcPr>
            <w:tcW w:w="2156" w:type="dxa"/>
            <w:tcBorders>
              <w:top w:val="single" w:sz="8" w:space="0" w:color="000000" w:themeColor="text1"/>
            </w:tcBorders>
            <w:shd w:val="clear" w:color="auto" w:fill="F2F2F2" w:themeFill="background1" w:themeFillShade="F2"/>
            <w:vAlign w:val="center"/>
          </w:tcPr>
          <w:p w14:paraId="546D8076" w14:textId="77777777" w:rsidR="00FA3B4E" w:rsidRPr="00163763" w:rsidRDefault="00FA3B4E" w:rsidP="0047628F">
            <w:pPr>
              <w:spacing w:before="280" w:after="280" w:line="280" w:lineRule="exact"/>
              <w:rPr>
                <w:rFonts w:cs="Arial"/>
              </w:rPr>
            </w:pPr>
            <w:r w:rsidRPr="00163763">
              <w:rPr>
                <w:rFonts w:cs="Arial"/>
                <w:b/>
                <w:sz w:val="20"/>
              </w:rPr>
              <w:t>Kup, Juta</w:t>
            </w:r>
            <w:r w:rsidRPr="00163763">
              <w:rPr>
                <w:rFonts w:cs="Arial"/>
                <w:sz w:val="20"/>
              </w:rPr>
              <w:br/>
              <w:t>antennamagasság</w:t>
            </w:r>
            <w:r w:rsidRPr="00163763">
              <w:rPr>
                <w:rFonts w:cs="Arial"/>
                <w:sz w:val="20"/>
              </w:rPr>
              <w:br/>
              <w:t>10 m</w:t>
            </w:r>
          </w:p>
        </w:tc>
        <w:tc>
          <w:tcPr>
            <w:tcW w:w="2187" w:type="dxa"/>
            <w:tcBorders>
              <w:top w:val="single" w:sz="8" w:space="0" w:color="000000" w:themeColor="text1"/>
            </w:tcBorders>
            <w:shd w:val="clear" w:color="auto" w:fill="FFFFFF"/>
            <w:vAlign w:val="center"/>
          </w:tcPr>
          <w:p w14:paraId="07E604BD" w14:textId="77777777" w:rsidR="00FA3B4E" w:rsidRPr="00163763" w:rsidRDefault="00FA3B4E" w:rsidP="0047628F">
            <w:pPr>
              <w:spacing w:before="280" w:after="280" w:line="280" w:lineRule="exact"/>
              <w:rPr>
                <w:rFonts w:cs="Arial"/>
              </w:rPr>
            </w:pPr>
            <w:r w:rsidRPr="00163763">
              <w:rPr>
                <w:rFonts w:cs="Arial"/>
                <w:sz w:val="20"/>
              </w:rPr>
              <w:t>2500–2690 MHz</w:t>
            </w:r>
          </w:p>
        </w:tc>
        <w:tc>
          <w:tcPr>
            <w:tcW w:w="2322" w:type="dxa"/>
            <w:tcBorders>
              <w:top w:val="single" w:sz="8" w:space="0" w:color="000000" w:themeColor="text1"/>
            </w:tcBorders>
            <w:shd w:val="clear" w:color="auto" w:fill="FFFFFF"/>
            <w:vAlign w:val="center"/>
          </w:tcPr>
          <w:p w14:paraId="1E508048" w14:textId="77777777" w:rsidR="00FA3B4E" w:rsidRPr="00163763" w:rsidRDefault="00FA3B4E" w:rsidP="0047628F">
            <w:pPr>
              <w:spacing w:before="280" w:after="280" w:line="280" w:lineRule="exact"/>
              <w:rPr>
                <w:rFonts w:cs="Arial"/>
              </w:rPr>
            </w:pPr>
            <w:r w:rsidRPr="00163763">
              <w:rPr>
                <w:rFonts w:cs="Arial"/>
                <w:sz w:val="20"/>
              </w:rPr>
              <w:t xml:space="preserve">65–80 </w:t>
            </w:r>
            <w:proofErr w:type="spellStart"/>
            <w:r w:rsidRPr="00163763">
              <w:rPr>
                <w:rFonts w:cs="Arial"/>
                <w:sz w:val="20"/>
              </w:rPr>
              <w:t>dBm</w:t>
            </w:r>
            <w:proofErr w:type="spellEnd"/>
            <w:r w:rsidRPr="00163763">
              <w:rPr>
                <w:rFonts w:cs="Arial"/>
                <w:sz w:val="20"/>
              </w:rPr>
              <w:t>/MHz</w:t>
            </w:r>
          </w:p>
        </w:tc>
        <w:tc>
          <w:tcPr>
            <w:tcW w:w="2397" w:type="dxa"/>
            <w:tcBorders>
              <w:top w:val="single" w:sz="8" w:space="0" w:color="000000" w:themeColor="text1"/>
            </w:tcBorders>
            <w:shd w:val="clear" w:color="auto" w:fill="FFFFFF"/>
            <w:vAlign w:val="center"/>
          </w:tcPr>
          <w:p w14:paraId="115617C9" w14:textId="77777777" w:rsidR="00FA3B4E" w:rsidRPr="00163763" w:rsidRDefault="00FA3B4E" w:rsidP="0047628F">
            <w:pPr>
              <w:spacing w:before="280" w:after="280" w:line="280" w:lineRule="exact"/>
              <w:rPr>
                <w:rFonts w:cs="Arial"/>
              </w:rPr>
            </w:pPr>
            <w:r w:rsidRPr="00163763">
              <w:rPr>
                <w:rFonts w:cs="Arial"/>
                <w:sz w:val="20"/>
              </w:rPr>
              <w:t>Távoli pontra vonatkozó</w:t>
            </w:r>
            <w:r w:rsidRPr="00163763">
              <w:rPr>
                <w:rFonts w:cs="Arial"/>
                <w:sz w:val="20"/>
              </w:rPr>
              <w:br/>
              <w:t>kitöltési tényező: 0,087%</w:t>
            </w:r>
            <w:r w:rsidRPr="00163763">
              <w:rPr>
                <w:rFonts w:cs="Arial"/>
                <w:sz w:val="20"/>
              </w:rPr>
              <w:br/>
              <w:t>(az adott irányban, mert nem forog)</w:t>
            </w:r>
          </w:p>
          <w:p w14:paraId="2EDB3464" w14:textId="77777777" w:rsidR="00FA3B4E" w:rsidRPr="00163763" w:rsidRDefault="00FA3B4E" w:rsidP="0047628F">
            <w:pPr>
              <w:spacing w:before="280" w:after="280" w:line="280" w:lineRule="exact"/>
              <w:rPr>
                <w:rFonts w:cs="Arial"/>
              </w:rPr>
            </w:pPr>
            <w:r w:rsidRPr="00163763">
              <w:rPr>
                <w:rFonts w:cs="Arial"/>
                <w:sz w:val="20"/>
              </w:rPr>
              <w:t>Antennaforgás: bólogat</w:t>
            </w:r>
          </w:p>
          <w:p w14:paraId="2A75A6EA" w14:textId="77777777" w:rsidR="00FA3B4E" w:rsidRPr="00163763" w:rsidRDefault="00FA3B4E" w:rsidP="00FA3B4E">
            <w:pPr>
              <w:keepNext/>
              <w:spacing w:before="280" w:after="280" w:line="280" w:lineRule="exact"/>
              <w:rPr>
                <w:rFonts w:cs="Arial"/>
              </w:rPr>
            </w:pPr>
            <w:r w:rsidRPr="00163763">
              <w:rPr>
                <w:rFonts w:cs="Arial"/>
                <w:sz w:val="20"/>
              </w:rPr>
              <w:t>Működés:</w:t>
            </w:r>
            <w:r w:rsidRPr="00163763">
              <w:rPr>
                <w:rFonts w:cs="Arial"/>
                <w:sz w:val="20"/>
              </w:rPr>
              <w:br/>
              <w:t>az idő 3-5%-</w:t>
            </w:r>
            <w:proofErr w:type="spellStart"/>
            <w:r w:rsidRPr="00163763">
              <w:rPr>
                <w:rFonts w:cs="Arial"/>
                <w:sz w:val="20"/>
              </w:rPr>
              <w:t>ban</w:t>
            </w:r>
            <w:proofErr w:type="spellEnd"/>
          </w:p>
        </w:tc>
      </w:tr>
    </w:tbl>
    <w:p w14:paraId="4E5ECEC2" w14:textId="4B314D8C" w:rsidR="00FA3B4E" w:rsidRPr="00FA3B4E" w:rsidRDefault="000A2B9F" w:rsidP="00FA3B4E">
      <w:pPr>
        <w:pStyle w:val="Kpalrs"/>
        <w:jc w:val="center"/>
        <w:rPr>
          <w:b w:val="0"/>
          <w:sz w:val="20"/>
          <w:szCs w:val="20"/>
        </w:rPr>
      </w:pPr>
      <w:r>
        <w:rPr>
          <w:sz w:val="20"/>
          <w:szCs w:val="20"/>
        </w:rPr>
        <w:t>6</w:t>
      </w:r>
      <w:r w:rsidR="00FA3B4E" w:rsidRPr="00471A86">
        <w:rPr>
          <w:sz w:val="20"/>
          <w:szCs w:val="20"/>
        </w:rPr>
        <w:t>.1</w:t>
      </w:r>
      <w:proofErr w:type="gramStart"/>
      <w:r w:rsidR="00FA3B4E" w:rsidRPr="00471A86">
        <w:rPr>
          <w:sz w:val="20"/>
          <w:szCs w:val="20"/>
        </w:rPr>
        <w:t>.f</w:t>
      </w:r>
      <w:proofErr w:type="gramEnd"/>
      <w:r w:rsidR="00FA3B4E" w:rsidRPr="00471A86">
        <w:rPr>
          <w:sz w:val="20"/>
          <w:szCs w:val="20"/>
        </w:rPr>
        <w:t xml:space="preserve"> </w:t>
      </w:r>
      <w:r w:rsidR="00FA3B4E" w:rsidRPr="00FA3B4E">
        <w:rPr>
          <w:sz w:val="20"/>
          <w:szCs w:val="20"/>
        </w:rPr>
        <w:t>Táblázat</w:t>
      </w:r>
    </w:p>
    <w:p w14:paraId="1F1A29BD" w14:textId="71B4B0AB" w:rsidR="00FA3B4E" w:rsidRPr="00506A5A" w:rsidRDefault="00FA3B4E" w:rsidP="00FA3B4E">
      <w:pPr>
        <w:spacing w:before="280" w:line="240" w:lineRule="auto"/>
        <w:rPr>
          <w:rFonts w:cs="Arial"/>
        </w:rPr>
      </w:pPr>
    </w:p>
    <w:tbl>
      <w:tblPr>
        <w:tblW w:w="5000" w:type="pct"/>
        <w:tblInd w:w="-180" w:type="dxa"/>
        <w:tblBorders>
          <w:top w:val="single" w:sz="4" w:space="0" w:color="454B53"/>
          <w:left w:val="single" w:sz="4" w:space="0" w:color="454B53"/>
          <w:bottom w:val="single" w:sz="4" w:space="0" w:color="454B53"/>
          <w:right w:val="single" w:sz="4" w:space="0" w:color="454B53"/>
          <w:insideH w:val="single" w:sz="4" w:space="0" w:color="454B53"/>
          <w:insideV w:val="single" w:sz="4" w:space="0" w:color="454B53"/>
        </w:tblBorders>
        <w:tblLayout w:type="fixed"/>
        <w:tblCellMar>
          <w:left w:w="117" w:type="dxa"/>
        </w:tblCellMar>
        <w:tblLook w:val="0000" w:firstRow="0" w:lastRow="0" w:firstColumn="0" w:lastColumn="0" w:noHBand="0" w:noVBand="0"/>
      </w:tblPr>
      <w:tblGrid>
        <w:gridCol w:w="2173"/>
        <w:gridCol w:w="2109"/>
        <w:gridCol w:w="2407"/>
        <w:gridCol w:w="2363"/>
      </w:tblGrid>
      <w:tr w:rsidR="00891608" w:rsidRPr="00891608" w14:paraId="47CF1EB2" w14:textId="77777777" w:rsidTr="00891608">
        <w:trPr>
          <w:trHeight w:val="680"/>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49BFF254" w14:textId="77777777" w:rsidR="00FA3B4E" w:rsidRPr="00891608" w:rsidRDefault="00FA3B4E" w:rsidP="0047628F">
            <w:pPr>
              <w:spacing w:before="280" w:after="280" w:line="280" w:lineRule="exact"/>
              <w:jc w:val="center"/>
              <w:rPr>
                <w:rFonts w:cs="Arial"/>
              </w:rPr>
            </w:pPr>
            <w:r w:rsidRPr="00891608">
              <w:rPr>
                <w:rFonts w:cs="Arial"/>
                <w:b/>
                <w:sz w:val="20"/>
              </w:rPr>
              <w:t>Sugárforrás</w:t>
            </w:r>
            <w:r w:rsidRPr="00891608">
              <w:rPr>
                <w:rFonts w:cs="Arial"/>
                <w:b/>
                <w:sz w:val="20"/>
              </w:rPr>
              <w:br/>
              <w:t>2. típus</w:t>
            </w:r>
          </w:p>
        </w:tc>
        <w:tc>
          <w:tcPr>
            <w:tcW w:w="2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63C062F8" w14:textId="77777777" w:rsidR="00FA3B4E" w:rsidRPr="00891608" w:rsidRDefault="00FA3B4E" w:rsidP="0047628F">
            <w:pPr>
              <w:spacing w:before="280" w:after="280" w:line="280" w:lineRule="exact"/>
              <w:jc w:val="center"/>
              <w:rPr>
                <w:rFonts w:cs="Arial"/>
              </w:rPr>
            </w:pPr>
            <w:r w:rsidRPr="00891608">
              <w:rPr>
                <w:rFonts w:cs="Arial"/>
                <w:b/>
                <w:sz w:val="20"/>
              </w:rPr>
              <w:t>Frekvenciasáv</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66A1B7DB" w14:textId="77777777" w:rsidR="00FA3B4E" w:rsidRPr="00891608" w:rsidRDefault="00FA3B4E" w:rsidP="0047628F">
            <w:pPr>
              <w:spacing w:before="280" w:after="280" w:line="280" w:lineRule="exact"/>
              <w:jc w:val="center"/>
              <w:rPr>
                <w:rFonts w:cs="Arial"/>
              </w:rPr>
            </w:pPr>
            <w:r w:rsidRPr="00891608">
              <w:rPr>
                <w:rFonts w:cs="Arial"/>
                <w:b/>
                <w:sz w:val="20"/>
              </w:rPr>
              <w:t>Maximum EIRP (Impulzus csúcsteljesítmény)</w:t>
            </w:r>
          </w:p>
        </w:tc>
        <w:tc>
          <w:tcPr>
            <w:tcW w:w="23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65173EBF" w14:textId="77777777" w:rsidR="00FA3B4E" w:rsidRPr="00891608" w:rsidRDefault="00FA3B4E" w:rsidP="0047628F">
            <w:pPr>
              <w:spacing w:before="280" w:after="280" w:line="280" w:lineRule="exact"/>
              <w:jc w:val="center"/>
              <w:rPr>
                <w:rFonts w:cs="Arial"/>
              </w:rPr>
            </w:pPr>
            <w:r w:rsidRPr="00891608">
              <w:rPr>
                <w:rFonts w:cs="Arial"/>
                <w:b/>
                <w:sz w:val="20"/>
              </w:rPr>
              <w:t>Jellemzők</w:t>
            </w:r>
          </w:p>
        </w:tc>
      </w:tr>
      <w:tr w:rsidR="00FA3B4E" w:rsidRPr="001F6E57" w14:paraId="408B7DE5" w14:textId="77777777" w:rsidTr="00891608">
        <w:trPr>
          <w:trHeight w:val="3183"/>
        </w:trPr>
        <w:tc>
          <w:tcPr>
            <w:tcW w:w="2175" w:type="dxa"/>
            <w:tcBorders>
              <w:top w:val="single" w:sz="8" w:space="0" w:color="000000" w:themeColor="text1"/>
            </w:tcBorders>
            <w:shd w:val="clear" w:color="auto" w:fill="F2F2F2" w:themeFill="background1" w:themeFillShade="F2"/>
            <w:vAlign w:val="center"/>
          </w:tcPr>
          <w:p w14:paraId="6FD96F6C" w14:textId="77777777" w:rsidR="00FA3B4E" w:rsidRPr="001F6E57" w:rsidRDefault="00FA3B4E" w:rsidP="0047628F">
            <w:pPr>
              <w:spacing w:before="280" w:after="280" w:line="280" w:lineRule="exact"/>
              <w:rPr>
                <w:rFonts w:cs="Arial"/>
              </w:rPr>
            </w:pPr>
            <w:r w:rsidRPr="001F6E57">
              <w:rPr>
                <w:rFonts w:cs="Arial"/>
                <w:b/>
                <w:sz w:val="20"/>
              </w:rPr>
              <w:t>Békéscsaba,</w:t>
            </w:r>
            <w:r w:rsidRPr="001F6E57">
              <w:rPr>
                <w:rFonts w:cs="Arial"/>
                <w:b/>
                <w:sz w:val="20"/>
              </w:rPr>
              <w:br/>
              <w:t xml:space="preserve">Medina </w:t>
            </w:r>
            <w:r w:rsidRPr="001F6E57">
              <w:rPr>
                <w:rFonts w:cs="Arial"/>
                <w:sz w:val="20"/>
              </w:rPr>
              <w:t>antennamagasság</w:t>
            </w:r>
            <w:r w:rsidRPr="001F6E57">
              <w:rPr>
                <w:rFonts w:cs="Arial"/>
                <w:sz w:val="20"/>
              </w:rPr>
              <w:br/>
              <w:t>10 m</w:t>
            </w:r>
          </w:p>
          <w:p w14:paraId="03947D7F" w14:textId="77777777" w:rsidR="00FA3B4E" w:rsidRPr="001F6E57" w:rsidRDefault="00FA3B4E" w:rsidP="0047628F">
            <w:pPr>
              <w:spacing w:before="280" w:after="280" w:line="280" w:lineRule="exact"/>
              <w:rPr>
                <w:rFonts w:cs="Arial"/>
              </w:rPr>
            </w:pPr>
            <w:r w:rsidRPr="001F6E57">
              <w:rPr>
                <w:rFonts w:cs="Arial"/>
                <w:b/>
                <w:sz w:val="20"/>
              </w:rPr>
              <w:t>Működés:</w:t>
            </w:r>
            <w:r w:rsidRPr="001F6E57">
              <w:rPr>
                <w:rFonts w:cs="Arial"/>
                <w:b/>
                <w:sz w:val="20"/>
              </w:rPr>
              <w:br/>
              <w:t>időszakos</w:t>
            </w:r>
            <w:r w:rsidRPr="001F6E57">
              <w:rPr>
                <w:rFonts w:cs="Arial"/>
                <w:b/>
                <w:sz w:val="20"/>
              </w:rPr>
              <w:br/>
              <w:t>(5 nap/év)</w:t>
            </w:r>
          </w:p>
        </w:tc>
        <w:tc>
          <w:tcPr>
            <w:tcW w:w="2111" w:type="dxa"/>
            <w:tcBorders>
              <w:top w:val="single" w:sz="8" w:space="0" w:color="000000" w:themeColor="text1"/>
            </w:tcBorders>
            <w:shd w:val="clear" w:color="auto" w:fill="FFFFFF"/>
            <w:vAlign w:val="center"/>
          </w:tcPr>
          <w:p w14:paraId="729F1CF8" w14:textId="77777777" w:rsidR="00FA3B4E" w:rsidRPr="001F6E57" w:rsidRDefault="00FA3B4E" w:rsidP="0047628F">
            <w:pPr>
              <w:spacing w:before="280" w:after="280" w:line="280" w:lineRule="exact"/>
              <w:rPr>
                <w:rFonts w:cs="Arial"/>
              </w:rPr>
            </w:pPr>
            <w:r w:rsidRPr="001F6E57">
              <w:rPr>
                <w:rFonts w:cs="Arial"/>
                <w:sz w:val="20"/>
              </w:rPr>
              <w:t>2500–2690 MHz</w:t>
            </w:r>
          </w:p>
        </w:tc>
        <w:tc>
          <w:tcPr>
            <w:tcW w:w="2410" w:type="dxa"/>
            <w:tcBorders>
              <w:top w:val="single" w:sz="8" w:space="0" w:color="000000" w:themeColor="text1"/>
            </w:tcBorders>
            <w:shd w:val="clear" w:color="auto" w:fill="FFFFFF"/>
            <w:vAlign w:val="center"/>
          </w:tcPr>
          <w:p w14:paraId="5D2739E6" w14:textId="77777777" w:rsidR="00FA3B4E" w:rsidRPr="001F6E57" w:rsidRDefault="00FA3B4E" w:rsidP="0047628F">
            <w:pPr>
              <w:spacing w:before="280" w:after="280" w:line="280" w:lineRule="exact"/>
              <w:rPr>
                <w:rFonts w:cs="Arial"/>
              </w:rPr>
            </w:pPr>
            <w:r w:rsidRPr="001F6E57">
              <w:rPr>
                <w:rFonts w:cs="Arial"/>
                <w:sz w:val="20"/>
              </w:rPr>
              <w:t xml:space="preserve">65–80 </w:t>
            </w:r>
            <w:proofErr w:type="spellStart"/>
            <w:r w:rsidRPr="001F6E57">
              <w:rPr>
                <w:rFonts w:cs="Arial"/>
                <w:sz w:val="20"/>
              </w:rPr>
              <w:t>dBm</w:t>
            </w:r>
            <w:proofErr w:type="spellEnd"/>
            <w:r w:rsidRPr="001F6E57">
              <w:rPr>
                <w:rFonts w:cs="Arial"/>
                <w:sz w:val="20"/>
              </w:rPr>
              <w:t>/MHz</w:t>
            </w:r>
          </w:p>
        </w:tc>
        <w:tc>
          <w:tcPr>
            <w:tcW w:w="2366" w:type="dxa"/>
            <w:tcBorders>
              <w:top w:val="single" w:sz="8" w:space="0" w:color="000000" w:themeColor="text1"/>
            </w:tcBorders>
            <w:shd w:val="clear" w:color="auto" w:fill="FFFFFF"/>
            <w:vAlign w:val="center"/>
          </w:tcPr>
          <w:p w14:paraId="44E5044C" w14:textId="77777777" w:rsidR="00FA3B4E" w:rsidRPr="001F6E57" w:rsidRDefault="00FA3B4E" w:rsidP="0047628F">
            <w:pPr>
              <w:spacing w:before="280" w:after="280" w:line="240" w:lineRule="auto"/>
              <w:rPr>
                <w:rFonts w:cs="Arial"/>
              </w:rPr>
            </w:pPr>
            <w:r w:rsidRPr="001F6E57">
              <w:rPr>
                <w:rFonts w:cs="Arial"/>
                <w:sz w:val="20"/>
              </w:rPr>
              <w:t>Távoli pontra vonatkozó</w:t>
            </w:r>
            <w:r w:rsidRPr="001F6E57">
              <w:rPr>
                <w:rFonts w:cs="Arial"/>
                <w:sz w:val="20"/>
              </w:rPr>
              <w:br/>
              <w:t>kitöltési tényező:</w:t>
            </w:r>
            <w:r w:rsidRPr="001F6E57">
              <w:rPr>
                <w:rFonts w:cs="Arial"/>
                <w:sz w:val="20"/>
              </w:rPr>
              <w:br/>
              <w:t>0,087%</w:t>
            </w:r>
            <w:r w:rsidRPr="001F6E57">
              <w:rPr>
                <w:rFonts w:cs="Arial"/>
                <w:sz w:val="20"/>
              </w:rPr>
              <w:br/>
              <w:t>(az adott irányban, mert nem forog)</w:t>
            </w:r>
          </w:p>
          <w:p w14:paraId="20E2A5FD" w14:textId="77777777" w:rsidR="00FA3B4E" w:rsidRPr="001F6E57" w:rsidRDefault="00FA3B4E" w:rsidP="0047628F">
            <w:pPr>
              <w:spacing w:before="280" w:after="280" w:line="280" w:lineRule="exact"/>
              <w:rPr>
                <w:rFonts w:cs="Arial"/>
              </w:rPr>
            </w:pPr>
            <w:r w:rsidRPr="001F6E57">
              <w:rPr>
                <w:rFonts w:cs="Arial"/>
                <w:sz w:val="20"/>
              </w:rPr>
              <w:t>Antennaforgás:</w:t>
            </w:r>
            <w:r w:rsidRPr="001F6E57">
              <w:rPr>
                <w:rFonts w:cs="Arial"/>
                <w:sz w:val="20"/>
              </w:rPr>
              <w:br/>
              <w:t>bólogat</w:t>
            </w:r>
          </w:p>
          <w:p w14:paraId="32068E3D" w14:textId="77777777" w:rsidR="00FA3B4E" w:rsidRPr="001F6E57" w:rsidRDefault="00FA3B4E" w:rsidP="00FA3B4E">
            <w:pPr>
              <w:keepNext/>
              <w:spacing w:before="280" w:after="280" w:line="280" w:lineRule="exact"/>
              <w:rPr>
                <w:rFonts w:cs="Arial"/>
              </w:rPr>
            </w:pPr>
            <w:r w:rsidRPr="001F6E57">
              <w:rPr>
                <w:rFonts w:cs="Arial"/>
                <w:sz w:val="20"/>
              </w:rPr>
              <w:t>Az időszakos üzem során a radar működése:</w:t>
            </w:r>
            <w:r w:rsidRPr="001F6E57">
              <w:rPr>
                <w:rFonts w:cs="Arial"/>
                <w:sz w:val="20"/>
              </w:rPr>
              <w:br/>
              <w:t>az idő 3-5 %-</w:t>
            </w:r>
            <w:proofErr w:type="spellStart"/>
            <w:r w:rsidRPr="001F6E57">
              <w:rPr>
                <w:rFonts w:cs="Arial"/>
                <w:sz w:val="20"/>
              </w:rPr>
              <w:t>ban</w:t>
            </w:r>
            <w:proofErr w:type="spellEnd"/>
          </w:p>
        </w:tc>
      </w:tr>
    </w:tbl>
    <w:p w14:paraId="35999302" w14:textId="18DA04DB" w:rsidR="00FA3B4E" w:rsidRPr="00FA3B4E" w:rsidRDefault="000A2B9F" w:rsidP="00FA3B4E">
      <w:pPr>
        <w:pStyle w:val="Kpalrs"/>
        <w:jc w:val="center"/>
        <w:rPr>
          <w:b w:val="0"/>
          <w:sz w:val="20"/>
          <w:szCs w:val="20"/>
        </w:rPr>
      </w:pPr>
      <w:r>
        <w:rPr>
          <w:sz w:val="20"/>
          <w:szCs w:val="20"/>
        </w:rPr>
        <w:t>6</w:t>
      </w:r>
      <w:r w:rsidR="00FA3B4E" w:rsidRPr="00471A86">
        <w:rPr>
          <w:sz w:val="20"/>
          <w:szCs w:val="20"/>
        </w:rPr>
        <w:t>.</w:t>
      </w:r>
      <w:r>
        <w:rPr>
          <w:sz w:val="20"/>
          <w:szCs w:val="20"/>
        </w:rPr>
        <w:t>1</w:t>
      </w:r>
      <w:proofErr w:type="gramStart"/>
      <w:r w:rsidR="00FA3B4E" w:rsidRPr="00471A86">
        <w:rPr>
          <w:sz w:val="20"/>
          <w:szCs w:val="20"/>
        </w:rPr>
        <w:t>.g</w:t>
      </w:r>
      <w:proofErr w:type="gramEnd"/>
      <w:r w:rsidR="00FA3B4E" w:rsidRPr="00FA3B4E">
        <w:rPr>
          <w:sz w:val="20"/>
          <w:szCs w:val="20"/>
        </w:rPr>
        <w:t xml:space="preserve"> Táblázat</w:t>
      </w:r>
    </w:p>
    <w:p w14:paraId="688BBB20" w14:textId="77777777" w:rsidR="00FA3B4E" w:rsidRPr="00506A5A" w:rsidRDefault="00FA3B4E" w:rsidP="00FA3B4E">
      <w:pPr>
        <w:rPr>
          <w:rFonts w:cs="Arial"/>
          <w:b/>
        </w:rPr>
      </w:pPr>
    </w:p>
    <w:p w14:paraId="5396B3C8" w14:textId="77777777" w:rsidR="00FA3B4E" w:rsidRPr="00506A5A" w:rsidRDefault="00FA3B4E" w:rsidP="00FA3B4E">
      <w:pPr>
        <w:pageBreakBefore/>
        <w:spacing w:before="280" w:line="240" w:lineRule="auto"/>
        <w:rPr>
          <w:rFonts w:cs="Arial"/>
          <w:b/>
        </w:rPr>
      </w:pPr>
    </w:p>
    <w:tbl>
      <w:tblPr>
        <w:tblW w:w="5000" w:type="pct"/>
        <w:tblInd w:w="-180" w:type="dxa"/>
        <w:tblBorders>
          <w:top w:val="single" w:sz="4" w:space="0" w:color="454B53"/>
          <w:left w:val="single" w:sz="4" w:space="0" w:color="454B53"/>
          <w:bottom w:val="single" w:sz="4" w:space="0" w:color="454B53"/>
          <w:right w:val="single" w:sz="4" w:space="0" w:color="454B53"/>
          <w:insideH w:val="single" w:sz="4" w:space="0" w:color="454B53"/>
          <w:insideV w:val="single" w:sz="4" w:space="0" w:color="454B53"/>
        </w:tblBorders>
        <w:tblLayout w:type="fixed"/>
        <w:tblCellMar>
          <w:left w:w="117" w:type="dxa"/>
        </w:tblCellMar>
        <w:tblLook w:val="0000" w:firstRow="0" w:lastRow="0" w:firstColumn="0" w:lastColumn="0" w:noHBand="0" w:noVBand="0"/>
      </w:tblPr>
      <w:tblGrid>
        <w:gridCol w:w="2911"/>
        <w:gridCol w:w="2873"/>
        <w:gridCol w:w="3268"/>
      </w:tblGrid>
      <w:tr w:rsidR="00891608" w:rsidRPr="00891608" w14:paraId="2BA60A24" w14:textId="77777777" w:rsidTr="00891608">
        <w:trPr>
          <w:trHeight w:val="680"/>
        </w:trPr>
        <w:tc>
          <w:tcPr>
            <w:tcW w:w="2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496CDF9B" w14:textId="77777777" w:rsidR="00FA3B4E" w:rsidRPr="00891608" w:rsidRDefault="00FA3B4E" w:rsidP="0047628F">
            <w:pPr>
              <w:spacing w:before="280" w:after="280" w:line="280" w:lineRule="exact"/>
              <w:jc w:val="center"/>
              <w:rPr>
                <w:rFonts w:cs="Arial"/>
              </w:rPr>
            </w:pPr>
            <w:r w:rsidRPr="00891608">
              <w:rPr>
                <w:rFonts w:cs="Arial"/>
                <w:b/>
                <w:sz w:val="20"/>
              </w:rPr>
              <w:t>Sugárforrás</w:t>
            </w:r>
          </w:p>
        </w:tc>
        <w:tc>
          <w:tcPr>
            <w:tcW w:w="28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70CB0EAE" w14:textId="77777777" w:rsidR="00FA3B4E" w:rsidRPr="00891608" w:rsidRDefault="00FA3B4E" w:rsidP="0047628F">
            <w:pPr>
              <w:spacing w:before="280" w:after="280" w:line="280" w:lineRule="exact"/>
              <w:jc w:val="center"/>
              <w:rPr>
                <w:rFonts w:cs="Arial"/>
              </w:rPr>
            </w:pPr>
            <w:r w:rsidRPr="00891608">
              <w:rPr>
                <w:rFonts w:cs="Arial"/>
                <w:b/>
                <w:sz w:val="20"/>
              </w:rPr>
              <w:t>Frekvenciasáv</w:t>
            </w:r>
          </w:p>
        </w:tc>
        <w:tc>
          <w:tcPr>
            <w:tcW w:w="32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38FF0D17" w14:textId="77777777" w:rsidR="00FA3B4E" w:rsidRPr="00891608" w:rsidRDefault="00FA3B4E" w:rsidP="0047628F">
            <w:pPr>
              <w:spacing w:before="280" w:after="280" w:line="280" w:lineRule="exact"/>
              <w:jc w:val="center"/>
              <w:rPr>
                <w:rFonts w:cs="Arial"/>
              </w:rPr>
            </w:pPr>
            <w:r w:rsidRPr="00891608">
              <w:rPr>
                <w:rFonts w:cs="Arial"/>
                <w:b/>
                <w:sz w:val="20"/>
              </w:rPr>
              <w:t>Maximum EIRP (Impulzus csúcsteljesítmény)</w:t>
            </w:r>
          </w:p>
        </w:tc>
      </w:tr>
      <w:tr w:rsidR="00FA3B4E" w:rsidRPr="00506A5A" w14:paraId="33AD3106" w14:textId="77777777" w:rsidTr="00891608">
        <w:trPr>
          <w:trHeight w:val="567"/>
        </w:trPr>
        <w:tc>
          <w:tcPr>
            <w:tcW w:w="2914" w:type="dxa"/>
            <w:vMerge w:val="restart"/>
            <w:tcBorders>
              <w:top w:val="single" w:sz="8" w:space="0" w:color="000000" w:themeColor="text1"/>
            </w:tcBorders>
            <w:shd w:val="clear" w:color="auto" w:fill="F2F2F2" w:themeFill="background1" w:themeFillShade="F2"/>
            <w:vAlign w:val="center"/>
          </w:tcPr>
          <w:p w14:paraId="1BDFD84E" w14:textId="77777777" w:rsidR="00FA3B4E" w:rsidRPr="00705B10" w:rsidRDefault="00FA3B4E" w:rsidP="0047628F">
            <w:pPr>
              <w:spacing w:before="280" w:after="280" w:line="280" w:lineRule="exact"/>
              <w:rPr>
                <w:rFonts w:cs="Arial"/>
                <w:sz w:val="20"/>
                <w:szCs w:val="20"/>
              </w:rPr>
            </w:pPr>
            <w:r w:rsidRPr="00705B10">
              <w:rPr>
                <w:rFonts w:cs="Arial"/>
                <w:b/>
                <w:sz w:val="20"/>
                <w:szCs w:val="20"/>
              </w:rPr>
              <w:t>Ferihegy</w:t>
            </w:r>
            <w:r w:rsidRPr="00705B10">
              <w:rPr>
                <w:rFonts w:cs="Arial"/>
                <w:sz w:val="20"/>
                <w:szCs w:val="20"/>
              </w:rPr>
              <w:br/>
              <w:t>antennamagasság: 20 m</w:t>
            </w:r>
          </w:p>
        </w:tc>
        <w:tc>
          <w:tcPr>
            <w:tcW w:w="2876" w:type="dxa"/>
            <w:tcBorders>
              <w:top w:val="single" w:sz="8" w:space="0" w:color="000000" w:themeColor="text1"/>
            </w:tcBorders>
            <w:shd w:val="clear" w:color="auto" w:fill="FFFFFF"/>
            <w:vAlign w:val="center"/>
          </w:tcPr>
          <w:p w14:paraId="7579D7EA" w14:textId="77777777" w:rsidR="00FA3B4E" w:rsidRPr="00705B10" w:rsidRDefault="00FA3B4E" w:rsidP="0047628F">
            <w:pPr>
              <w:spacing w:before="280" w:after="280" w:line="280" w:lineRule="exact"/>
              <w:rPr>
                <w:rFonts w:cs="Arial"/>
                <w:sz w:val="20"/>
                <w:szCs w:val="20"/>
              </w:rPr>
            </w:pPr>
            <w:r w:rsidRPr="00705B10">
              <w:rPr>
                <w:rFonts w:cs="Arial"/>
                <w:sz w:val="20"/>
                <w:szCs w:val="20"/>
              </w:rPr>
              <w:t>2500–2540 MHz</w:t>
            </w:r>
          </w:p>
        </w:tc>
        <w:tc>
          <w:tcPr>
            <w:tcW w:w="3272" w:type="dxa"/>
            <w:tcBorders>
              <w:top w:val="single" w:sz="8" w:space="0" w:color="000000" w:themeColor="text1"/>
            </w:tcBorders>
            <w:shd w:val="clear" w:color="auto" w:fill="FFFFFF"/>
            <w:vAlign w:val="center"/>
          </w:tcPr>
          <w:p w14:paraId="5E5D12F5" w14:textId="77777777" w:rsidR="00FA3B4E" w:rsidRPr="00705B10" w:rsidRDefault="00FA3B4E" w:rsidP="0047628F">
            <w:pPr>
              <w:spacing w:before="280" w:after="280" w:line="280" w:lineRule="exact"/>
              <w:rPr>
                <w:rFonts w:cs="Arial"/>
                <w:sz w:val="20"/>
                <w:szCs w:val="20"/>
              </w:rPr>
            </w:pPr>
            <w:r w:rsidRPr="00705B10">
              <w:rPr>
                <w:rFonts w:cs="Arial"/>
                <w:sz w:val="20"/>
                <w:szCs w:val="20"/>
              </w:rPr>
              <w:t>nincs</w:t>
            </w:r>
          </w:p>
        </w:tc>
      </w:tr>
      <w:tr w:rsidR="00FA3B4E" w:rsidRPr="00506A5A" w14:paraId="276D2644" w14:textId="77777777" w:rsidTr="00FA3B4E">
        <w:trPr>
          <w:trHeight w:val="567"/>
        </w:trPr>
        <w:tc>
          <w:tcPr>
            <w:tcW w:w="2914" w:type="dxa"/>
            <w:vMerge/>
            <w:shd w:val="clear" w:color="auto" w:fill="F2F2F2" w:themeFill="background1" w:themeFillShade="F2"/>
            <w:vAlign w:val="center"/>
          </w:tcPr>
          <w:p w14:paraId="163E7BDD" w14:textId="77777777" w:rsidR="00FA3B4E" w:rsidRPr="00705B10" w:rsidRDefault="00FA3B4E" w:rsidP="0047628F">
            <w:pPr>
              <w:snapToGrid w:val="0"/>
              <w:spacing w:before="280" w:after="280" w:line="280" w:lineRule="exact"/>
              <w:rPr>
                <w:rFonts w:cs="Arial"/>
                <w:sz w:val="20"/>
                <w:szCs w:val="20"/>
              </w:rPr>
            </w:pPr>
          </w:p>
        </w:tc>
        <w:tc>
          <w:tcPr>
            <w:tcW w:w="2876" w:type="dxa"/>
            <w:shd w:val="clear" w:color="auto" w:fill="FFFFFF"/>
            <w:vAlign w:val="center"/>
          </w:tcPr>
          <w:p w14:paraId="7622881A" w14:textId="77777777" w:rsidR="00FA3B4E" w:rsidRPr="00705B10" w:rsidRDefault="00FA3B4E" w:rsidP="0047628F">
            <w:pPr>
              <w:spacing w:before="280" w:after="280" w:line="280" w:lineRule="exact"/>
              <w:rPr>
                <w:rFonts w:cs="Arial"/>
                <w:sz w:val="20"/>
                <w:szCs w:val="20"/>
              </w:rPr>
            </w:pPr>
            <w:r w:rsidRPr="00705B10">
              <w:rPr>
                <w:rFonts w:cs="Arial"/>
                <w:sz w:val="20"/>
                <w:szCs w:val="20"/>
              </w:rPr>
              <w:t>2540–2640 MHz</w:t>
            </w:r>
          </w:p>
        </w:tc>
        <w:tc>
          <w:tcPr>
            <w:tcW w:w="3272" w:type="dxa"/>
            <w:shd w:val="clear" w:color="auto" w:fill="FFFFFF"/>
            <w:vAlign w:val="center"/>
          </w:tcPr>
          <w:p w14:paraId="25CC3DD7" w14:textId="77777777" w:rsidR="00FA3B4E" w:rsidRPr="00705B10" w:rsidRDefault="00FA3B4E" w:rsidP="0047628F">
            <w:pPr>
              <w:spacing w:before="280" w:after="280" w:line="280" w:lineRule="exact"/>
              <w:rPr>
                <w:rFonts w:cs="Arial"/>
                <w:sz w:val="20"/>
                <w:szCs w:val="20"/>
              </w:rPr>
            </w:pPr>
            <w:r w:rsidRPr="00705B10">
              <w:rPr>
                <w:rFonts w:cs="Arial"/>
                <w:sz w:val="20"/>
                <w:szCs w:val="20"/>
              </w:rPr>
              <w:t xml:space="preserve">20–30 </w:t>
            </w:r>
            <w:proofErr w:type="spellStart"/>
            <w:r w:rsidRPr="00705B10">
              <w:rPr>
                <w:rFonts w:cs="Arial"/>
                <w:sz w:val="20"/>
                <w:szCs w:val="20"/>
              </w:rPr>
              <w:t>dBm</w:t>
            </w:r>
            <w:proofErr w:type="spellEnd"/>
            <w:r w:rsidRPr="00705B10">
              <w:rPr>
                <w:rFonts w:cs="Arial"/>
                <w:sz w:val="20"/>
                <w:szCs w:val="20"/>
              </w:rPr>
              <w:t>/MHz</w:t>
            </w:r>
          </w:p>
        </w:tc>
      </w:tr>
      <w:tr w:rsidR="00FA3B4E" w:rsidRPr="00506A5A" w14:paraId="25109A6D" w14:textId="77777777" w:rsidTr="00FA3B4E">
        <w:trPr>
          <w:trHeight w:val="567"/>
        </w:trPr>
        <w:tc>
          <w:tcPr>
            <w:tcW w:w="2914" w:type="dxa"/>
            <w:vMerge/>
            <w:shd w:val="clear" w:color="auto" w:fill="F2F2F2" w:themeFill="background1" w:themeFillShade="F2"/>
            <w:vAlign w:val="center"/>
          </w:tcPr>
          <w:p w14:paraId="2161CB48" w14:textId="77777777" w:rsidR="00FA3B4E" w:rsidRPr="00705B10" w:rsidRDefault="00FA3B4E" w:rsidP="0047628F">
            <w:pPr>
              <w:snapToGrid w:val="0"/>
              <w:spacing w:before="280" w:after="280" w:line="280" w:lineRule="exact"/>
              <w:rPr>
                <w:rFonts w:cs="Arial"/>
                <w:sz w:val="20"/>
                <w:szCs w:val="20"/>
              </w:rPr>
            </w:pPr>
          </w:p>
        </w:tc>
        <w:tc>
          <w:tcPr>
            <w:tcW w:w="2876" w:type="dxa"/>
            <w:shd w:val="clear" w:color="auto" w:fill="FFFFFF"/>
            <w:vAlign w:val="center"/>
          </w:tcPr>
          <w:p w14:paraId="3FC0550F" w14:textId="77777777" w:rsidR="00FA3B4E" w:rsidRPr="00705B10" w:rsidRDefault="00FA3B4E" w:rsidP="0047628F">
            <w:pPr>
              <w:spacing w:before="280" w:after="280" w:line="280" w:lineRule="exact"/>
              <w:rPr>
                <w:rFonts w:cs="Arial"/>
                <w:sz w:val="20"/>
                <w:szCs w:val="20"/>
              </w:rPr>
            </w:pPr>
            <w:r w:rsidRPr="00705B10">
              <w:rPr>
                <w:rFonts w:cs="Arial"/>
                <w:sz w:val="20"/>
                <w:szCs w:val="20"/>
              </w:rPr>
              <w:t>2640–2690 MHz</w:t>
            </w:r>
          </w:p>
        </w:tc>
        <w:tc>
          <w:tcPr>
            <w:tcW w:w="3272" w:type="dxa"/>
            <w:shd w:val="clear" w:color="auto" w:fill="FFFFFF"/>
            <w:vAlign w:val="center"/>
          </w:tcPr>
          <w:p w14:paraId="508BFA5D" w14:textId="77777777" w:rsidR="00FA3B4E" w:rsidRPr="007E0A48" w:rsidRDefault="00FA3B4E" w:rsidP="00FA3B4E">
            <w:pPr>
              <w:keepNext/>
              <w:spacing w:before="280" w:after="280" w:line="280" w:lineRule="exact"/>
              <w:rPr>
                <w:sz w:val="20"/>
                <w:szCs w:val="20"/>
              </w:rPr>
            </w:pPr>
            <w:r w:rsidRPr="00B70D48">
              <w:rPr>
                <w:rFonts w:cs="Arial"/>
                <w:sz w:val="20"/>
                <w:szCs w:val="20"/>
              </w:rPr>
              <w:t xml:space="preserve">30 </w:t>
            </w:r>
            <w:proofErr w:type="spellStart"/>
            <w:r w:rsidRPr="00B70D48">
              <w:rPr>
                <w:rFonts w:cs="Arial"/>
                <w:sz w:val="20"/>
                <w:szCs w:val="20"/>
              </w:rPr>
              <w:t>dBm</w:t>
            </w:r>
            <w:proofErr w:type="spellEnd"/>
            <w:r w:rsidRPr="00B70D48">
              <w:rPr>
                <w:rFonts w:cs="Arial"/>
                <w:sz w:val="20"/>
                <w:szCs w:val="20"/>
              </w:rPr>
              <w:t>/MHz</w:t>
            </w:r>
          </w:p>
        </w:tc>
      </w:tr>
    </w:tbl>
    <w:p w14:paraId="3969C354" w14:textId="1F4BD57D" w:rsidR="00FA3B4E" w:rsidRPr="00FA3B4E" w:rsidRDefault="000A2B9F" w:rsidP="00FA3B4E">
      <w:pPr>
        <w:pStyle w:val="Kpalrs"/>
        <w:jc w:val="center"/>
        <w:rPr>
          <w:b w:val="0"/>
          <w:sz w:val="20"/>
          <w:szCs w:val="20"/>
        </w:rPr>
      </w:pPr>
      <w:r>
        <w:rPr>
          <w:sz w:val="20"/>
          <w:szCs w:val="20"/>
        </w:rPr>
        <w:t>6</w:t>
      </w:r>
      <w:r w:rsidR="00FA3B4E" w:rsidRPr="00471A86">
        <w:rPr>
          <w:sz w:val="20"/>
          <w:szCs w:val="20"/>
        </w:rPr>
        <w:t>.</w:t>
      </w:r>
      <w:r>
        <w:rPr>
          <w:sz w:val="20"/>
          <w:szCs w:val="20"/>
        </w:rPr>
        <w:t>1</w:t>
      </w:r>
      <w:proofErr w:type="gramStart"/>
      <w:r w:rsidR="00FA3B4E" w:rsidRPr="00471A86">
        <w:rPr>
          <w:sz w:val="20"/>
          <w:szCs w:val="20"/>
        </w:rPr>
        <w:t>.h</w:t>
      </w:r>
      <w:proofErr w:type="gramEnd"/>
      <w:r w:rsidR="00FA3B4E" w:rsidRPr="00FA3B4E">
        <w:rPr>
          <w:sz w:val="20"/>
          <w:szCs w:val="20"/>
        </w:rPr>
        <w:t xml:space="preserve"> Táblázat</w:t>
      </w:r>
    </w:p>
    <w:p w14:paraId="73FB19D2" w14:textId="77777777" w:rsidR="00831317" w:rsidRDefault="00831317">
      <w:pPr>
        <w:spacing w:after="200"/>
        <w:jc w:val="left"/>
      </w:pPr>
    </w:p>
    <w:p w14:paraId="00F66244" w14:textId="5D5C4353" w:rsidR="00831317" w:rsidRDefault="00831317" w:rsidP="00831317">
      <w:pPr>
        <w:pStyle w:val="Cmsor2szmozottnmhh"/>
      </w:pPr>
      <w:bookmarkStart w:id="36" w:name="_Toc96075725"/>
      <w:r w:rsidRPr="00506A5A">
        <w:t>A szomszédos frekvenciasávok alkalmazásait érintő zavarások elkerülésére vonatkozó követelmények</w:t>
      </w:r>
      <w:bookmarkEnd w:id="36"/>
    </w:p>
    <w:p w14:paraId="0F2A850C" w14:textId="49FD4E2B" w:rsidR="00831317" w:rsidRPr="00540223" w:rsidRDefault="00831317" w:rsidP="00831317">
      <w:pPr>
        <w:widowControl w:val="0"/>
        <w:spacing w:before="280"/>
        <w:rPr>
          <w:rFonts w:cs="Arial"/>
          <w:sz w:val="20"/>
        </w:rPr>
      </w:pPr>
      <w:r w:rsidRPr="00540223">
        <w:rPr>
          <w:rFonts w:cs="Arial"/>
          <w:sz w:val="20"/>
        </w:rPr>
        <w:t xml:space="preserve">MFCN állomás telepítésekor a 2700–3100 MHz </w:t>
      </w:r>
      <w:r w:rsidRPr="00540223">
        <w:rPr>
          <w:rFonts w:cs="Arial"/>
          <w:sz w:val="20"/>
          <w:szCs w:val="20"/>
        </w:rPr>
        <w:t>frekvenciasávban</w:t>
      </w:r>
      <w:r w:rsidRPr="00540223">
        <w:rPr>
          <w:rFonts w:cs="Arial"/>
          <w:sz w:val="20"/>
        </w:rPr>
        <w:t xml:space="preserve"> működő, korábban engedélyezett katonai és polgári radarok zavarásának elkerülése érdekében a hírközlési szolgáltatást nyújtó MFCN rendszerek bázisállomásainak térerősség szintjei a katonai és polgári radarok telepítés</w:t>
      </w:r>
      <w:r>
        <w:rPr>
          <w:rFonts w:cs="Arial"/>
          <w:sz w:val="20"/>
        </w:rPr>
        <w:t xml:space="preserve">i helyén nem haladhatják meg a </w:t>
      </w:r>
      <w:r w:rsidR="000A2B9F">
        <w:rPr>
          <w:rFonts w:cs="Arial"/>
          <w:sz w:val="20"/>
        </w:rPr>
        <w:t>6</w:t>
      </w:r>
      <w:r>
        <w:rPr>
          <w:rFonts w:cs="Arial"/>
          <w:sz w:val="20"/>
        </w:rPr>
        <w:t>.</w:t>
      </w:r>
      <w:r w:rsidRPr="00540223">
        <w:rPr>
          <w:rFonts w:cs="Arial"/>
          <w:sz w:val="20"/>
        </w:rPr>
        <w:t>2 táblázatban megadott értékeket.</w:t>
      </w:r>
    </w:p>
    <w:tbl>
      <w:tblPr>
        <w:tblW w:w="5334" w:type="pct"/>
        <w:tblInd w:w="-175" w:type="dxa"/>
        <w:tblBorders>
          <w:top w:val="single" w:sz="4" w:space="0" w:color="454B53"/>
          <w:left w:val="single" w:sz="4" w:space="0" w:color="454B53"/>
          <w:bottom w:val="single" w:sz="4" w:space="0" w:color="454B53"/>
          <w:right w:val="single" w:sz="4" w:space="0" w:color="454B53"/>
          <w:insideH w:val="single" w:sz="4" w:space="0" w:color="454B53"/>
          <w:insideV w:val="single" w:sz="4" w:space="0" w:color="454B53"/>
        </w:tblBorders>
        <w:tblLayout w:type="fixed"/>
        <w:tblCellMar>
          <w:left w:w="117" w:type="dxa"/>
        </w:tblCellMar>
        <w:tblLook w:val="0000" w:firstRow="0" w:lastRow="0" w:firstColumn="0" w:lastColumn="0" w:noHBand="0" w:noVBand="0"/>
      </w:tblPr>
      <w:tblGrid>
        <w:gridCol w:w="1445"/>
        <w:gridCol w:w="1909"/>
        <w:gridCol w:w="1727"/>
        <w:gridCol w:w="1320"/>
        <w:gridCol w:w="3256"/>
      </w:tblGrid>
      <w:tr w:rsidR="00891608" w:rsidRPr="00891608" w14:paraId="49169301" w14:textId="77777777" w:rsidTr="00891608">
        <w:trPr>
          <w:cantSplit/>
          <w:trHeight w:val="454"/>
          <w:tblHeader/>
        </w:trPr>
        <w:tc>
          <w:tcPr>
            <w:tcW w:w="144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38DFE040" w14:textId="77777777" w:rsidR="00831317" w:rsidRPr="00891608" w:rsidRDefault="00831317" w:rsidP="0047628F">
            <w:pPr>
              <w:spacing w:before="280" w:after="280" w:line="280" w:lineRule="exact"/>
              <w:jc w:val="center"/>
              <w:rPr>
                <w:rFonts w:cs="Arial"/>
                <w:sz w:val="20"/>
                <w:szCs w:val="20"/>
              </w:rPr>
            </w:pPr>
            <w:r w:rsidRPr="00891608">
              <w:rPr>
                <w:rFonts w:cs="Arial"/>
                <w:b/>
                <w:sz w:val="20"/>
                <w:szCs w:val="20"/>
              </w:rPr>
              <w:t>Telephelyek</w:t>
            </w:r>
          </w:p>
        </w:tc>
        <w:tc>
          <w:tcPr>
            <w:tcW w:w="36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7FAAC313" w14:textId="77777777" w:rsidR="00831317" w:rsidRPr="00891608" w:rsidRDefault="00831317" w:rsidP="0047628F">
            <w:pPr>
              <w:spacing w:before="280" w:after="280" w:line="280" w:lineRule="exact"/>
              <w:jc w:val="center"/>
              <w:rPr>
                <w:rFonts w:cs="Arial"/>
                <w:sz w:val="20"/>
                <w:szCs w:val="20"/>
              </w:rPr>
            </w:pPr>
            <w:r w:rsidRPr="00891608">
              <w:rPr>
                <w:rFonts w:cs="Arial"/>
                <w:b/>
                <w:sz w:val="20"/>
                <w:szCs w:val="20"/>
              </w:rPr>
              <w:t>Telephelyek földrajzi koordinátái (WGS-84)</w:t>
            </w:r>
          </w:p>
        </w:tc>
        <w:tc>
          <w:tcPr>
            <w:tcW w:w="132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550AA936" w14:textId="77777777" w:rsidR="00831317" w:rsidRPr="00891608" w:rsidRDefault="00831317" w:rsidP="0047628F">
            <w:pPr>
              <w:spacing w:before="280" w:after="280" w:line="280" w:lineRule="exact"/>
              <w:jc w:val="center"/>
              <w:rPr>
                <w:rFonts w:cs="Arial"/>
                <w:sz w:val="20"/>
                <w:szCs w:val="20"/>
              </w:rPr>
            </w:pPr>
            <w:r w:rsidRPr="00891608">
              <w:rPr>
                <w:rFonts w:cs="Arial"/>
                <w:b/>
                <w:sz w:val="20"/>
                <w:szCs w:val="20"/>
              </w:rPr>
              <w:t>Eszköz</w:t>
            </w:r>
          </w:p>
        </w:tc>
        <w:tc>
          <w:tcPr>
            <w:tcW w:w="326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150A5975" w14:textId="77777777" w:rsidR="00831317" w:rsidRPr="00891608" w:rsidRDefault="00831317" w:rsidP="0047628F">
            <w:pPr>
              <w:spacing w:before="280" w:after="280" w:line="280" w:lineRule="exact"/>
              <w:jc w:val="center"/>
              <w:rPr>
                <w:rFonts w:cs="Arial"/>
                <w:sz w:val="20"/>
                <w:szCs w:val="20"/>
              </w:rPr>
            </w:pPr>
            <w:r w:rsidRPr="00891608">
              <w:rPr>
                <w:rFonts w:cs="Arial"/>
                <w:b/>
                <w:sz w:val="20"/>
                <w:szCs w:val="20"/>
              </w:rPr>
              <w:t>Az MFCN BS legnagyobb megengedett térerősségszintje a radarok telephelyén</w:t>
            </w:r>
          </w:p>
        </w:tc>
      </w:tr>
      <w:tr w:rsidR="00891608" w:rsidRPr="00891608" w14:paraId="34DB6CD4" w14:textId="77777777" w:rsidTr="00891608">
        <w:trPr>
          <w:cantSplit/>
          <w:trHeight w:val="863"/>
          <w:tblHeader/>
        </w:trPr>
        <w:tc>
          <w:tcPr>
            <w:tcW w:w="144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02125B5E" w14:textId="77777777" w:rsidR="00831317" w:rsidRPr="00891608" w:rsidRDefault="00831317" w:rsidP="0047628F">
            <w:pPr>
              <w:snapToGrid w:val="0"/>
              <w:spacing w:before="280" w:after="280" w:line="280" w:lineRule="exact"/>
              <w:jc w:val="center"/>
              <w:rPr>
                <w:rFonts w:cs="Arial"/>
                <w:b/>
                <w:sz w:val="20"/>
                <w:szCs w:val="20"/>
              </w:rPr>
            </w:pPr>
          </w:p>
        </w:tc>
        <w:tc>
          <w:tcPr>
            <w:tcW w:w="19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1547DC00" w14:textId="77777777" w:rsidR="00831317" w:rsidRPr="00891608" w:rsidRDefault="00831317" w:rsidP="0047628F">
            <w:pPr>
              <w:spacing w:before="280" w:after="280" w:line="280" w:lineRule="exact"/>
              <w:jc w:val="center"/>
              <w:rPr>
                <w:rFonts w:cs="Arial"/>
                <w:sz w:val="20"/>
                <w:szCs w:val="20"/>
              </w:rPr>
            </w:pPr>
            <w:r w:rsidRPr="00891608">
              <w:rPr>
                <w:rFonts w:cs="Arial"/>
                <w:sz w:val="20"/>
                <w:szCs w:val="20"/>
              </w:rPr>
              <w:t>Észak</w:t>
            </w:r>
          </w:p>
        </w:tc>
        <w:tc>
          <w:tcPr>
            <w:tcW w:w="17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00CF9DFC" w14:textId="77777777" w:rsidR="00831317" w:rsidRPr="00891608" w:rsidRDefault="00831317" w:rsidP="0047628F">
            <w:pPr>
              <w:spacing w:before="280" w:after="280" w:line="280" w:lineRule="exact"/>
              <w:jc w:val="center"/>
              <w:rPr>
                <w:rFonts w:cs="Arial"/>
                <w:sz w:val="20"/>
                <w:szCs w:val="20"/>
              </w:rPr>
            </w:pPr>
            <w:r w:rsidRPr="00891608">
              <w:rPr>
                <w:rFonts w:cs="Arial"/>
                <w:sz w:val="20"/>
                <w:szCs w:val="20"/>
              </w:rPr>
              <w:t>Kelet</w:t>
            </w:r>
          </w:p>
        </w:tc>
        <w:tc>
          <w:tcPr>
            <w:tcW w:w="132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37EC7695" w14:textId="77777777" w:rsidR="00831317" w:rsidRPr="00891608" w:rsidRDefault="00831317" w:rsidP="0047628F">
            <w:pPr>
              <w:snapToGrid w:val="0"/>
              <w:spacing w:before="280" w:after="280" w:line="280" w:lineRule="exact"/>
              <w:jc w:val="center"/>
              <w:rPr>
                <w:rFonts w:cs="Arial"/>
                <w:b/>
                <w:sz w:val="20"/>
                <w:szCs w:val="20"/>
              </w:rPr>
            </w:pPr>
          </w:p>
        </w:tc>
        <w:tc>
          <w:tcPr>
            <w:tcW w:w="326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058E0827" w14:textId="77777777" w:rsidR="00831317" w:rsidRPr="00891608" w:rsidRDefault="00831317" w:rsidP="0047628F">
            <w:pPr>
              <w:snapToGrid w:val="0"/>
              <w:spacing w:before="280" w:after="280" w:line="280" w:lineRule="exact"/>
              <w:jc w:val="center"/>
              <w:rPr>
                <w:rFonts w:cs="Arial"/>
                <w:b/>
                <w:sz w:val="20"/>
                <w:szCs w:val="20"/>
              </w:rPr>
            </w:pPr>
          </w:p>
        </w:tc>
      </w:tr>
      <w:tr w:rsidR="00831317" w:rsidRPr="00E35D64" w14:paraId="73901560" w14:textId="77777777" w:rsidTr="00891608">
        <w:trPr>
          <w:cantSplit/>
          <w:trHeight w:val="454"/>
        </w:trPr>
        <w:tc>
          <w:tcPr>
            <w:tcW w:w="1446" w:type="dxa"/>
            <w:tcBorders>
              <w:top w:val="single" w:sz="8" w:space="0" w:color="000000" w:themeColor="text1"/>
            </w:tcBorders>
            <w:shd w:val="clear" w:color="auto" w:fill="auto"/>
            <w:vAlign w:val="center"/>
          </w:tcPr>
          <w:p w14:paraId="60EABE61" w14:textId="77777777" w:rsidR="00831317" w:rsidRPr="00E35D64" w:rsidRDefault="00831317" w:rsidP="0047628F">
            <w:pPr>
              <w:spacing w:before="280" w:after="280" w:line="280" w:lineRule="exact"/>
              <w:rPr>
                <w:rFonts w:cs="Arial"/>
                <w:sz w:val="20"/>
                <w:szCs w:val="20"/>
              </w:rPr>
            </w:pPr>
            <w:r w:rsidRPr="00E35D64">
              <w:rPr>
                <w:rFonts w:cs="Arial"/>
                <w:b/>
                <w:sz w:val="20"/>
                <w:szCs w:val="20"/>
              </w:rPr>
              <w:t>Kup</w:t>
            </w:r>
          </w:p>
        </w:tc>
        <w:tc>
          <w:tcPr>
            <w:tcW w:w="1911" w:type="dxa"/>
            <w:tcBorders>
              <w:top w:val="single" w:sz="8" w:space="0" w:color="000000" w:themeColor="text1"/>
            </w:tcBorders>
            <w:shd w:val="clear" w:color="auto" w:fill="auto"/>
            <w:vAlign w:val="center"/>
          </w:tcPr>
          <w:p w14:paraId="28968660" w14:textId="77777777" w:rsidR="00831317" w:rsidRPr="00E35D64" w:rsidRDefault="00831317" w:rsidP="0047628F">
            <w:pPr>
              <w:spacing w:before="280" w:after="280" w:line="280" w:lineRule="exact"/>
              <w:rPr>
                <w:rFonts w:cs="Arial"/>
                <w:sz w:val="20"/>
                <w:szCs w:val="20"/>
              </w:rPr>
            </w:pPr>
            <w:r w:rsidRPr="00E35D64">
              <w:rPr>
                <w:rFonts w:cs="Arial"/>
                <w:sz w:val="20"/>
                <w:szCs w:val="20"/>
              </w:rPr>
              <w:t>47°15’07”</w:t>
            </w:r>
          </w:p>
        </w:tc>
        <w:tc>
          <w:tcPr>
            <w:tcW w:w="1729" w:type="dxa"/>
            <w:tcBorders>
              <w:top w:val="single" w:sz="8" w:space="0" w:color="000000" w:themeColor="text1"/>
            </w:tcBorders>
            <w:shd w:val="clear" w:color="auto" w:fill="auto"/>
            <w:vAlign w:val="center"/>
          </w:tcPr>
          <w:p w14:paraId="31ADE35F" w14:textId="77777777" w:rsidR="00831317" w:rsidRPr="00E35D64" w:rsidRDefault="00831317" w:rsidP="0047628F">
            <w:pPr>
              <w:spacing w:before="280" w:after="280" w:line="280" w:lineRule="exact"/>
              <w:rPr>
                <w:rFonts w:cs="Arial"/>
                <w:sz w:val="20"/>
                <w:szCs w:val="20"/>
              </w:rPr>
            </w:pPr>
            <w:r w:rsidRPr="00E35D64">
              <w:rPr>
                <w:rFonts w:cs="Arial"/>
                <w:sz w:val="20"/>
                <w:szCs w:val="20"/>
              </w:rPr>
              <w:t>17°28’13”</w:t>
            </w:r>
          </w:p>
        </w:tc>
        <w:tc>
          <w:tcPr>
            <w:tcW w:w="1321" w:type="dxa"/>
            <w:tcBorders>
              <w:top w:val="single" w:sz="8" w:space="0" w:color="000000" w:themeColor="text1"/>
            </w:tcBorders>
            <w:shd w:val="clear" w:color="auto" w:fill="auto"/>
            <w:vAlign w:val="center"/>
          </w:tcPr>
          <w:p w14:paraId="76F88CD3" w14:textId="77777777" w:rsidR="00831317" w:rsidRPr="00E35D64" w:rsidRDefault="00831317" w:rsidP="0047628F">
            <w:pPr>
              <w:spacing w:before="280" w:after="280" w:line="280" w:lineRule="exact"/>
              <w:rPr>
                <w:rFonts w:cs="Arial"/>
                <w:sz w:val="20"/>
                <w:szCs w:val="20"/>
              </w:rPr>
            </w:pPr>
            <w:r w:rsidRPr="00E35D64">
              <w:rPr>
                <w:rFonts w:cs="Arial"/>
                <w:sz w:val="20"/>
                <w:szCs w:val="20"/>
              </w:rPr>
              <w:t>Katonai radarok</w:t>
            </w:r>
          </w:p>
        </w:tc>
        <w:tc>
          <w:tcPr>
            <w:tcW w:w="3260" w:type="dxa"/>
            <w:vMerge w:val="restart"/>
            <w:tcBorders>
              <w:top w:val="single" w:sz="8" w:space="0" w:color="000000" w:themeColor="text1"/>
            </w:tcBorders>
            <w:shd w:val="clear" w:color="auto" w:fill="auto"/>
            <w:vAlign w:val="center"/>
          </w:tcPr>
          <w:p w14:paraId="383F6846" w14:textId="6B0193C9" w:rsidR="00831317" w:rsidRPr="00E35D64" w:rsidRDefault="00831317" w:rsidP="0079418F">
            <w:pPr>
              <w:spacing w:before="280" w:after="280" w:line="280" w:lineRule="exact"/>
              <w:rPr>
                <w:rFonts w:cs="Arial"/>
                <w:sz w:val="20"/>
                <w:szCs w:val="20"/>
              </w:rPr>
            </w:pPr>
            <w:r w:rsidRPr="00E35D64">
              <w:rPr>
                <w:rFonts w:cs="Arial"/>
                <w:sz w:val="20"/>
                <w:szCs w:val="20"/>
              </w:rPr>
              <w:t xml:space="preserve">70 </w:t>
            </w:r>
            <w:proofErr w:type="spellStart"/>
            <w:r w:rsidRPr="00E35D64">
              <w:rPr>
                <w:rFonts w:cs="Arial"/>
                <w:sz w:val="20"/>
                <w:szCs w:val="20"/>
              </w:rPr>
              <w:t>dBμV</w:t>
            </w:r>
            <w:proofErr w:type="spellEnd"/>
            <w:r w:rsidRPr="00E35D64">
              <w:rPr>
                <w:rFonts w:cs="Arial"/>
                <w:sz w:val="20"/>
                <w:szCs w:val="20"/>
              </w:rPr>
              <w:t>/m</w:t>
            </w:r>
            <w:r w:rsidR="0079418F">
              <w:rPr>
                <w:rFonts w:cs="Arial"/>
                <w:sz w:val="20"/>
                <w:szCs w:val="20"/>
              </w:rPr>
              <w:t xml:space="preserve"> </w:t>
            </w:r>
            <w:r w:rsidRPr="00E35D64">
              <w:rPr>
                <w:rFonts w:cs="Arial"/>
                <w:sz w:val="20"/>
                <w:szCs w:val="20"/>
              </w:rPr>
              <w:t>a 2620 – 2690 MHz frekvenciasávban</w:t>
            </w:r>
          </w:p>
        </w:tc>
      </w:tr>
      <w:tr w:rsidR="00831317" w:rsidRPr="00E35D64" w14:paraId="6307D047" w14:textId="77777777" w:rsidTr="0079418F">
        <w:trPr>
          <w:cantSplit/>
          <w:trHeight w:val="454"/>
        </w:trPr>
        <w:tc>
          <w:tcPr>
            <w:tcW w:w="1446" w:type="dxa"/>
            <w:shd w:val="clear" w:color="auto" w:fill="F2F2F2" w:themeFill="background1" w:themeFillShade="F2"/>
            <w:vAlign w:val="center"/>
          </w:tcPr>
          <w:p w14:paraId="7990FCCE" w14:textId="77777777" w:rsidR="00831317" w:rsidRPr="00E35D64" w:rsidRDefault="00831317" w:rsidP="0047628F">
            <w:pPr>
              <w:spacing w:before="280" w:after="280" w:line="280" w:lineRule="exact"/>
              <w:rPr>
                <w:rFonts w:cs="Arial"/>
                <w:sz w:val="20"/>
                <w:szCs w:val="20"/>
              </w:rPr>
            </w:pPr>
            <w:r w:rsidRPr="00E35D64">
              <w:rPr>
                <w:rFonts w:cs="Arial"/>
                <w:b/>
                <w:sz w:val="20"/>
                <w:szCs w:val="20"/>
              </w:rPr>
              <w:t>Juta</w:t>
            </w:r>
          </w:p>
        </w:tc>
        <w:tc>
          <w:tcPr>
            <w:tcW w:w="1911" w:type="dxa"/>
            <w:shd w:val="clear" w:color="auto" w:fill="F2F2F2" w:themeFill="background1" w:themeFillShade="F2"/>
            <w:vAlign w:val="center"/>
          </w:tcPr>
          <w:p w14:paraId="4A3F71A2" w14:textId="77777777" w:rsidR="00831317" w:rsidRPr="00E35D64" w:rsidRDefault="00831317" w:rsidP="0047628F">
            <w:pPr>
              <w:spacing w:before="280" w:after="280" w:line="280" w:lineRule="exact"/>
              <w:rPr>
                <w:rFonts w:cs="Arial"/>
                <w:sz w:val="20"/>
                <w:szCs w:val="20"/>
              </w:rPr>
            </w:pPr>
            <w:r w:rsidRPr="00E35D64">
              <w:rPr>
                <w:rFonts w:cs="Arial"/>
                <w:sz w:val="20"/>
                <w:szCs w:val="20"/>
              </w:rPr>
              <w:t>46°23’27”</w:t>
            </w:r>
          </w:p>
        </w:tc>
        <w:tc>
          <w:tcPr>
            <w:tcW w:w="1729" w:type="dxa"/>
            <w:shd w:val="clear" w:color="auto" w:fill="F2F2F2" w:themeFill="background1" w:themeFillShade="F2"/>
            <w:vAlign w:val="center"/>
          </w:tcPr>
          <w:p w14:paraId="7EF724FF" w14:textId="77777777" w:rsidR="00831317" w:rsidRPr="00E35D64" w:rsidRDefault="00831317" w:rsidP="0047628F">
            <w:pPr>
              <w:spacing w:before="280" w:after="280" w:line="280" w:lineRule="exact"/>
              <w:rPr>
                <w:rFonts w:cs="Arial"/>
                <w:sz w:val="20"/>
                <w:szCs w:val="20"/>
              </w:rPr>
            </w:pPr>
            <w:r w:rsidRPr="00E35D64">
              <w:rPr>
                <w:rFonts w:cs="Arial"/>
                <w:sz w:val="20"/>
                <w:szCs w:val="20"/>
              </w:rPr>
              <w:t>17°44’06”</w:t>
            </w:r>
          </w:p>
        </w:tc>
        <w:tc>
          <w:tcPr>
            <w:tcW w:w="1321" w:type="dxa"/>
            <w:shd w:val="clear" w:color="auto" w:fill="F2F2F2" w:themeFill="background1" w:themeFillShade="F2"/>
            <w:vAlign w:val="center"/>
          </w:tcPr>
          <w:p w14:paraId="6A533FF9" w14:textId="77777777" w:rsidR="00831317" w:rsidRPr="00E35D64" w:rsidRDefault="00831317" w:rsidP="0047628F">
            <w:pPr>
              <w:spacing w:before="280" w:after="280" w:line="280" w:lineRule="exact"/>
              <w:rPr>
                <w:rFonts w:cs="Arial"/>
                <w:sz w:val="20"/>
                <w:szCs w:val="20"/>
              </w:rPr>
            </w:pPr>
            <w:r w:rsidRPr="00E35D64">
              <w:rPr>
                <w:rFonts w:cs="Arial"/>
                <w:sz w:val="20"/>
                <w:szCs w:val="20"/>
              </w:rPr>
              <w:t>Katonai radarok</w:t>
            </w:r>
          </w:p>
        </w:tc>
        <w:tc>
          <w:tcPr>
            <w:tcW w:w="3260" w:type="dxa"/>
            <w:vMerge/>
            <w:shd w:val="clear" w:color="auto" w:fill="auto"/>
            <w:vAlign w:val="center"/>
          </w:tcPr>
          <w:p w14:paraId="16CA1EAF" w14:textId="77777777" w:rsidR="00831317" w:rsidRPr="00E35D64" w:rsidRDefault="00831317" w:rsidP="0047628F">
            <w:pPr>
              <w:snapToGrid w:val="0"/>
              <w:spacing w:before="280" w:after="280" w:line="280" w:lineRule="exact"/>
              <w:rPr>
                <w:rFonts w:cs="Arial"/>
                <w:sz w:val="20"/>
                <w:szCs w:val="20"/>
              </w:rPr>
            </w:pPr>
          </w:p>
        </w:tc>
      </w:tr>
      <w:tr w:rsidR="00831317" w:rsidRPr="00E35D64" w14:paraId="6AD82E8A" w14:textId="77777777" w:rsidTr="0079418F">
        <w:trPr>
          <w:cantSplit/>
          <w:trHeight w:val="454"/>
        </w:trPr>
        <w:tc>
          <w:tcPr>
            <w:tcW w:w="1446" w:type="dxa"/>
            <w:shd w:val="clear" w:color="auto" w:fill="auto"/>
            <w:vAlign w:val="center"/>
          </w:tcPr>
          <w:p w14:paraId="3DCE102E" w14:textId="77777777" w:rsidR="00831317" w:rsidRPr="00E35D64" w:rsidRDefault="00831317" w:rsidP="0047628F">
            <w:pPr>
              <w:spacing w:before="280" w:after="280" w:line="280" w:lineRule="exact"/>
              <w:rPr>
                <w:rFonts w:cs="Arial"/>
                <w:sz w:val="20"/>
                <w:szCs w:val="20"/>
              </w:rPr>
            </w:pPr>
            <w:r w:rsidRPr="00E35D64">
              <w:rPr>
                <w:rFonts w:cs="Arial"/>
                <w:b/>
                <w:sz w:val="20"/>
                <w:szCs w:val="20"/>
              </w:rPr>
              <w:t>Békéscsaba</w:t>
            </w:r>
          </w:p>
        </w:tc>
        <w:tc>
          <w:tcPr>
            <w:tcW w:w="1911" w:type="dxa"/>
            <w:shd w:val="clear" w:color="auto" w:fill="auto"/>
            <w:vAlign w:val="center"/>
          </w:tcPr>
          <w:p w14:paraId="254F8D21" w14:textId="77777777" w:rsidR="00831317" w:rsidRPr="00E35D64" w:rsidRDefault="00831317" w:rsidP="0047628F">
            <w:pPr>
              <w:spacing w:before="280" w:after="280" w:line="280" w:lineRule="exact"/>
              <w:rPr>
                <w:rFonts w:cs="Arial"/>
                <w:sz w:val="20"/>
                <w:szCs w:val="20"/>
              </w:rPr>
            </w:pPr>
            <w:r w:rsidRPr="00E35D64">
              <w:rPr>
                <w:rFonts w:cs="Arial"/>
                <w:sz w:val="20"/>
                <w:szCs w:val="20"/>
              </w:rPr>
              <w:t>46°41’06”</w:t>
            </w:r>
          </w:p>
        </w:tc>
        <w:tc>
          <w:tcPr>
            <w:tcW w:w="1729" w:type="dxa"/>
            <w:shd w:val="clear" w:color="auto" w:fill="auto"/>
            <w:vAlign w:val="center"/>
          </w:tcPr>
          <w:p w14:paraId="77E5EB59" w14:textId="77777777" w:rsidR="00831317" w:rsidRPr="00E35D64" w:rsidRDefault="00831317" w:rsidP="0047628F">
            <w:pPr>
              <w:spacing w:before="280" w:after="280" w:line="280" w:lineRule="exact"/>
              <w:rPr>
                <w:rFonts w:cs="Arial"/>
                <w:sz w:val="20"/>
                <w:szCs w:val="20"/>
              </w:rPr>
            </w:pPr>
            <w:r w:rsidRPr="00E35D64">
              <w:rPr>
                <w:rFonts w:cs="Arial"/>
                <w:sz w:val="20"/>
                <w:szCs w:val="20"/>
              </w:rPr>
              <w:t>21°00’48”</w:t>
            </w:r>
          </w:p>
        </w:tc>
        <w:tc>
          <w:tcPr>
            <w:tcW w:w="1321" w:type="dxa"/>
            <w:shd w:val="clear" w:color="auto" w:fill="auto"/>
            <w:vAlign w:val="center"/>
          </w:tcPr>
          <w:p w14:paraId="4A82B6A8" w14:textId="77777777" w:rsidR="00831317" w:rsidRPr="00E35D64" w:rsidRDefault="00831317" w:rsidP="0047628F">
            <w:pPr>
              <w:spacing w:before="280" w:after="280" w:line="280" w:lineRule="exact"/>
              <w:rPr>
                <w:rFonts w:cs="Arial"/>
                <w:sz w:val="20"/>
                <w:szCs w:val="20"/>
              </w:rPr>
            </w:pPr>
            <w:r w:rsidRPr="00E35D64">
              <w:rPr>
                <w:rFonts w:cs="Arial"/>
                <w:sz w:val="20"/>
                <w:szCs w:val="20"/>
              </w:rPr>
              <w:t>Katonai radarok</w:t>
            </w:r>
          </w:p>
        </w:tc>
        <w:tc>
          <w:tcPr>
            <w:tcW w:w="3260" w:type="dxa"/>
            <w:vMerge/>
            <w:shd w:val="clear" w:color="auto" w:fill="auto"/>
            <w:vAlign w:val="center"/>
          </w:tcPr>
          <w:p w14:paraId="13A638A8" w14:textId="77777777" w:rsidR="00831317" w:rsidRPr="00E35D64" w:rsidRDefault="00831317" w:rsidP="0047628F">
            <w:pPr>
              <w:snapToGrid w:val="0"/>
              <w:spacing w:before="280" w:after="280" w:line="280" w:lineRule="exact"/>
              <w:rPr>
                <w:rFonts w:cs="Arial"/>
                <w:sz w:val="20"/>
                <w:szCs w:val="20"/>
              </w:rPr>
            </w:pPr>
          </w:p>
        </w:tc>
      </w:tr>
      <w:tr w:rsidR="00831317" w:rsidRPr="00382B05" w14:paraId="0FAE2C34" w14:textId="77777777" w:rsidTr="0079418F">
        <w:trPr>
          <w:cantSplit/>
          <w:trHeight w:val="454"/>
        </w:trPr>
        <w:tc>
          <w:tcPr>
            <w:tcW w:w="1446" w:type="dxa"/>
            <w:shd w:val="clear" w:color="auto" w:fill="F2F2F2" w:themeFill="background1" w:themeFillShade="F2"/>
            <w:vAlign w:val="center"/>
          </w:tcPr>
          <w:p w14:paraId="027E561A" w14:textId="77777777" w:rsidR="00831317" w:rsidRPr="00382B05" w:rsidRDefault="00831317" w:rsidP="0047628F">
            <w:pPr>
              <w:spacing w:before="280" w:after="280" w:line="280" w:lineRule="exact"/>
              <w:rPr>
                <w:rFonts w:cs="Arial"/>
                <w:sz w:val="20"/>
                <w:szCs w:val="20"/>
              </w:rPr>
            </w:pPr>
            <w:r w:rsidRPr="00382B05">
              <w:rPr>
                <w:rFonts w:cs="Arial"/>
                <w:b/>
                <w:sz w:val="20"/>
                <w:szCs w:val="20"/>
              </w:rPr>
              <w:lastRenderedPageBreak/>
              <w:t>Medina</w:t>
            </w:r>
          </w:p>
        </w:tc>
        <w:tc>
          <w:tcPr>
            <w:tcW w:w="1911" w:type="dxa"/>
            <w:shd w:val="clear" w:color="auto" w:fill="F2F2F2" w:themeFill="background1" w:themeFillShade="F2"/>
            <w:vAlign w:val="center"/>
          </w:tcPr>
          <w:p w14:paraId="43B9E190" w14:textId="77777777" w:rsidR="00831317" w:rsidRPr="00382B05" w:rsidRDefault="00831317" w:rsidP="0047628F">
            <w:pPr>
              <w:spacing w:before="280" w:after="280" w:line="280" w:lineRule="exact"/>
              <w:rPr>
                <w:rFonts w:cs="Arial"/>
                <w:sz w:val="20"/>
                <w:szCs w:val="20"/>
              </w:rPr>
            </w:pPr>
            <w:r w:rsidRPr="00382B05">
              <w:rPr>
                <w:rFonts w:cs="Arial"/>
                <w:sz w:val="20"/>
                <w:szCs w:val="20"/>
              </w:rPr>
              <w:t>46°28’15”</w:t>
            </w:r>
          </w:p>
        </w:tc>
        <w:tc>
          <w:tcPr>
            <w:tcW w:w="1729" w:type="dxa"/>
            <w:shd w:val="clear" w:color="auto" w:fill="F2F2F2" w:themeFill="background1" w:themeFillShade="F2"/>
            <w:vAlign w:val="center"/>
          </w:tcPr>
          <w:p w14:paraId="4D0F1B0B" w14:textId="77777777" w:rsidR="00831317" w:rsidRPr="00382B05" w:rsidRDefault="00831317" w:rsidP="0047628F">
            <w:pPr>
              <w:spacing w:before="280" w:after="280" w:line="280" w:lineRule="exact"/>
              <w:rPr>
                <w:rFonts w:cs="Arial"/>
                <w:sz w:val="20"/>
                <w:szCs w:val="20"/>
              </w:rPr>
            </w:pPr>
            <w:r w:rsidRPr="00382B05">
              <w:rPr>
                <w:rFonts w:cs="Arial"/>
                <w:sz w:val="20"/>
                <w:szCs w:val="20"/>
              </w:rPr>
              <w:t>18°37’11”</w:t>
            </w:r>
          </w:p>
        </w:tc>
        <w:tc>
          <w:tcPr>
            <w:tcW w:w="1321" w:type="dxa"/>
            <w:shd w:val="clear" w:color="auto" w:fill="F2F2F2" w:themeFill="background1" w:themeFillShade="F2"/>
            <w:vAlign w:val="center"/>
          </w:tcPr>
          <w:p w14:paraId="578D5BA6" w14:textId="77777777" w:rsidR="00831317" w:rsidRPr="00382B05" w:rsidRDefault="00831317" w:rsidP="0047628F">
            <w:pPr>
              <w:spacing w:before="280" w:after="280" w:line="280" w:lineRule="exact"/>
              <w:rPr>
                <w:rFonts w:cs="Arial"/>
                <w:sz w:val="20"/>
                <w:szCs w:val="20"/>
              </w:rPr>
            </w:pPr>
            <w:r w:rsidRPr="00382B05">
              <w:rPr>
                <w:rFonts w:cs="Arial"/>
                <w:sz w:val="20"/>
                <w:szCs w:val="20"/>
              </w:rPr>
              <w:t>Katonai radarok</w:t>
            </w:r>
          </w:p>
        </w:tc>
        <w:tc>
          <w:tcPr>
            <w:tcW w:w="3260" w:type="dxa"/>
            <w:vMerge/>
            <w:shd w:val="clear" w:color="auto" w:fill="auto"/>
            <w:vAlign w:val="center"/>
          </w:tcPr>
          <w:p w14:paraId="6501C34C" w14:textId="77777777" w:rsidR="00831317" w:rsidRPr="00382B05" w:rsidRDefault="00831317" w:rsidP="0047628F">
            <w:pPr>
              <w:snapToGrid w:val="0"/>
              <w:spacing w:before="280" w:after="280" w:line="280" w:lineRule="exact"/>
              <w:rPr>
                <w:rFonts w:cs="Arial"/>
                <w:sz w:val="20"/>
                <w:szCs w:val="20"/>
              </w:rPr>
            </w:pPr>
          </w:p>
        </w:tc>
      </w:tr>
      <w:tr w:rsidR="00831317" w:rsidRPr="00382B05" w14:paraId="50E16870" w14:textId="77777777" w:rsidTr="0079418F">
        <w:trPr>
          <w:cantSplit/>
          <w:trHeight w:val="454"/>
        </w:trPr>
        <w:tc>
          <w:tcPr>
            <w:tcW w:w="1446" w:type="dxa"/>
            <w:shd w:val="clear" w:color="auto" w:fill="auto"/>
            <w:vAlign w:val="center"/>
          </w:tcPr>
          <w:p w14:paraId="27E28874" w14:textId="77777777" w:rsidR="00831317" w:rsidRPr="00382B05" w:rsidRDefault="00831317" w:rsidP="0047628F">
            <w:pPr>
              <w:spacing w:before="280" w:after="280" w:line="280" w:lineRule="exact"/>
              <w:rPr>
                <w:rFonts w:cs="Arial"/>
                <w:sz w:val="20"/>
                <w:szCs w:val="20"/>
              </w:rPr>
            </w:pPr>
            <w:r w:rsidRPr="00382B05">
              <w:rPr>
                <w:rFonts w:cs="Arial"/>
                <w:b/>
                <w:sz w:val="20"/>
                <w:szCs w:val="20"/>
              </w:rPr>
              <w:t>Ferihegy TAR-1</w:t>
            </w:r>
          </w:p>
        </w:tc>
        <w:tc>
          <w:tcPr>
            <w:tcW w:w="1911" w:type="dxa"/>
            <w:shd w:val="clear" w:color="auto" w:fill="auto"/>
            <w:vAlign w:val="center"/>
          </w:tcPr>
          <w:p w14:paraId="3899A182" w14:textId="77777777" w:rsidR="00831317" w:rsidRPr="00382B05" w:rsidRDefault="00831317" w:rsidP="0047628F">
            <w:pPr>
              <w:spacing w:before="280" w:after="280" w:line="280" w:lineRule="exact"/>
              <w:rPr>
                <w:rFonts w:cs="Arial"/>
                <w:sz w:val="20"/>
                <w:szCs w:val="20"/>
              </w:rPr>
            </w:pPr>
            <w:r w:rsidRPr="00382B05">
              <w:rPr>
                <w:rFonts w:cs="Arial"/>
                <w:sz w:val="20"/>
                <w:szCs w:val="20"/>
              </w:rPr>
              <w:t>47°26’51”</w:t>
            </w:r>
          </w:p>
        </w:tc>
        <w:tc>
          <w:tcPr>
            <w:tcW w:w="1729" w:type="dxa"/>
            <w:shd w:val="clear" w:color="auto" w:fill="auto"/>
            <w:vAlign w:val="center"/>
          </w:tcPr>
          <w:p w14:paraId="78D5CA1F" w14:textId="77777777" w:rsidR="00831317" w:rsidRPr="00382B05" w:rsidRDefault="00831317" w:rsidP="0047628F">
            <w:pPr>
              <w:spacing w:before="280" w:after="280" w:line="280" w:lineRule="exact"/>
              <w:rPr>
                <w:rFonts w:cs="Arial"/>
                <w:sz w:val="20"/>
                <w:szCs w:val="20"/>
              </w:rPr>
            </w:pPr>
            <w:r w:rsidRPr="00382B05">
              <w:rPr>
                <w:rFonts w:cs="Arial"/>
                <w:sz w:val="20"/>
                <w:szCs w:val="20"/>
              </w:rPr>
              <w:t>19°15’47”</w:t>
            </w:r>
          </w:p>
        </w:tc>
        <w:tc>
          <w:tcPr>
            <w:tcW w:w="1321" w:type="dxa"/>
            <w:shd w:val="clear" w:color="auto" w:fill="auto"/>
            <w:vAlign w:val="center"/>
          </w:tcPr>
          <w:p w14:paraId="3CB7F58F" w14:textId="77777777" w:rsidR="00831317" w:rsidRPr="00382B05" w:rsidRDefault="00831317" w:rsidP="0047628F">
            <w:pPr>
              <w:spacing w:before="280" w:after="280" w:line="280" w:lineRule="exact"/>
              <w:rPr>
                <w:rFonts w:cs="Arial"/>
                <w:sz w:val="20"/>
                <w:szCs w:val="20"/>
              </w:rPr>
            </w:pPr>
            <w:r w:rsidRPr="00382B05">
              <w:rPr>
                <w:rFonts w:cs="Arial"/>
                <w:sz w:val="20"/>
                <w:szCs w:val="20"/>
              </w:rPr>
              <w:t>Polgári radar</w:t>
            </w:r>
          </w:p>
        </w:tc>
        <w:tc>
          <w:tcPr>
            <w:tcW w:w="3260" w:type="dxa"/>
            <w:shd w:val="clear" w:color="auto" w:fill="auto"/>
            <w:vAlign w:val="center"/>
          </w:tcPr>
          <w:p w14:paraId="785430CF" w14:textId="3BA22C05" w:rsidR="00831317" w:rsidRPr="00382B05" w:rsidRDefault="00831317" w:rsidP="000A2B9F">
            <w:pPr>
              <w:spacing w:before="280" w:after="280" w:line="280" w:lineRule="exact"/>
              <w:rPr>
                <w:rFonts w:cs="Arial"/>
                <w:sz w:val="20"/>
                <w:szCs w:val="20"/>
              </w:rPr>
            </w:pPr>
            <w:r w:rsidRPr="00382B05">
              <w:rPr>
                <w:rFonts w:cs="Arial"/>
                <w:sz w:val="20"/>
                <w:szCs w:val="20"/>
              </w:rPr>
              <w:t xml:space="preserve">74 </w:t>
            </w:r>
            <w:proofErr w:type="spellStart"/>
            <w:r w:rsidRPr="00382B05">
              <w:rPr>
                <w:rFonts w:cs="Arial"/>
                <w:sz w:val="20"/>
                <w:szCs w:val="20"/>
              </w:rPr>
              <w:t>dBμV</w:t>
            </w:r>
            <w:proofErr w:type="spellEnd"/>
            <w:r w:rsidRPr="00382B05">
              <w:rPr>
                <w:rFonts w:cs="Arial"/>
                <w:sz w:val="20"/>
                <w:szCs w:val="20"/>
              </w:rPr>
              <w:t>/m</w:t>
            </w:r>
            <w:r w:rsidR="000A2B9F">
              <w:rPr>
                <w:rFonts w:cs="Arial"/>
                <w:sz w:val="20"/>
                <w:szCs w:val="20"/>
              </w:rPr>
              <w:t xml:space="preserve"> </w:t>
            </w:r>
            <w:r w:rsidRPr="00382B05">
              <w:rPr>
                <w:rFonts w:cs="Arial"/>
                <w:sz w:val="20"/>
                <w:szCs w:val="20"/>
              </w:rPr>
              <w:t>a 2620–2690 MHz frekvenciasávban</w:t>
            </w:r>
          </w:p>
        </w:tc>
      </w:tr>
      <w:tr w:rsidR="00831317" w:rsidRPr="00382B05" w14:paraId="3E1D7AE0" w14:textId="77777777" w:rsidTr="0079418F">
        <w:trPr>
          <w:cantSplit/>
          <w:trHeight w:val="454"/>
        </w:trPr>
        <w:tc>
          <w:tcPr>
            <w:tcW w:w="1446" w:type="dxa"/>
            <w:shd w:val="clear" w:color="auto" w:fill="F2F2F2" w:themeFill="background1" w:themeFillShade="F2"/>
            <w:vAlign w:val="center"/>
          </w:tcPr>
          <w:p w14:paraId="7270789C" w14:textId="77777777" w:rsidR="00831317" w:rsidRPr="00382B05" w:rsidRDefault="00831317" w:rsidP="0047628F">
            <w:pPr>
              <w:spacing w:before="280" w:after="280" w:line="280" w:lineRule="exact"/>
              <w:rPr>
                <w:rFonts w:cs="Arial"/>
                <w:sz w:val="20"/>
                <w:szCs w:val="20"/>
              </w:rPr>
            </w:pPr>
            <w:r w:rsidRPr="00382B05">
              <w:rPr>
                <w:rFonts w:cs="Arial"/>
                <w:b/>
                <w:sz w:val="20"/>
                <w:szCs w:val="20"/>
              </w:rPr>
              <w:t>Ferihegy TAR-2</w:t>
            </w:r>
          </w:p>
        </w:tc>
        <w:tc>
          <w:tcPr>
            <w:tcW w:w="1911" w:type="dxa"/>
            <w:shd w:val="clear" w:color="auto" w:fill="F2F2F2" w:themeFill="background1" w:themeFillShade="F2"/>
            <w:vAlign w:val="center"/>
          </w:tcPr>
          <w:p w14:paraId="5FCFF666" w14:textId="77777777" w:rsidR="00831317" w:rsidRPr="00382B05" w:rsidRDefault="00831317" w:rsidP="0047628F">
            <w:pPr>
              <w:spacing w:before="280" w:after="280" w:line="280" w:lineRule="exact"/>
              <w:rPr>
                <w:rFonts w:cs="Arial"/>
                <w:sz w:val="20"/>
                <w:szCs w:val="20"/>
              </w:rPr>
            </w:pPr>
            <w:r w:rsidRPr="00382B05">
              <w:rPr>
                <w:rFonts w:cs="Arial"/>
                <w:sz w:val="20"/>
                <w:szCs w:val="20"/>
              </w:rPr>
              <w:t>47°25’05”</w:t>
            </w:r>
          </w:p>
        </w:tc>
        <w:tc>
          <w:tcPr>
            <w:tcW w:w="1729" w:type="dxa"/>
            <w:shd w:val="clear" w:color="auto" w:fill="F2F2F2" w:themeFill="background1" w:themeFillShade="F2"/>
            <w:vAlign w:val="center"/>
          </w:tcPr>
          <w:p w14:paraId="482C9F77" w14:textId="77777777" w:rsidR="00831317" w:rsidRPr="00382B05" w:rsidRDefault="00831317" w:rsidP="0047628F">
            <w:pPr>
              <w:spacing w:before="280" w:after="280" w:line="280" w:lineRule="exact"/>
              <w:rPr>
                <w:rFonts w:cs="Arial"/>
                <w:sz w:val="20"/>
                <w:szCs w:val="20"/>
              </w:rPr>
            </w:pPr>
            <w:r w:rsidRPr="00382B05">
              <w:rPr>
                <w:rFonts w:cs="Arial"/>
                <w:sz w:val="20"/>
                <w:szCs w:val="20"/>
              </w:rPr>
              <w:t>19°18’12”</w:t>
            </w:r>
          </w:p>
        </w:tc>
        <w:tc>
          <w:tcPr>
            <w:tcW w:w="1321" w:type="dxa"/>
            <w:shd w:val="clear" w:color="auto" w:fill="F2F2F2" w:themeFill="background1" w:themeFillShade="F2"/>
            <w:vAlign w:val="center"/>
          </w:tcPr>
          <w:p w14:paraId="72EE6E18" w14:textId="77777777" w:rsidR="00831317" w:rsidRPr="00382B05" w:rsidRDefault="00831317" w:rsidP="0047628F">
            <w:pPr>
              <w:spacing w:before="280" w:after="280" w:line="280" w:lineRule="exact"/>
              <w:rPr>
                <w:rFonts w:cs="Arial"/>
                <w:sz w:val="20"/>
                <w:szCs w:val="20"/>
              </w:rPr>
            </w:pPr>
            <w:r w:rsidRPr="00382B05">
              <w:rPr>
                <w:rFonts w:cs="Arial"/>
                <w:sz w:val="20"/>
                <w:szCs w:val="20"/>
              </w:rPr>
              <w:t>Polgári radar</w:t>
            </w:r>
          </w:p>
        </w:tc>
        <w:tc>
          <w:tcPr>
            <w:tcW w:w="3260" w:type="dxa"/>
            <w:shd w:val="clear" w:color="auto" w:fill="F2F2F2" w:themeFill="background1" w:themeFillShade="F2"/>
            <w:vAlign w:val="center"/>
          </w:tcPr>
          <w:p w14:paraId="40029511" w14:textId="6D5395AE" w:rsidR="00831317" w:rsidRPr="00382B05" w:rsidRDefault="00831317" w:rsidP="000A2B9F">
            <w:pPr>
              <w:keepNext/>
              <w:spacing w:before="280" w:after="280" w:line="280" w:lineRule="exact"/>
              <w:rPr>
                <w:rFonts w:cs="Arial"/>
                <w:sz w:val="20"/>
                <w:szCs w:val="20"/>
              </w:rPr>
            </w:pPr>
            <w:r w:rsidRPr="00382B05">
              <w:rPr>
                <w:rFonts w:cs="Arial"/>
                <w:sz w:val="20"/>
                <w:szCs w:val="20"/>
              </w:rPr>
              <w:t xml:space="preserve">72 </w:t>
            </w:r>
            <w:proofErr w:type="spellStart"/>
            <w:r w:rsidRPr="00382B05">
              <w:rPr>
                <w:rFonts w:cs="Arial"/>
                <w:sz w:val="20"/>
                <w:szCs w:val="20"/>
              </w:rPr>
              <w:t>dBμV</w:t>
            </w:r>
            <w:proofErr w:type="spellEnd"/>
            <w:r w:rsidRPr="00382B05">
              <w:rPr>
                <w:rFonts w:cs="Arial"/>
                <w:sz w:val="20"/>
                <w:szCs w:val="20"/>
              </w:rPr>
              <w:t>/m</w:t>
            </w:r>
            <w:r w:rsidR="000A2B9F">
              <w:rPr>
                <w:rFonts w:cs="Arial"/>
                <w:sz w:val="20"/>
                <w:szCs w:val="20"/>
              </w:rPr>
              <w:t xml:space="preserve"> </w:t>
            </w:r>
            <w:r w:rsidRPr="00382B05">
              <w:rPr>
                <w:rFonts w:cs="Arial"/>
                <w:sz w:val="20"/>
                <w:szCs w:val="20"/>
              </w:rPr>
              <w:t>a 2620–2690 MHz frekvenciasávban</w:t>
            </w:r>
          </w:p>
        </w:tc>
      </w:tr>
    </w:tbl>
    <w:p w14:paraId="42EB0CE8" w14:textId="728AE290" w:rsidR="00831317" w:rsidRPr="00831317" w:rsidRDefault="000A2B9F" w:rsidP="00831317">
      <w:pPr>
        <w:pStyle w:val="Kpalrs"/>
        <w:jc w:val="center"/>
        <w:rPr>
          <w:sz w:val="20"/>
          <w:szCs w:val="20"/>
        </w:rPr>
      </w:pPr>
      <w:r>
        <w:rPr>
          <w:sz w:val="20"/>
          <w:szCs w:val="20"/>
        </w:rPr>
        <w:t>6</w:t>
      </w:r>
      <w:r w:rsidR="00831317" w:rsidRPr="00831317">
        <w:rPr>
          <w:sz w:val="20"/>
          <w:szCs w:val="20"/>
        </w:rPr>
        <w:t>.2 Táblázat</w:t>
      </w:r>
    </w:p>
    <w:p w14:paraId="78C8D0F6" w14:textId="25016E23" w:rsidR="004942E2" w:rsidRDefault="004942E2">
      <w:pPr>
        <w:spacing w:after="200"/>
        <w:jc w:val="left"/>
        <w:rPr>
          <w:sz w:val="20"/>
          <w:szCs w:val="20"/>
        </w:rPr>
      </w:pPr>
      <w:r>
        <w:br w:type="page"/>
      </w:r>
    </w:p>
    <w:p w14:paraId="4B056C12" w14:textId="215C68C9" w:rsidR="008C63E0" w:rsidRDefault="004E10B9" w:rsidP="008C63E0">
      <w:pPr>
        <w:pStyle w:val="Cmsor1szmozottnmhh"/>
        <w:pageBreakBefore w:val="0"/>
        <w:ind w:left="431" w:hanging="431"/>
      </w:pPr>
      <w:bookmarkStart w:id="37" w:name="_Toc96075726"/>
      <w:r>
        <w:lastRenderedPageBreak/>
        <w:t>Rádióspektrumdíjak</w:t>
      </w:r>
      <w:bookmarkEnd w:id="37"/>
    </w:p>
    <w:p w14:paraId="2EF4C5C3" w14:textId="77777777" w:rsidR="00016AF3" w:rsidRPr="00016AF3" w:rsidRDefault="00016AF3" w:rsidP="00016AF3">
      <w:pPr>
        <w:widowControl w:val="0"/>
        <w:spacing w:before="280"/>
        <w:rPr>
          <w:rFonts w:cs="Arial"/>
          <w:sz w:val="20"/>
        </w:rPr>
      </w:pPr>
      <w:r w:rsidRPr="00016AF3">
        <w:rPr>
          <w:rFonts w:cs="Arial"/>
          <w:sz w:val="20"/>
        </w:rPr>
        <w:t>A rendszeres rádióspektrumdíj számítási módszerét a frekvencialekötés és -használat díjáról szóló 1/2011. (III. 31.) NMHH rendelet (a továbbiakban: Díjrendelet) írja le. Az NFFF alapján blokkgazdálkodás körébe tartozó, szolgáltatás célú és versenyeztetési eljárás eredményeként, a rádióspektrum-használati jogosultság meghosszabbítása eredményeként vagy a rádióspektrum-használati jogosultság megújítása eredményeként szerzett, valamint a szerzést követően továbbértékesített rádióspektrum esetén a rádióspektrum-használati jogosultság időtartama alatt a jogosítottnak a rádióengedély érvényességének a frekvenciahasználati jogosultság megszerzését szolgáló árverés és pályázat szabályairól szóló 4/2011. (X. 6.) NMHH rendelet 22. § (3) bekezdésében meghatározott legkorábbi időpontjától a rádióspektrum-használati jogot szerzőnek havonta sávdíjat kell fizetnie.</w:t>
      </w:r>
    </w:p>
    <w:p w14:paraId="7F53A28D" w14:textId="25865DB0" w:rsidR="00016AF3" w:rsidRPr="00016AF3" w:rsidRDefault="00016AF3" w:rsidP="00016AF3">
      <w:pPr>
        <w:widowControl w:val="0"/>
        <w:spacing w:before="280"/>
        <w:rPr>
          <w:rFonts w:cs="Arial"/>
          <w:sz w:val="20"/>
        </w:rPr>
      </w:pPr>
      <w:r w:rsidRPr="00016AF3">
        <w:rPr>
          <w:rFonts w:cs="Arial"/>
          <w:sz w:val="20"/>
        </w:rPr>
        <w:t>A fizetendő sávdíj képzési szabályát a Díjrendeletben a “Blokkgazdálkodás körébe tartozó sávok után fizetendő díjak” címmel szereplő 20. § és a 9. számú melléklet tartalmazza. A sávdíj megállapításához az egységdíjat meg kell szorozni az értékesített, megszerzett sávok kHz-</w:t>
      </w:r>
      <w:proofErr w:type="spellStart"/>
      <w:r w:rsidRPr="00016AF3">
        <w:rPr>
          <w:rFonts w:cs="Arial"/>
          <w:sz w:val="20"/>
        </w:rPr>
        <w:t>ben</w:t>
      </w:r>
      <w:proofErr w:type="spellEnd"/>
      <w:r w:rsidRPr="00016AF3">
        <w:rPr>
          <w:rFonts w:cs="Arial"/>
          <w:sz w:val="20"/>
        </w:rPr>
        <w:t xml:space="preserve"> kifejezett összegével és a sávszorzóval. Duplex sáv esetén az értékesített, megszerzett sávok mennyiségének meghatározásakor a sáv mindkét részét figyelembe kell venni. </w:t>
      </w:r>
    </w:p>
    <w:p w14:paraId="1D095235" w14:textId="489E632B" w:rsidR="00016AF3" w:rsidRPr="00016AF3" w:rsidRDefault="00016AF3" w:rsidP="00016AF3">
      <w:pPr>
        <w:widowControl w:val="0"/>
        <w:spacing w:before="280"/>
        <w:rPr>
          <w:rFonts w:cs="Arial"/>
          <w:sz w:val="20"/>
        </w:rPr>
      </w:pPr>
      <w:r w:rsidRPr="00016AF3">
        <w:rPr>
          <w:rFonts w:cs="Arial"/>
          <w:sz w:val="20"/>
        </w:rPr>
        <w:t xml:space="preserve">A 2600 MHz-es </w:t>
      </w:r>
      <w:r w:rsidR="007D3776">
        <w:rPr>
          <w:rFonts w:cs="Arial"/>
          <w:sz w:val="20"/>
        </w:rPr>
        <w:t>frekvencia</w:t>
      </w:r>
      <w:r w:rsidRPr="00016AF3">
        <w:rPr>
          <w:rFonts w:cs="Arial"/>
          <w:sz w:val="20"/>
        </w:rPr>
        <w:t xml:space="preserve">sávra vonatkozó sávdíjat meghatározó tényezők a következők: </w:t>
      </w:r>
    </w:p>
    <w:p w14:paraId="09A38AD5" w14:textId="6235DBFD" w:rsidR="00016AF3" w:rsidRPr="00016AF3" w:rsidRDefault="00016AF3" w:rsidP="000F5583">
      <w:pPr>
        <w:pStyle w:val="Listaszerbekezds"/>
        <w:widowControl w:val="0"/>
        <w:numPr>
          <w:ilvl w:val="0"/>
          <w:numId w:val="15"/>
        </w:numPr>
        <w:spacing w:before="280"/>
        <w:rPr>
          <w:rFonts w:cs="Arial"/>
          <w:sz w:val="20"/>
        </w:rPr>
      </w:pPr>
      <w:r w:rsidRPr="00016AF3">
        <w:rPr>
          <w:rFonts w:cs="Arial"/>
          <w:sz w:val="20"/>
        </w:rPr>
        <w:t xml:space="preserve">országos sávhasználat esetére a 2500-2690 MHz </w:t>
      </w:r>
      <w:r w:rsidR="007D3776">
        <w:rPr>
          <w:rFonts w:cs="Arial"/>
          <w:sz w:val="20"/>
        </w:rPr>
        <w:t>frekvencia</w:t>
      </w:r>
      <w:r w:rsidRPr="00016AF3">
        <w:rPr>
          <w:rFonts w:cs="Arial"/>
          <w:sz w:val="20"/>
        </w:rPr>
        <w:t xml:space="preserve">sávra megállapított sávszorzó értéke 0,4 </w:t>
      </w:r>
    </w:p>
    <w:p w14:paraId="6211BD1B" w14:textId="6D2F457C" w:rsidR="00016AF3" w:rsidRDefault="00E80532" w:rsidP="0015667B">
      <w:pPr>
        <w:pStyle w:val="Listaszerbekezds"/>
        <w:widowControl w:val="0"/>
        <w:numPr>
          <w:ilvl w:val="0"/>
          <w:numId w:val="15"/>
        </w:numPr>
        <w:spacing w:before="280"/>
        <w:rPr>
          <w:rFonts w:cs="Arial"/>
          <w:sz w:val="20"/>
        </w:rPr>
      </w:pPr>
      <w:r w:rsidRPr="00521B61">
        <w:rPr>
          <w:sz w:val="20"/>
          <w:szCs w:val="20"/>
        </w:rPr>
        <w:t xml:space="preserve">egységdíj </w:t>
      </w:r>
      <w:r>
        <w:rPr>
          <w:sz w:val="20"/>
          <w:szCs w:val="20"/>
        </w:rPr>
        <w:t xml:space="preserve">a 2019. március 15. előtt megszerzett jogosultságok esetén: 7500 Ft/kHz/hó; </w:t>
      </w:r>
      <w:r w:rsidR="0015667B">
        <w:rPr>
          <w:sz w:val="20"/>
          <w:szCs w:val="20"/>
        </w:rPr>
        <w:t xml:space="preserve">a </w:t>
      </w:r>
      <w:r w:rsidR="0015667B" w:rsidRPr="0015667B">
        <w:rPr>
          <w:sz w:val="20"/>
          <w:szCs w:val="20"/>
        </w:rPr>
        <w:t xml:space="preserve">2019. március 15. </w:t>
      </w:r>
      <w:r w:rsidR="0015667B">
        <w:rPr>
          <w:sz w:val="20"/>
          <w:szCs w:val="20"/>
        </w:rPr>
        <w:t xml:space="preserve">után </w:t>
      </w:r>
      <w:r>
        <w:rPr>
          <w:sz w:val="20"/>
          <w:szCs w:val="20"/>
        </w:rPr>
        <w:t>lefolytatott értékesítés útján szerzett jogosultság esetén: 6500 Ft/kHz/hó</w:t>
      </w:r>
      <w:r w:rsidR="00016AF3" w:rsidRPr="00016AF3">
        <w:rPr>
          <w:rFonts w:cs="Arial"/>
          <w:sz w:val="20"/>
        </w:rPr>
        <w:t>.</w:t>
      </w:r>
    </w:p>
    <w:p w14:paraId="24F0D0C2" w14:textId="77777777" w:rsidR="008C63E0" w:rsidRDefault="008C63E0" w:rsidP="008C63E0">
      <w:pPr>
        <w:spacing w:after="200"/>
        <w:rPr>
          <w:sz w:val="20"/>
          <w:szCs w:val="20"/>
        </w:rPr>
      </w:pPr>
    </w:p>
    <w:sectPr w:rsidR="008C63E0" w:rsidSect="002E008E">
      <w:footerReference w:type="default" r:id="rId22"/>
      <w:pgSz w:w="11906" w:h="16838"/>
      <w:pgMar w:top="1417" w:right="1417" w:bottom="1417" w:left="1417"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3322" w14:textId="77777777" w:rsidR="00ED259D" w:rsidRDefault="00ED259D">
      <w:pPr>
        <w:spacing w:after="0" w:line="240" w:lineRule="auto"/>
      </w:pPr>
      <w:r>
        <w:separator/>
      </w:r>
    </w:p>
  </w:endnote>
  <w:endnote w:type="continuationSeparator" w:id="0">
    <w:p w14:paraId="56373250" w14:textId="77777777" w:rsidR="00ED259D" w:rsidRDefault="00ED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2040503050201020203"/>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Arial"/>
    <w:charset w:val="00"/>
    <w:family w:val="auto"/>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3525A"/>
      </w:rPr>
      <w:id w:val="-521928211"/>
      <w:docPartObj>
        <w:docPartGallery w:val="Page Numbers (Bottom of Page)"/>
        <w:docPartUnique/>
      </w:docPartObj>
    </w:sdtPr>
    <w:sdtEndPr/>
    <w:sdtContent>
      <w:p w14:paraId="1E0AC7C7" w14:textId="03CEF5A3" w:rsidR="002E008E" w:rsidRDefault="002E008E">
        <w:pPr>
          <w:pStyle w:val="llb"/>
          <w:jc w:val="left"/>
          <w:rPr>
            <w:color w:val="43525A"/>
          </w:rPr>
        </w:pPr>
        <w:r>
          <w:rPr>
            <w:color w:val="43525A"/>
          </w:rPr>
          <w:fldChar w:fldCharType="begin"/>
        </w:r>
        <w:r>
          <w:rPr>
            <w:color w:val="43525A"/>
          </w:rPr>
          <w:instrText>PAGE   \* MERGEFORMAT</w:instrText>
        </w:r>
        <w:r>
          <w:rPr>
            <w:color w:val="43525A"/>
          </w:rPr>
          <w:fldChar w:fldCharType="separate"/>
        </w:r>
        <w:r w:rsidR="004A4E5B">
          <w:rPr>
            <w:noProof/>
            <w:color w:val="43525A"/>
          </w:rPr>
          <w:t>16</w:t>
        </w:r>
        <w:r>
          <w:rPr>
            <w:color w:val="43525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19296"/>
      <w:docPartObj>
        <w:docPartGallery w:val="Page Numbers (Bottom of Page)"/>
        <w:docPartUnique/>
      </w:docPartObj>
    </w:sdtPr>
    <w:sdtEndPr>
      <w:rPr>
        <w:color w:val="43525A"/>
      </w:rPr>
    </w:sdtEndPr>
    <w:sdtContent>
      <w:p w14:paraId="4FC9EF92" w14:textId="60AA8058" w:rsidR="002E008E" w:rsidRDefault="002E008E">
        <w:pPr>
          <w:pStyle w:val="llb"/>
          <w:jc w:val="right"/>
          <w:rPr>
            <w:color w:val="43525A"/>
          </w:rPr>
        </w:pPr>
        <w:r>
          <w:rPr>
            <w:color w:val="43525A"/>
          </w:rPr>
          <w:fldChar w:fldCharType="begin"/>
        </w:r>
        <w:r>
          <w:rPr>
            <w:color w:val="43525A"/>
          </w:rPr>
          <w:instrText>PAGE   \* MERGEFORMAT</w:instrText>
        </w:r>
        <w:r>
          <w:rPr>
            <w:color w:val="43525A"/>
          </w:rPr>
          <w:fldChar w:fldCharType="separate"/>
        </w:r>
        <w:r>
          <w:rPr>
            <w:noProof/>
            <w:color w:val="43525A"/>
          </w:rPr>
          <w:t>19</w:t>
        </w:r>
        <w:r>
          <w:rPr>
            <w:color w:val="43525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9098" w14:textId="77777777" w:rsidR="002E008E" w:rsidRDefault="002E008E" w:rsidP="00D96CED">
    <w:pPr>
      <w:pStyle w:val="llb"/>
      <w:jc w:val="right"/>
    </w:pPr>
  </w:p>
  <w:p w14:paraId="7F540A15" w14:textId="376C7A80" w:rsidR="002E008E" w:rsidRDefault="002E008E" w:rsidP="00D96CED">
    <w:pPr>
      <w:pStyle w:val="llb"/>
      <w:tabs>
        <w:tab w:val="clear" w:pos="4536"/>
        <w:tab w:val="clear" w:pos="9072"/>
        <w:tab w:val="right" w:pos="13041"/>
      </w:tabs>
    </w:pPr>
    <w:r>
      <w:tab/>
    </w:r>
    <w:r>
      <w:fldChar w:fldCharType="begin"/>
    </w:r>
    <w:r>
      <w:instrText xml:space="preserve"> PAGE   \* MERGEFORMAT </w:instrText>
    </w:r>
    <w:r>
      <w:fldChar w:fldCharType="separate"/>
    </w:r>
    <w:r w:rsidR="004A4E5B">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9938" w14:textId="77777777" w:rsidR="00ED259D" w:rsidRDefault="00ED259D">
      <w:pPr>
        <w:spacing w:after="0" w:line="240" w:lineRule="auto"/>
      </w:pPr>
      <w:r>
        <w:separator/>
      </w:r>
    </w:p>
  </w:footnote>
  <w:footnote w:type="continuationSeparator" w:id="0">
    <w:p w14:paraId="344CD9CA" w14:textId="77777777" w:rsidR="00ED259D" w:rsidRDefault="00ED259D">
      <w:pPr>
        <w:spacing w:after="0" w:line="240" w:lineRule="auto"/>
      </w:pPr>
      <w:r>
        <w:continuationSeparator/>
      </w:r>
    </w:p>
  </w:footnote>
  <w:footnote w:id="1">
    <w:p w14:paraId="19BBCC33" w14:textId="0046AFC1" w:rsidR="002E008E" w:rsidRDefault="002E008E" w:rsidP="006122C9">
      <w:pPr>
        <w:pStyle w:val="Lbjegyzetszveg"/>
      </w:pPr>
      <w:r w:rsidRPr="00C703D7">
        <w:rPr>
          <w:rStyle w:val="Lbjegyzet-hivatkozs"/>
        </w:rPr>
        <w:footnoteRef/>
      </w:r>
      <w:r w:rsidRPr="00C703D7">
        <w:rPr>
          <w:sz w:val="16"/>
          <w:szCs w:val="16"/>
        </w:rPr>
        <w:t xml:space="preserve"> </w:t>
      </w:r>
      <w:r>
        <w:rPr>
          <w:sz w:val="16"/>
          <w:szCs w:val="16"/>
        </w:rPr>
        <w:t>FDD</w:t>
      </w:r>
      <w:r w:rsidRPr="00C703D7">
        <w:rPr>
          <w:sz w:val="16"/>
          <w:szCs w:val="16"/>
        </w:rPr>
        <w:t xml:space="preserve">: </w:t>
      </w:r>
      <w:proofErr w:type="spellStart"/>
      <w:r>
        <w:rPr>
          <w:sz w:val="16"/>
          <w:szCs w:val="16"/>
        </w:rPr>
        <w:t>Frequency</w:t>
      </w:r>
      <w:proofErr w:type="spellEnd"/>
      <w:r>
        <w:rPr>
          <w:sz w:val="16"/>
          <w:szCs w:val="16"/>
        </w:rPr>
        <w:t xml:space="preserve"> </w:t>
      </w:r>
      <w:proofErr w:type="spellStart"/>
      <w:r>
        <w:rPr>
          <w:sz w:val="16"/>
          <w:szCs w:val="16"/>
        </w:rPr>
        <w:t>Division</w:t>
      </w:r>
      <w:proofErr w:type="spellEnd"/>
      <w:r>
        <w:rPr>
          <w:sz w:val="16"/>
          <w:szCs w:val="16"/>
        </w:rPr>
        <w:t xml:space="preserve"> Duplex</w:t>
      </w:r>
      <w:r w:rsidRPr="00C703D7">
        <w:rPr>
          <w:sz w:val="16"/>
          <w:szCs w:val="16"/>
        </w:rPr>
        <w:t xml:space="preserve"> (</w:t>
      </w:r>
      <w:proofErr w:type="spellStart"/>
      <w:r>
        <w:rPr>
          <w:rFonts w:eastAsia="Calibri" w:cs="Arial"/>
          <w:color w:val="000000"/>
          <w:sz w:val="16"/>
          <w:szCs w:val="16"/>
        </w:rPr>
        <w:t>frekvenciaosztásos</w:t>
      </w:r>
      <w:proofErr w:type="spellEnd"/>
      <w:r>
        <w:rPr>
          <w:rFonts w:eastAsia="Calibri" w:cs="Arial"/>
          <w:color w:val="000000"/>
          <w:sz w:val="16"/>
          <w:szCs w:val="16"/>
        </w:rPr>
        <w:t xml:space="preserve"> duplex</w:t>
      </w:r>
      <w:r>
        <w:rPr>
          <w:rFonts w:eastAsia="Calibri" w:cs="Arial"/>
          <w:color w:val="000000"/>
          <w:szCs w:val="22"/>
        </w:rPr>
        <w:t>)</w:t>
      </w:r>
    </w:p>
  </w:footnote>
  <w:footnote w:id="2">
    <w:p w14:paraId="44868DA6" w14:textId="77777777" w:rsidR="002E008E" w:rsidRDefault="002E008E" w:rsidP="00F316C7">
      <w:pPr>
        <w:pStyle w:val="Lbjegyzetszveg"/>
      </w:pPr>
      <w:r w:rsidRPr="00C703D7">
        <w:rPr>
          <w:rStyle w:val="Lbjegyzet-hivatkozs"/>
        </w:rPr>
        <w:footnoteRef/>
      </w:r>
      <w:r w:rsidRPr="00C703D7">
        <w:rPr>
          <w:sz w:val="16"/>
          <w:szCs w:val="16"/>
        </w:rPr>
        <w:t xml:space="preserve"> </w:t>
      </w:r>
      <w:r>
        <w:rPr>
          <w:sz w:val="16"/>
          <w:szCs w:val="16"/>
        </w:rPr>
        <w:t>TDD</w:t>
      </w:r>
      <w:r w:rsidRPr="00C703D7">
        <w:rPr>
          <w:sz w:val="16"/>
          <w:szCs w:val="16"/>
        </w:rPr>
        <w:t xml:space="preserve">: </w:t>
      </w:r>
      <w:r>
        <w:rPr>
          <w:sz w:val="16"/>
          <w:szCs w:val="16"/>
        </w:rPr>
        <w:t xml:space="preserve">Time </w:t>
      </w:r>
      <w:proofErr w:type="spellStart"/>
      <w:r>
        <w:rPr>
          <w:sz w:val="16"/>
          <w:szCs w:val="16"/>
        </w:rPr>
        <w:t>Division</w:t>
      </w:r>
      <w:proofErr w:type="spellEnd"/>
      <w:r>
        <w:rPr>
          <w:sz w:val="16"/>
          <w:szCs w:val="16"/>
        </w:rPr>
        <w:t xml:space="preserve"> Duplex</w:t>
      </w:r>
      <w:r w:rsidRPr="00C703D7">
        <w:rPr>
          <w:sz w:val="16"/>
          <w:szCs w:val="16"/>
        </w:rPr>
        <w:t xml:space="preserve"> (</w:t>
      </w:r>
      <w:proofErr w:type="spellStart"/>
      <w:r>
        <w:rPr>
          <w:rFonts w:eastAsia="Calibri" w:cs="Arial"/>
          <w:color w:val="000000"/>
          <w:sz w:val="16"/>
          <w:szCs w:val="16"/>
        </w:rPr>
        <w:t>időosztásos</w:t>
      </w:r>
      <w:proofErr w:type="spellEnd"/>
      <w:r>
        <w:rPr>
          <w:rFonts w:eastAsia="Calibri" w:cs="Arial"/>
          <w:color w:val="000000"/>
          <w:sz w:val="16"/>
          <w:szCs w:val="16"/>
        </w:rPr>
        <w:t xml:space="preserve"> duplex</w:t>
      </w:r>
      <w:r>
        <w:rPr>
          <w:rFonts w:eastAsia="Calibri" w:cs="Arial"/>
          <w:color w:val="000000"/>
          <w:szCs w:val="22"/>
        </w:rPr>
        <w:t>)</w:t>
      </w:r>
    </w:p>
  </w:footnote>
  <w:footnote w:id="3">
    <w:p w14:paraId="3DCC3E83" w14:textId="77777777" w:rsidR="002E008E" w:rsidRDefault="002E008E" w:rsidP="001F0152">
      <w:pPr>
        <w:pStyle w:val="Lbjegyzetszveg"/>
      </w:pPr>
      <w:r w:rsidRPr="00C703D7">
        <w:rPr>
          <w:rStyle w:val="Lbjegyzet-hivatkozs"/>
        </w:rPr>
        <w:footnoteRef/>
      </w:r>
      <w:r w:rsidRPr="00C703D7">
        <w:rPr>
          <w:sz w:val="16"/>
          <w:szCs w:val="16"/>
        </w:rPr>
        <w:t xml:space="preserve"> SDL: </w:t>
      </w:r>
      <w:proofErr w:type="spellStart"/>
      <w:r w:rsidRPr="00C703D7">
        <w:rPr>
          <w:sz w:val="16"/>
          <w:szCs w:val="16"/>
        </w:rPr>
        <w:t>Supplemental</w:t>
      </w:r>
      <w:proofErr w:type="spellEnd"/>
      <w:r w:rsidRPr="00C703D7">
        <w:rPr>
          <w:sz w:val="16"/>
          <w:szCs w:val="16"/>
        </w:rPr>
        <w:t xml:space="preserve"> Downlink (</w:t>
      </w:r>
      <w:r w:rsidRPr="00C703D7">
        <w:rPr>
          <w:rFonts w:eastAsia="Calibri" w:cs="Arial"/>
          <w:color w:val="000000"/>
          <w:sz w:val="16"/>
          <w:szCs w:val="16"/>
        </w:rPr>
        <w:t>Kiegészítő lemenő irányú összeköttetés</w:t>
      </w:r>
      <w:r>
        <w:rPr>
          <w:rFonts w:eastAsia="Calibri" w:cs="Arial"/>
          <w:color w:val="000000"/>
          <w:szCs w:val="22"/>
        </w:rPr>
        <w:t>)</w:t>
      </w:r>
    </w:p>
  </w:footnote>
  <w:footnote w:id="4">
    <w:p w14:paraId="300DE3E8" w14:textId="0D8F1C79" w:rsidR="002E008E" w:rsidRPr="00B716BA" w:rsidRDefault="002E008E">
      <w:pPr>
        <w:pStyle w:val="Lbjegyzetszveg"/>
        <w:rPr>
          <w:sz w:val="16"/>
          <w:szCs w:val="16"/>
        </w:rPr>
      </w:pPr>
      <w:r>
        <w:rPr>
          <w:rStyle w:val="Lbjegyzet-hivatkozs"/>
        </w:rPr>
        <w:footnoteRef/>
      </w:r>
      <w:r>
        <w:t xml:space="preserve"> </w:t>
      </w:r>
      <w:hyperlink r:id="rId1" w:history="1">
        <w:r w:rsidRPr="00B716BA">
          <w:rPr>
            <w:rStyle w:val="Hiperhivatkozs"/>
            <w:sz w:val="16"/>
            <w:szCs w:val="16"/>
          </w:rPr>
          <w:t>https://nmhh.hu/dokumentum/164404/uf_1579288_2014_hatarozat_frekvenciapalyazat.pdf</w:t>
        </w:r>
      </w:hyperlink>
    </w:p>
  </w:footnote>
  <w:footnote w:id="5">
    <w:p w14:paraId="5F43D2F3" w14:textId="50FB2F41" w:rsidR="002E008E" w:rsidRDefault="002E008E">
      <w:pPr>
        <w:pStyle w:val="Lbjegyzetszveg"/>
      </w:pPr>
      <w:r>
        <w:rPr>
          <w:rStyle w:val="Lbjegyzet-hivatkozs"/>
        </w:rPr>
        <w:footnoteRef/>
      </w:r>
      <w:hyperlink r:id="rId2" w:history="1">
        <w:r w:rsidRPr="00AA1255">
          <w:rPr>
            <w:rStyle w:val="Hiperhivatkozs"/>
            <w:sz w:val="16"/>
            <w:szCs w:val="16"/>
          </w:rPr>
          <w:t>https://nmhh.hu/esemeny/190542/Nyilvanos_meghallgatas_a_VHF_III_es_az_UHF_sav_hasznositasarol_szolo_nemzeti_utemterv_vegrehajtasaval_osszefuggo_feladatokrol</w:t>
        </w:r>
      </w:hyperlink>
    </w:p>
  </w:footnote>
  <w:footnote w:id="6">
    <w:p w14:paraId="78EF537E" w14:textId="64D02ED1" w:rsidR="002E008E" w:rsidRDefault="002E008E">
      <w:pPr>
        <w:pStyle w:val="Lbjegyzetszveg"/>
      </w:pPr>
      <w:r>
        <w:rPr>
          <w:rStyle w:val="Lbjegyzet-hivatkozs"/>
        </w:rPr>
        <w:footnoteRef/>
      </w:r>
      <w:hyperlink r:id="rId3" w:history="1">
        <w:r w:rsidRPr="00346778">
          <w:rPr>
            <w:rStyle w:val="Hiperhivatkozs"/>
            <w:sz w:val="16"/>
            <w:szCs w:val="16"/>
          </w:rPr>
          <w:t>https://nmhh.hu/cikk/191649/Osszefoglalo_a_VHF_III_es_az_UHF_sav_hasznositasarol_szolo_nemzeti_utemterv_vegrehajtasaval_osszefuggo_feladatokrol</w:t>
        </w:r>
      </w:hyperlink>
    </w:p>
  </w:footnote>
  <w:footnote w:id="7">
    <w:p w14:paraId="603D7A3F" w14:textId="77777777" w:rsidR="002E008E" w:rsidRDefault="002E008E" w:rsidP="008C63E0">
      <w:pPr>
        <w:pStyle w:val="Lbjegyzetszveg"/>
      </w:pPr>
      <w:r>
        <w:rPr>
          <w:rStyle w:val="Lbjegyzet-hivatkozs"/>
        </w:rPr>
        <w:footnoteRef/>
      </w:r>
      <w:r>
        <w:t xml:space="preserve"> </w:t>
      </w:r>
      <w:r w:rsidRPr="00F8415B">
        <w:rPr>
          <w:sz w:val="16"/>
          <w:szCs w:val="16"/>
        </w:rPr>
        <w:t>ITU:</w:t>
      </w:r>
      <w:r>
        <w:t xml:space="preserve"> </w:t>
      </w:r>
      <w:r w:rsidRPr="00B766F1">
        <w:rPr>
          <w:sz w:val="16"/>
          <w:szCs w:val="16"/>
        </w:rPr>
        <w:t xml:space="preserve">International </w:t>
      </w:r>
      <w:proofErr w:type="spellStart"/>
      <w:r w:rsidRPr="00B766F1">
        <w:rPr>
          <w:sz w:val="16"/>
          <w:szCs w:val="16"/>
        </w:rPr>
        <w:t>Telecommunications</w:t>
      </w:r>
      <w:proofErr w:type="spellEnd"/>
      <w:r w:rsidRPr="00B766F1">
        <w:rPr>
          <w:sz w:val="16"/>
          <w:szCs w:val="16"/>
        </w:rPr>
        <w:t xml:space="preserve"> Union </w:t>
      </w:r>
      <w:r>
        <w:rPr>
          <w:sz w:val="16"/>
          <w:szCs w:val="16"/>
        </w:rPr>
        <w:t>(</w:t>
      </w:r>
      <w:r w:rsidRPr="00B766F1">
        <w:rPr>
          <w:sz w:val="16"/>
          <w:szCs w:val="16"/>
        </w:rPr>
        <w:t>Nemzetközi Távközlési Egyesület</w:t>
      </w:r>
      <w:r>
        <w:rPr>
          <w:sz w:val="16"/>
          <w:szCs w:val="16"/>
        </w:rPr>
        <w:t>)</w:t>
      </w:r>
    </w:p>
  </w:footnote>
  <w:footnote w:id="8">
    <w:p w14:paraId="3187AF29" w14:textId="77777777" w:rsidR="002E008E" w:rsidRDefault="002E008E" w:rsidP="008C63E0">
      <w:pPr>
        <w:pStyle w:val="Lbjegyzetszveg"/>
      </w:pPr>
      <w:r>
        <w:rPr>
          <w:rStyle w:val="Lbjegyzet-hivatkozs"/>
        </w:rPr>
        <w:footnoteRef/>
      </w:r>
      <w:r>
        <w:t xml:space="preserve"> </w:t>
      </w:r>
      <w:r w:rsidRPr="00F8415B">
        <w:rPr>
          <w:sz w:val="16"/>
          <w:szCs w:val="16"/>
        </w:rPr>
        <w:t>RR:</w:t>
      </w:r>
      <w:r>
        <w:t xml:space="preserve"> </w:t>
      </w:r>
      <w:proofErr w:type="spellStart"/>
      <w:r w:rsidRPr="00B766F1">
        <w:rPr>
          <w:sz w:val="16"/>
          <w:szCs w:val="16"/>
        </w:rPr>
        <w:t>Radio</w:t>
      </w:r>
      <w:proofErr w:type="spellEnd"/>
      <w:r w:rsidRPr="00B766F1">
        <w:rPr>
          <w:sz w:val="16"/>
          <w:szCs w:val="16"/>
        </w:rPr>
        <w:t xml:space="preserve"> </w:t>
      </w:r>
      <w:proofErr w:type="spellStart"/>
      <w:r w:rsidRPr="00B766F1">
        <w:rPr>
          <w:sz w:val="16"/>
          <w:szCs w:val="16"/>
        </w:rPr>
        <w:t>Regulations</w:t>
      </w:r>
      <w:proofErr w:type="spellEnd"/>
      <w:r w:rsidRPr="00B766F1">
        <w:rPr>
          <w:sz w:val="16"/>
          <w:szCs w:val="16"/>
        </w:rPr>
        <w:t xml:space="preserve"> </w:t>
      </w:r>
      <w:r>
        <w:rPr>
          <w:sz w:val="16"/>
          <w:szCs w:val="16"/>
        </w:rPr>
        <w:t>(</w:t>
      </w:r>
      <w:r w:rsidRPr="00B766F1">
        <w:rPr>
          <w:sz w:val="16"/>
          <w:szCs w:val="16"/>
        </w:rPr>
        <w:t>Nemzetközi Rádiószabályzat</w:t>
      </w:r>
      <w:r>
        <w:rPr>
          <w:sz w:val="16"/>
          <w:szCs w:val="16"/>
        </w:rPr>
        <w:t>)</w:t>
      </w:r>
    </w:p>
  </w:footnote>
  <w:footnote w:id="9">
    <w:p w14:paraId="5DAD438D" w14:textId="72EA22F1" w:rsidR="002E008E" w:rsidRDefault="002E008E">
      <w:pPr>
        <w:pStyle w:val="Lbjegyzetszveg"/>
      </w:pPr>
      <w:r>
        <w:rPr>
          <w:rStyle w:val="Lbjegyzet-hivatkozs"/>
        </w:rPr>
        <w:footnoteRef/>
      </w:r>
      <w:r>
        <w:t xml:space="preserve"> </w:t>
      </w:r>
      <w:proofErr w:type="gramStart"/>
      <w:r w:rsidRPr="00200AA9">
        <w:rPr>
          <w:sz w:val="16"/>
          <w:szCs w:val="16"/>
        </w:rPr>
        <w:t>a</w:t>
      </w:r>
      <w:proofErr w:type="gramEnd"/>
      <w:r w:rsidRPr="00200AA9">
        <w:rPr>
          <w:sz w:val="16"/>
          <w:szCs w:val="16"/>
        </w:rPr>
        <w:t xml:space="preserve"> nemzeti frekvenciafelosztásról, valamint a frekvenciasávok felhasználási szabályairól szóló 7/2015. (XI. 13.) NMHH rendelet</w:t>
      </w:r>
    </w:p>
  </w:footnote>
  <w:footnote w:id="10">
    <w:p w14:paraId="37111ADC" w14:textId="30001359" w:rsidR="002E008E" w:rsidRPr="009B0456" w:rsidRDefault="002E008E" w:rsidP="009B0456">
      <w:pPr>
        <w:spacing w:after="0" w:line="240" w:lineRule="auto"/>
        <w:rPr>
          <w:sz w:val="16"/>
          <w:szCs w:val="16"/>
        </w:rPr>
      </w:pPr>
      <w:r>
        <w:rPr>
          <w:rStyle w:val="Lbjegyzet-hivatkozs"/>
        </w:rPr>
        <w:footnoteRef/>
      </w:r>
      <w:r>
        <w:t xml:space="preserve"> </w:t>
      </w:r>
      <w:r w:rsidRPr="009B0456">
        <w:rPr>
          <w:rFonts w:cs="Arial"/>
          <w:bCs/>
          <w:color w:val="000000"/>
          <w:sz w:val="16"/>
          <w:szCs w:val="16"/>
        </w:rPr>
        <w:t>A Bizottság határozata (2008. június 13.) a 2 500</w:t>
      </w:r>
      <w:r w:rsidRPr="009B0456">
        <w:rPr>
          <w:rFonts w:cs="Arial"/>
          <w:color w:val="000000"/>
          <w:sz w:val="16"/>
          <w:szCs w:val="16"/>
        </w:rPr>
        <w:sym w:font="Symbol" w:char="F02D"/>
      </w:r>
      <w:r w:rsidRPr="009B0456">
        <w:rPr>
          <w:rFonts w:cs="Arial"/>
          <w:bCs/>
          <w:color w:val="000000"/>
          <w:sz w:val="16"/>
          <w:szCs w:val="16"/>
        </w:rPr>
        <w:t>2 690 MHz-es frekvenciasávnak a Közösségen belül elektronikus hírközlési szolgáltatások nyújtására alkalmas földfelszíni rendszerek érdekében történő harmonizálásáról</w:t>
      </w:r>
    </w:p>
  </w:footnote>
  <w:footnote w:id="11">
    <w:p w14:paraId="6EA5B03F" w14:textId="471ADE2B" w:rsidR="002E008E" w:rsidRPr="00B530DC" w:rsidRDefault="002E008E">
      <w:pPr>
        <w:pStyle w:val="Lbjegyzetszveg"/>
        <w:rPr>
          <w:sz w:val="16"/>
          <w:szCs w:val="16"/>
        </w:rPr>
      </w:pPr>
      <w:r>
        <w:rPr>
          <w:rStyle w:val="Lbjegyzet-hivatkozs"/>
        </w:rPr>
        <w:footnoteRef/>
      </w:r>
      <w:r>
        <w:t xml:space="preserve"> </w:t>
      </w:r>
      <w:r w:rsidRPr="00B530DC">
        <w:rPr>
          <w:sz w:val="16"/>
          <w:szCs w:val="16"/>
        </w:rPr>
        <w:t xml:space="preserve">LTE-MTC: </w:t>
      </w:r>
      <w:r w:rsidRPr="00B530DC">
        <w:rPr>
          <w:rFonts w:cs="Arial"/>
          <w:color w:val="000000" w:themeColor="text1"/>
          <w:sz w:val="16"/>
          <w:szCs w:val="16"/>
        </w:rPr>
        <w:t xml:space="preserve">LTE </w:t>
      </w:r>
      <w:proofErr w:type="spellStart"/>
      <w:r w:rsidRPr="00B530DC">
        <w:rPr>
          <w:rFonts w:cs="Arial"/>
          <w:color w:val="000000" w:themeColor="text1"/>
          <w:sz w:val="16"/>
          <w:szCs w:val="16"/>
        </w:rPr>
        <w:t>Machine</w:t>
      </w:r>
      <w:proofErr w:type="spellEnd"/>
      <w:r w:rsidRPr="00B530DC">
        <w:rPr>
          <w:rFonts w:cs="Arial"/>
          <w:color w:val="000000" w:themeColor="text1"/>
          <w:sz w:val="16"/>
          <w:szCs w:val="16"/>
        </w:rPr>
        <w:t xml:space="preserve"> </w:t>
      </w:r>
      <w:proofErr w:type="spellStart"/>
      <w:r w:rsidRPr="00B530DC">
        <w:rPr>
          <w:rFonts w:cs="Arial"/>
          <w:color w:val="000000" w:themeColor="text1"/>
          <w:sz w:val="16"/>
          <w:szCs w:val="16"/>
        </w:rPr>
        <w:t>Type</w:t>
      </w:r>
      <w:proofErr w:type="spellEnd"/>
      <w:r w:rsidRPr="00B530DC">
        <w:rPr>
          <w:rFonts w:cs="Arial"/>
          <w:color w:val="000000" w:themeColor="text1"/>
          <w:sz w:val="16"/>
          <w:szCs w:val="16"/>
        </w:rPr>
        <w:t xml:space="preserve"> </w:t>
      </w:r>
      <w:proofErr w:type="spellStart"/>
      <w:r w:rsidRPr="00B530DC">
        <w:rPr>
          <w:rFonts w:cs="Arial"/>
          <w:color w:val="000000" w:themeColor="text1"/>
          <w:sz w:val="16"/>
          <w:szCs w:val="16"/>
        </w:rPr>
        <w:t>Communications</w:t>
      </w:r>
      <w:proofErr w:type="spellEnd"/>
      <w:r w:rsidRPr="00B530DC">
        <w:rPr>
          <w:rFonts w:cs="Arial"/>
          <w:color w:val="000000" w:themeColor="text1"/>
          <w:sz w:val="16"/>
          <w:szCs w:val="16"/>
        </w:rPr>
        <w:t xml:space="preserve"> (</w:t>
      </w:r>
      <w:r w:rsidRPr="00B530DC">
        <w:rPr>
          <w:rFonts w:cs="Arial"/>
          <w:color w:val="000000" w:themeColor="text1"/>
          <w:sz w:val="16"/>
          <w:szCs w:val="16"/>
          <w:lang w:bidi="hu-HU"/>
        </w:rPr>
        <w:t>LTE alapú, gépi típusú kommunikáció)</w:t>
      </w:r>
    </w:p>
  </w:footnote>
  <w:footnote w:id="12">
    <w:p w14:paraId="331F2FCD" w14:textId="01F3A0B0" w:rsidR="002E008E" w:rsidRPr="00B530DC" w:rsidRDefault="002E008E">
      <w:pPr>
        <w:pStyle w:val="Lbjegyzetszveg"/>
        <w:rPr>
          <w:sz w:val="16"/>
          <w:szCs w:val="16"/>
        </w:rPr>
      </w:pPr>
      <w:r>
        <w:rPr>
          <w:rStyle w:val="Lbjegyzet-hivatkozs"/>
        </w:rPr>
        <w:footnoteRef/>
      </w:r>
      <w:r>
        <w:t xml:space="preserve"> </w:t>
      </w:r>
      <w:r w:rsidRPr="00B530DC">
        <w:rPr>
          <w:sz w:val="16"/>
          <w:szCs w:val="16"/>
        </w:rPr>
        <w:t>LTE-</w:t>
      </w:r>
      <w:proofErr w:type="spellStart"/>
      <w:r w:rsidRPr="00B530DC">
        <w:rPr>
          <w:sz w:val="16"/>
          <w:szCs w:val="16"/>
        </w:rPr>
        <w:t>eMTC</w:t>
      </w:r>
      <w:proofErr w:type="spellEnd"/>
      <w:r w:rsidRPr="00B530DC">
        <w:rPr>
          <w:sz w:val="16"/>
          <w:szCs w:val="16"/>
        </w:rPr>
        <w:t xml:space="preserve">: </w:t>
      </w:r>
      <w:r w:rsidRPr="00B530DC">
        <w:rPr>
          <w:rFonts w:cs="Arial"/>
          <w:color w:val="000000" w:themeColor="text1"/>
          <w:sz w:val="16"/>
          <w:szCs w:val="16"/>
        </w:rPr>
        <w:t xml:space="preserve">LTE </w:t>
      </w:r>
      <w:proofErr w:type="spellStart"/>
      <w:r w:rsidRPr="00B530DC">
        <w:rPr>
          <w:rFonts w:cs="Arial"/>
          <w:color w:val="000000" w:themeColor="text1"/>
          <w:sz w:val="16"/>
          <w:szCs w:val="16"/>
        </w:rPr>
        <w:t>evolved</w:t>
      </w:r>
      <w:proofErr w:type="spellEnd"/>
      <w:r w:rsidRPr="00B530DC">
        <w:rPr>
          <w:rFonts w:cs="Arial"/>
          <w:color w:val="000000" w:themeColor="text1"/>
          <w:sz w:val="16"/>
          <w:szCs w:val="16"/>
        </w:rPr>
        <w:t xml:space="preserve"> </w:t>
      </w:r>
      <w:proofErr w:type="spellStart"/>
      <w:r w:rsidRPr="00B530DC">
        <w:rPr>
          <w:rFonts w:cs="Arial"/>
          <w:color w:val="000000" w:themeColor="text1"/>
          <w:sz w:val="16"/>
          <w:szCs w:val="16"/>
        </w:rPr>
        <w:t>Machine</w:t>
      </w:r>
      <w:proofErr w:type="spellEnd"/>
      <w:r w:rsidRPr="00B530DC">
        <w:rPr>
          <w:rFonts w:cs="Arial"/>
          <w:color w:val="000000" w:themeColor="text1"/>
          <w:sz w:val="16"/>
          <w:szCs w:val="16"/>
        </w:rPr>
        <w:t xml:space="preserve"> </w:t>
      </w:r>
      <w:proofErr w:type="spellStart"/>
      <w:r w:rsidRPr="00B530DC">
        <w:rPr>
          <w:rFonts w:cs="Arial"/>
          <w:color w:val="000000" w:themeColor="text1"/>
          <w:sz w:val="16"/>
          <w:szCs w:val="16"/>
        </w:rPr>
        <w:t>Type</w:t>
      </w:r>
      <w:proofErr w:type="spellEnd"/>
      <w:r w:rsidRPr="00B530DC">
        <w:rPr>
          <w:rFonts w:cs="Arial"/>
          <w:color w:val="000000" w:themeColor="text1"/>
          <w:sz w:val="16"/>
          <w:szCs w:val="16"/>
        </w:rPr>
        <w:t xml:space="preserve"> </w:t>
      </w:r>
      <w:proofErr w:type="spellStart"/>
      <w:r w:rsidRPr="00B530DC">
        <w:rPr>
          <w:rFonts w:cs="Arial"/>
          <w:color w:val="000000" w:themeColor="text1"/>
          <w:sz w:val="16"/>
          <w:szCs w:val="16"/>
        </w:rPr>
        <w:t>Communications</w:t>
      </w:r>
      <w:proofErr w:type="spellEnd"/>
      <w:r w:rsidRPr="00B530DC">
        <w:rPr>
          <w:rFonts w:cs="Arial"/>
          <w:color w:val="000000" w:themeColor="text1"/>
          <w:sz w:val="16"/>
          <w:szCs w:val="16"/>
        </w:rPr>
        <w:t xml:space="preserve"> (</w:t>
      </w:r>
      <w:r w:rsidRPr="00B530DC">
        <w:rPr>
          <w:rFonts w:cs="Arial"/>
          <w:color w:val="000000" w:themeColor="text1"/>
          <w:sz w:val="16"/>
          <w:szCs w:val="16"/>
          <w:lang w:bidi="hu-HU"/>
        </w:rPr>
        <w:t>LTE alapú, továbbfejlesztett gépi típusú kommunikáció)</w:t>
      </w:r>
    </w:p>
  </w:footnote>
  <w:footnote w:id="13">
    <w:p w14:paraId="3B211124" w14:textId="26D9154C" w:rsidR="002E008E" w:rsidRPr="00B530DC" w:rsidRDefault="002E008E">
      <w:pPr>
        <w:pStyle w:val="Lbjegyzetszveg"/>
        <w:rPr>
          <w:sz w:val="16"/>
          <w:szCs w:val="16"/>
        </w:rPr>
      </w:pPr>
      <w:r>
        <w:rPr>
          <w:rStyle w:val="Lbjegyzet-hivatkozs"/>
        </w:rPr>
        <w:footnoteRef/>
      </w:r>
      <w:r>
        <w:t xml:space="preserve"> </w:t>
      </w:r>
      <w:r w:rsidRPr="00B530DC">
        <w:rPr>
          <w:sz w:val="16"/>
          <w:szCs w:val="16"/>
        </w:rPr>
        <w:t>NB-</w:t>
      </w:r>
      <w:proofErr w:type="spellStart"/>
      <w:r w:rsidRPr="00B530DC">
        <w:rPr>
          <w:sz w:val="16"/>
          <w:szCs w:val="16"/>
        </w:rPr>
        <w:t>IoT</w:t>
      </w:r>
      <w:proofErr w:type="spellEnd"/>
      <w:r w:rsidRPr="00B530DC">
        <w:rPr>
          <w:sz w:val="16"/>
          <w:szCs w:val="16"/>
        </w:rPr>
        <w:t xml:space="preserve">: </w:t>
      </w:r>
      <w:r w:rsidRPr="00B530DC">
        <w:rPr>
          <w:rFonts w:cs="Arial"/>
          <w:color w:val="000000" w:themeColor="text1"/>
          <w:sz w:val="16"/>
          <w:szCs w:val="16"/>
          <w:lang w:val="en-GB"/>
        </w:rPr>
        <w:t xml:space="preserve">Narrowband </w:t>
      </w:r>
      <w:proofErr w:type="spellStart"/>
      <w:r w:rsidRPr="00B530DC">
        <w:rPr>
          <w:rFonts w:cs="Arial"/>
          <w:color w:val="000000" w:themeColor="text1"/>
          <w:sz w:val="16"/>
          <w:szCs w:val="16"/>
          <w:lang w:val="en-GB"/>
        </w:rPr>
        <w:t>IoT</w:t>
      </w:r>
      <w:proofErr w:type="spellEnd"/>
      <w:r w:rsidRPr="00B530DC">
        <w:rPr>
          <w:rFonts w:cs="Arial"/>
          <w:color w:val="000000" w:themeColor="text1"/>
          <w:sz w:val="16"/>
          <w:szCs w:val="16"/>
          <w:lang w:val="en-GB"/>
        </w:rPr>
        <w:t xml:space="preserve"> (</w:t>
      </w:r>
      <w:r w:rsidRPr="00B530DC">
        <w:rPr>
          <w:rFonts w:cs="Arial"/>
          <w:color w:val="000000" w:themeColor="text1"/>
          <w:sz w:val="16"/>
          <w:szCs w:val="16"/>
        </w:rPr>
        <w:t xml:space="preserve">Keskenysávú </w:t>
      </w:r>
      <w:proofErr w:type="spellStart"/>
      <w:r w:rsidRPr="00B530DC">
        <w:rPr>
          <w:rFonts w:cs="Arial"/>
          <w:color w:val="000000" w:themeColor="text1"/>
          <w:sz w:val="16"/>
          <w:szCs w:val="16"/>
        </w:rPr>
        <w:t>IoT</w:t>
      </w:r>
      <w:proofErr w:type="spellEnd"/>
      <w:r w:rsidRPr="00B530DC">
        <w:rPr>
          <w:rFonts w:cs="Arial"/>
          <w:color w:val="000000" w:themeColor="text1"/>
          <w:sz w:val="16"/>
          <w:szCs w:val="16"/>
        </w:rPr>
        <w:t>)</w:t>
      </w:r>
    </w:p>
  </w:footnote>
  <w:footnote w:id="14">
    <w:p w14:paraId="710B6237" w14:textId="09E13C4A" w:rsidR="002E008E" w:rsidRDefault="002E008E">
      <w:pPr>
        <w:pStyle w:val="Lbjegyzetszveg"/>
      </w:pPr>
      <w:r>
        <w:rPr>
          <w:rStyle w:val="Lbjegyzet-hivatkozs"/>
        </w:rPr>
        <w:footnoteRef/>
      </w:r>
      <w:r>
        <w:t xml:space="preserve"> </w:t>
      </w:r>
      <w:r w:rsidRPr="00EF0A4A">
        <w:rPr>
          <w:rFonts w:cs="Arial"/>
          <w:color w:val="000000" w:themeColor="text1"/>
          <w:sz w:val="16"/>
          <w:szCs w:val="16"/>
          <w:lang w:bidi="hu-HU"/>
        </w:rPr>
        <w:t>Az uniós műszaki notifikáció alatt lévő NFFF módosítás alapján lehetséges.</w:t>
      </w:r>
    </w:p>
  </w:footnote>
  <w:footnote w:id="15">
    <w:p w14:paraId="1B24131F" w14:textId="77777777" w:rsidR="002E008E" w:rsidRDefault="002E008E" w:rsidP="007A2197">
      <w:pPr>
        <w:pStyle w:val="Lbjegyzetszveg"/>
      </w:pPr>
      <w:r>
        <w:rPr>
          <w:rStyle w:val="Lbjegyzet-hivatkozs"/>
        </w:rPr>
        <w:footnoteRef/>
      </w:r>
      <w:r>
        <w:t xml:space="preserve"> </w:t>
      </w:r>
      <w:proofErr w:type="spellStart"/>
      <w:r w:rsidRPr="00792476">
        <w:rPr>
          <w:sz w:val="16"/>
          <w:szCs w:val="16"/>
        </w:rPr>
        <w:t>IoT</w:t>
      </w:r>
      <w:proofErr w:type="spellEnd"/>
      <w:r w:rsidRPr="00792476">
        <w:rPr>
          <w:sz w:val="16"/>
          <w:szCs w:val="16"/>
        </w:rPr>
        <w:t xml:space="preserve">: </w:t>
      </w:r>
      <w:r w:rsidRPr="00792476">
        <w:rPr>
          <w:rFonts w:cs="Arial"/>
          <w:color w:val="000000" w:themeColor="text1"/>
          <w:sz w:val="16"/>
          <w:szCs w:val="16"/>
          <w:lang w:val="en-GB"/>
        </w:rPr>
        <w:t>Internet of Things (</w:t>
      </w:r>
      <w:r w:rsidRPr="00792476">
        <w:rPr>
          <w:rFonts w:cs="Arial"/>
          <w:color w:val="000000" w:themeColor="text1"/>
          <w:sz w:val="16"/>
          <w:szCs w:val="16"/>
          <w:lang w:bidi="hu-HU"/>
        </w:rPr>
        <w:t>Dolgok internete)</w:t>
      </w:r>
    </w:p>
  </w:footnote>
  <w:footnote w:id="16">
    <w:p w14:paraId="1DB15AC9" w14:textId="47873237" w:rsidR="002E008E" w:rsidRDefault="002E008E">
      <w:pPr>
        <w:pStyle w:val="Lbjegyzetszveg"/>
      </w:pPr>
      <w:r>
        <w:rPr>
          <w:rStyle w:val="Lbjegyzet-hivatkozs"/>
        </w:rPr>
        <w:footnoteRef/>
      </w:r>
      <w:r>
        <w:t xml:space="preserve"> 2022. március 1-jétől </w:t>
      </w:r>
      <w:proofErr w:type="spellStart"/>
      <w:r>
        <w:t>Yettel</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91FE" w14:textId="77777777" w:rsidR="002E008E" w:rsidRDefault="002E008E">
    <w:pPr>
      <w:pStyle w:val="lfej"/>
    </w:pPr>
    <w:r>
      <w:rPr>
        <w:noProof/>
        <w:lang w:eastAsia="hu-HU"/>
      </w:rPr>
      <w:drawing>
        <wp:anchor distT="0" distB="0" distL="114300" distR="114300" simplePos="0" relativeHeight="251664896" behindDoc="0" locked="0" layoutInCell="1" allowOverlap="1" wp14:anchorId="2123D7C0" wp14:editId="7718B57E">
          <wp:simplePos x="0" y="0"/>
          <wp:positionH relativeFrom="margin">
            <wp:posOffset>-883920</wp:posOffset>
          </wp:positionH>
          <wp:positionV relativeFrom="page">
            <wp:posOffset>0</wp:posOffset>
          </wp:positionV>
          <wp:extent cx="7529195" cy="1077595"/>
          <wp:effectExtent l="0" t="0" r="0" b="0"/>
          <wp:wrapTopAndBottom/>
          <wp:docPr id="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4D2" w14:textId="77777777" w:rsidR="002E008E" w:rsidRDefault="002E008E">
    <w:pPr>
      <w:pStyle w:val="lfej"/>
    </w:pPr>
    <w:r>
      <w:rPr>
        <w:noProof/>
        <w:lang w:eastAsia="hu-HU"/>
      </w:rPr>
      <w:drawing>
        <wp:anchor distT="0" distB="0" distL="114300" distR="114300" simplePos="0" relativeHeight="251662848" behindDoc="0" locked="0" layoutInCell="1" allowOverlap="1" wp14:anchorId="09F78D53" wp14:editId="78F56804">
          <wp:simplePos x="0" y="0"/>
          <wp:positionH relativeFrom="margin">
            <wp:posOffset>-883920</wp:posOffset>
          </wp:positionH>
          <wp:positionV relativeFrom="page">
            <wp:posOffset>0</wp:posOffset>
          </wp:positionV>
          <wp:extent cx="7529195" cy="1077595"/>
          <wp:effectExtent l="0" t="0" r="0" b="0"/>
          <wp:wrapTopAndBottom/>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8C8E" w14:textId="77777777" w:rsidR="002E008E" w:rsidRDefault="002E008E">
    <w:pPr>
      <w:pStyle w:val="lfej"/>
    </w:pPr>
    <w:r>
      <w:rPr>
        <w:noProof/>
        <w:lang w:eastAsia="hu-HU"/>
      </w:rPr>
      <w:drawing>
        <wp:anchor distT="0" distB="0" distL="114300" distR="114300" simplePos="0" relativeHeight="251661824" behindDoc="0" locked="0" layoutInCell="1" allowOverlap="1" wp14:anchorId="79A44A80" wp14:editId="2ECB03D1">
          <wp:simplePos x="0" y="0"/>
          <wp:positionH relativeFrom="margin">
            <wp:posOffset>-883920</wp:posOffset>
          </wp:positionH>
          <wp:positionV relativeFrom="page">
            <wp:posOffset>0</wp:posOffset>
          </wp:positionV>
          <wp:extent cx="7529195" cy="1077595"/>
          <wp:effectExtent l="0" t="0" r="0" b="0"/>
          <wp:wrapTopAndBottom/>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1E2776C6"/>
    <w:multiLevelType w:val="hybridMultilevel"/>
    <w:tmpl w:val="E58E1A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FFF43DC"/>
    <w:multiLevelType w:val="hybridMultilevel"/>
    <w:tmpl w:val="7884FD18"/>
    <w:lvl w:ilvl="0" w:tplc="1D00EA04">
      <w:start w:val="1"/>
      <w:numFmt w:val="decimal"/>
      <w:lvlText w:val="%1"/>
      <w:lvlJc w:val="center"/>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3B7929"/>
    <w:multiLevelType w:val="hybridMultilevel"/>
    <w:tmpl w:val="F0404D50"/>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A8A3C1C"/>
    <w:multiLevelType w:val="multilevel"/>
    <w:tmpl w:val="BA6C48F0"/>
    <w:lvl w:ilvl="0">
      <w:start w:val="1"/>
      <w:numFmt w:val="ordinal"/>
      <w:pStyle w:val="Cmsor1szmozottnmhh"/>
      <w:lvlText w:val="%1"/>
      <w:lvlJc w:val="left"/>
      <w:pPr>
        <w:ind w:left="432" w:hanging="432"/>
      </w:pPr>
      <w:rPr>
        <w:rFonts w:hint="default"/>
      </w:rPr>
    </w:lvl>
    <w:lvl w:ilvl="1">
      <w:start w:val="1"/>
      <w:numFmt w:val="ordinal"/>
      <w:pStyle w:val="Cmsor2szmozottnmhh"/>
      <w:lvlText w:val="%1%2"/>
      <w:lvlJc w:val="left"/>
      <w:pPr>
        <w:ind w:left="576" w:hanging="576"/>
      </w:pPr>
      <w:rPr>
        <w:rFonts w:hint="default"/>
      </w:rPr>
    </w:lvl>
    <w:lvl w:ilvl="2">
      <w:start w:val="1"/>
      <w:numFmt w:val="ordinal"/>
      <w:pStyle w:val="Cmsor3szmozottnmhh"/>
      <w:lvlText w:val="%1%2%3"/>
      <w:lvlJc w:val="left"/>
      <w:pPr>
        <w:ind w:left="720" w:hanging="720"/>
      </w:pPr>
      <w:rPr>
        <w:rFonts w:hint="default"/>
      </w:rPr>
    </w:lvl>
    <w:lvl w:ilvl="3">
      <w:start w:val="1"/>
      <w:numFmt w:val="ordinal"/>
      <w:pStyle w:val="Cmsor4szmozottnmhh"/>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6" w15:restartNumberingAfterBreak="0">
    <w:nsid w:val="325113BE"/>
    <w:multiLevelType w:val="hybridMultilevel"/>
    <w:tmpl w:val="38DA4FC2"/>
    <w:lvl w:ilvl="0" w:tplc="2E90CB8A">
      <w:start w:val="1"/>
      <w:numFmt w:val="bullet"/>
      <w:pStyle w:val="Lista1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D02396"/>
    <w:multiLevelType w:val="hybridMultilevel"/>
    <w:tmpl w:val="2DFA2CDE"/>
    <w:lvl w:ilvl="0" w:tplc="8F94BA78">
      <w:start w:val="1"/>
      <w:numFmt w:val="decimal"/>
      <w:lvlText w:val="%1."/>
      <w:lvlJc w:val="left"/>
      <w:pPr>
        <w:ind w:left="792" w:hanging="360"/>
      </w:pPr>
      <w:rPr>
        <w:rFonts w:hint="default"/>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abstractNum w:abstractNumId="10" w15:restartNumberingAfterBreak="0">
    <w:nsid w:val="55D803E6"/>
    <w:multiLevelType w:val="hybridMultilevel"/>
    <w:tmpl w:val="6214F0BC"/>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56BE6E59"/>
    <w:multiLevelType w:val="hybridMultilevel"/>
    <w:tmpl w:val="277AB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07468E0"/>
    <w:multiLevelType w:val="hybridMultilevel"/>
    <w:tmpl w:val="38D6DF9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4" w15:restartNumberingAfterBreak="0">
    <w:nsid w:val="707E568A"/>
    <w:multiLevelType w:val="hybridMultilevel"/>
    <w:tmpl w:val="383807F4"/>
    <w:lvl w:ilvl="0" w:tplc="32AA15B6">
      <w:start w:val="1"/>
      <w:numFmt w:val="decimal"/>
      <w:pStyle w:val="Irodalomjegyzkfelsorolsnmhh"/>
      <w:lvlText w:val="[%1]"/>
      <w:lvlJc w:val="left"/>
      <w:pPr>
        <w:ind w:left="360"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5" w15:restartNumberingAfterBreak="0">
    <w:nsid w:val="7A4C7E35"/>
    <w:multiLevelType w:val="hybridMultilevel"/>
    <w:tmpl w:val="1B48FC5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5"/>
  </w:num>
  <w:num w:numId="6">
    <w:abstractNumId w:val="6"/>
  </w:num>
  <w:num w:numId="7">
    <w:abstractNumId w:val="8"/>
  </w:num>
  <w:num w:numId="8">
    <w:abstractNumId w:val="14"/>
  </w:num>
  <w:num w:numId="9">
    <w:abstractNumId w:val="2"/>
  </w:num>
  <w:num w:numId="10">
    <w:abstractNumId w:val="1"/>
  </w:num>
  <w:num w:numId="11">
    <w:abstractNumId w:val="10"/>
  </w:num>
  <w:num w:numId="12">
    <w:abstractNumId w:val="13"/>
  </w:num>
  <w:num w:numId="13">
    <w:abstractNumId w:val="4"/>
  </w:num>
  <w:num w:numId="14">
    <w:abstractNumId w:val="15"/>
  </w:num>
  <w:num w:numId="15">
    <w:abstractNumId w:val="11"/>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79"/>
    <w:rsid w:val="00000142"/>
    <w:rsid w:val="00004F77"/>
    <w:rsid w:val="00016AF3"/>
    <w:rsid w:val="00030E80"/>
    <w:rsid w:val="00031851"/>
    <w:rsid w:val="00041388"/>
    <w:rsid w:val="00052700"/>
    <w:rsid w:val="00052F3B"/>
    <w:rsid w:val="000539FF"/>
    <w:rsid w:val="000547B1"/>
    <w:rsid w:val="000724E1"/>
    <w:rsid w:val="0007682C"/>
    <w:rsid w:val="00096F05"/>
    <w:rsid w:val="000A2B9F"/>
    <w:rsid w:val="000A55EE"/>
    <w:rsid w:val="000B3BA5"/>
    <w:rsid w:val="000C1A87"/>
    <w:rsid w:val="000E56A8"/>
    <w:rsid w:val="000E7111"/>
    <w:rsid w:val="000F2E37"/>
    <w:rsid w:val="000F5583"/>
    <w:rsid w:val="001028FB"/>
    <w:rsid w:val="001127CE"/>
    <w:rsid w:val="001479E7"/>
    <w:rsid w:val="0015667B"/>
    <w:rsid w:val="00157CD9"/>
    <w:rsid w:val="00172E2E"/>
    <w:rsid w:val="00176004"/>
    <w:rsid w:val="0019052D"/>
    <w:rsid w:val="001972AF"/>
    <w:rsid w:val="001A3BDC"/>
    <w:rsid w:val="001A56E0"/>
    <w:rsid w:val="001B5456"/>
    <w:rsid w:val="001B68BE"/>
    <w:rsid w:val="001B6E5A"/>
    <w:rsid w:val="001C0301"/>
    <w:rsid w:val="001C5172"/>
    <w:rsid w:val="001C5CEF"/>
    <w:rsid w:val="001D0018"/>
    <w:rsid w:val="001D56EC"/>
    <w:rsid w:val="001E1AD8"/>
    <w:rsid w:val="001E5FD0"/>
    <w:rsid w:val="001F0152"/>
    <w:rsid w:val="00200AA9"/>
    <w:rsid w:val="00202CF5"/>
    <w:rsid w:val="00217ADA"/>
    <w:rsid w:val="002276F2"/>
    <w:rsid w:val="002413D1"/>
    <w:rsid w:val="00251B86"/>
    <w:rsid w:val="00260CB3"/>
    <w:rsid w:val="00261FD5"/>
    <w:rsid w:val="00263376"/>
    <w:rsid w:val="00274A4E"/>
    <w:rsid w:val="00277595"/>
    <w:rsid w:val="00296849"/>
    <w:rsid w:val="002E008E"/>
    <w:rsid w:val="002F3A6D"/>
    <w:rsid w:val="003005FE"/>
    <w:rsid w:val="003121A5"/>
    <w:rsid w:val="00330CD4"/>
    <w:rsid w:val="0033231B"/>
    <w:rsid w:val="00374CA0"/>
    <w:rsid w:val="003767DF"/>
    <w:rsid w:val="003808A2"/>
    <w:rsid w:val="003A033D"/>
    <w:rsid w:val="003A4DD8"/>
    <w:rsid w:val="003A5295"/>
    <w:rsid w:val="003B10BE"/>
    <w:rsid w:val="003C6E5A"/>
    <w:rsid w:val="003C7C94"/>
    <w:rsid w:val="003D13B9"/>
    <w:rsid w:val="003E75CB"/>
    <w:rsid w:val="003F1438"/>
    <w:rsid w:val="00407364"/>
    <w:rsid w:val="00414891"/>
    <w:rsid w:val="00422524"/>
    <w:rsid w:val="004275D0"/>
    <w:rsid w:val="00427DE8"/>
    <w:rsid w:val="00430B47"/>
    <w:rsid w:val="00434D92"/>
    <w:rsid w:val="00444F7E"/>
    <w:rsid w:val="00453CAD"/>
    <w:rsid w:val="0045671B"/>
    <w:rsid w:val="004707AF"/>
    <w:rsid w:val="00471A86"/>
    <w:rsid w:val="0047628F"/>
    <w:rsid w:val="00477C09"/>
    <w:rsid w:val="004942E2"/>
    <w:rsid w:val="004A4E5B"/>
    <w:rsid w:val="004B0A1C"/>
    <w:rsid w:val="004B67E4"/>
    <w:rsid w:val="004E10B9"/>
    <w:rsid w:val="004E27BC"/>
    <w:rsid w:val="004F1947"/>
    <w:rsid w:val="005129C5"/>
    <w:rsid w:val="00517579"/>
    <w:rsid w:val="00531AF5"/>
    <w:rsid w:val="00537B19"/>
    <w:rsid w:val="00537E6B"/>
    <w:rsid w:val="00540535"/>
    <w:rsid w:val="005508A4"/>
    <w:rsid w:val="0055573E"/>
    <w:rsid w:val="0056442F"/>
    <w:rsid w:val="00566445"/>
    <w:rsid w:val="005802D7"/>
    <w:rsid w:val="005833AB"/>
    <w:rsid w:val="005B0B27"/>
    <w:rsid w:val="005C071F"/>
    <w:rsid w:val="005C099E"/>
    <w:rsid w:val="005C76F8"/>
    <w:rsid w:val="005D1AD3"/>
    <w:rsid w:val="005E47F1"/>
    <w:rsid w:val="005E5163"/>
    <w:rsid w:val="005F14D6"/>
    <w:rsid w:val="005F2EAA"/>
    <w:rsid w:val="00611891"/>
    <w:rsid w:val="006122C9"/>
    <w:rsid w:val="00623AEA"/>
    <w:rsid w:val="00645B09"/>
    <w:rsid w:val="00657D24"/>
    <w:rsid w:val="00684762"/>
    <w:rsid w:val="006939B6"/>
    <w:rsid w:val="006A2CB3"/>
    <w:rsid w:val="006C1814"/>
    <w:rsid w:val="006D055B"/>
    <w:rsid w:val="006E3A8A"/>
    <w:rsid w:val="006F7A75"/>
    <w:rsid w:val="0070266E"/>
    <w:rsid w:val="00713C40"/>
    <w:rsid w:val="00724DCF"/>
    <w:rsid w:val="00731308"/>
    <w:rsid w:val="0073287D"/>
    <w:rsid w:val="007459B1"/>
    <w:rsid w:val="00772F7E"/>
    <w:rsid w:val="00792476"/>
    <w:rsid w:val="00793636"/>
    <w:rsid w:val="0079418F"/>
    <w:rsid w:val="007A055C"/>
    <w:rsid w:val="007A2197"/>
    <w:rsid w:val="007A2E3B"/>
    <w:rsid w:val="007B2341"/>
    <w:rsid w:val="007B30DB"/>
    <w:rsid w:val="007B55E4"/>
    <w:rsid w:val="007C45D4"/>
    <w:rsid w:val="007C622B"/>
    <w:rsid w:val="007D3776"/>
    <w:rsid w:val="007E0B69"/>
    <w:rsid w:val="007E37CE"/>
    <w:rsid w:val="007E4F22"/>
    <w:rsid w:val="007F48EE"/>
    <w:rsid w:val="007F7428"/>
    <w:rsid w:val="00807C5F"/>
    <w:rsid w:val="00812C1A"/>
    <w:rsid w:val="00815D6D"/>
    <w:rsid w:val="008168DE"/>
    <w:rsid w:val="00831317"/>
    <w:rsid w:val="00831D9A"/>
    <w:rsid w:val="00836A70"/>
    <w:rsid w:val="00846123"/>
    <w:rsid w:val="00847983"/>
    <w:rsid w:val="008613B5"/>
    <w:rsid w:val="008767E1"/>
    <w:rsid w:val="00891608"/>
    <w:rsid w:val="00894FAF"/>
    <w:rsid w:val="008A08E4"/>
    <w:rsid w:val="008A7649"/>
    <w:rsid w:val="008B4D11"/>
    <w:rsid w:val="008C3C16"/>
    <w:rsid w:val="008C63E0"/>
    <w:rsid w:val="008D5F59"/>
    <w:rsid w:val="008E28C1"/>
    <w:rsid w:val="008F044A"/>
    <w:rsid w:val="00912A00"/>
    <w:rsid w:val="009166F7"/>
    <w:rsid w:val="00930A7D"/>
    <w:rsid w:val="00932363"/>
    <w:rsid w:val="00947D16"/>
    <w:rsid w:val="00953A1A"/>
    <w:rsid w:val="00954F12"/>
    <w:rsid w:val="00964EC1"/>
    <w:rsid w:val="00964F7E"/>
    <w:rsid w:val="00965703"/>
    <w:rsid w:val="009678E7"/>
    <w:rsid w:val="00967E7A"/>
    <w:rsid w:val="00973133"/>
    <w:rsid w:val="00983E9F"/>
    <w:rsid w:val="00992839"/>
    <w:rsid w:val="00992927"/>
    <w:rsid w:val="009B0456"/>
    <w:rsid w:val="009C1999"/>
    <w:rsid w:val="009D238B"/>
    <w:rsid w:val="009E1C2C"/>
    <w:rsid w:val="009F433D"/>
    <w:rsid w:val="00A126A6"/>
    <w:rsid w:val="00A2262F"/>
    <w:rsid w:val="00A2365A"/>
    <w:rsid w:val="00A36DDD"/>
    <w:rsid w:val="00A56739"/>
    <w:rsid w:val="00A67EEB"/>
    <w:rsid w:val="00A70C6D"/>
    <w:rsid w:val="00A76701"/>
    <w:rsid w:val="00A77B04"/>
    <w:rsid w:val="00A92890"/>
    <w:rsid w:val="00A96019"/>
    <w:rsid w:val="00AA1255"/>
    <w:rsid w:val="00AA70F5"/>
    <w:rsid w:val="00AB2EE5"/>
    <w:rsid w:val="00AB6891"/>
    <w:rsid w:val="00AC6808"/>
    <w:rsid w:val="00AD41E0"/>
    <w:rsid w:val="00AE047E"/>
    <w:rsid w:val="00AE5C13"/>
    <w:rsid w:val="00AE63CA"/>
    <w:rsid w:val="00B00DE2"/>
    <w:rsid w:val="00B0354F"/>
    <w:rsid w:val="00B05124"/>
    <w:rsid w:val="00B05ED2"/>
    <w:rsid w:val="00B232DF"/>
    <w:rsid w:val="00B24D20"/>
    <w:rsid w:val="00B30331"/>
    <w:rsid w:val="00B3090D"/>
    <w:rsid w:val="00B35F39"/>
    <w:rsid w:val="00B47447"/>
    <w:rsid w:val="00B5106F"/>
    <w:rsid w:val="00B530DC"/>
    <w:rsid w:val="00B537BA"/>
    <w:rsid w:val="00B60105"/>
    <w:rsid w:val="00B6079D"/>
    <w:rsid w:val="00B716BA"/>
    <w:rsid w:val="00B73DDA"/>
    <w:rsid w:val="00B765BF"/>
    <w:rsid w:val="00B956E3"/>
    <w:rsid w:val="00BB6AB6"/>
    <w:rsid w:val="00BC1F17"/>
    <w:rsid w:val="00BC3CC1"/>
    <w:rsid w:val="00BD5A55"/>
    <w:rsid w:val="00BE0596"/>
    <w:rsid w:val="00BF5860"/>
    <w:rsid w:val="00C20E17"/>
    <w:rsid w:val="00C51A02"/>
    <w:rsid w:val="00C56362"/>
    <w:rsid w:val="00C664AE"/>
    <w:rsid w:val="00C66DAE"/>
    <w:rsid w:val="00C703D7"/>
    <w:rsid w:val="00C71002"/>
    <w:rsid w:val="00C83AEC"/>
    <w:rsid w:val="00C86D6D"/>
    <w:rsid w:val="00CD5192"/>
    <w:rsid w:val="00CE2002"/>
    <w:rsid w:val="00CF03A4"/>
    <w:rsid w:val="00CF389E"/>
    <w:rsid w:val="00D10D6C"/>
    <w:rsid w:val="00D33CA7"/>
    <w:rsid w:val="00D41053"/>
    <w:rsid w:val="00D43693"/>
    <w:rsid w:val="00D46C12"/>
    <w:rsid w:val="00D54515"/>
    <w:rsid w:val="00D57466"/>
    <w:rsid w:val="00D850E2"/>
    <w:rsid w:val="00D96CED"/>
    <w:rsid w:val="00DB14C0"/>
    <w:rsid w:val="00DC0327"/>
    <w:rsid w:val="00DC7325"/>
    <w:rsid w:val="00DE220D"/>
    <w:rsid w:val="00DE5B17"/>
    <w:rsid w:val="00DF2B9B"/>
    <w:rsid w:val="00E018A8"/>
    <w:rsid w:val="00E2235D"/>
    <w:rsid w:val="00E3177D"/>
    <w:rsid w:val="00E31D5A"/>
    <w:rsid w:val="00E67378"/>
    <w:rsid w:val="00E80532"/>
    <w:rsid w:val="00E85ABA"/>
    <w:rsid w:val="00E9113D"/>
    <w:rsid w:val="00EA1A18"/>
    <w:rsid w:val="00EA748D"/>
    <w:rsid w:val="00ED05C2"/>
    <w:rsid w:val="00ED0E45"/>
    <w:rsid w:val="00ED104D"/>
    <w:rsid w:val="00ED259D"/>
    <w:rsid w:val="00EF036F"/>
    <w:rsid w:val="00EF0A4A"/>
    <w:rsid w:val="00EF75DB"/>
    <w:rsid w:val="00F316C7"/>
    <w:rsid w:val="00F54787"/>
    <w:rsid w:val="00F61734"/>
    <w:rsid w:val="00F7356C"/>
    <w:rsid w:val="00F83C49"/>
    <w:rsid w:val="00F85032"/>
    <w:rsid w:val="00FA3B4E"/>
    <w:rsid w:val="00FA40ED"/>
    <w:rsid w:val="00FC3CE7"/>
    <w:rsid w:val="00FD3BBC"/>
    <w:rsid w:val="00FE2637"/>
    <w:rsid w:val="00FE55B1"/>
    <w:rsid w:val="00FF2C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24DE"/>
  <w15:docId w15:val="{7A84C8CC-7ED0-40AE-A24B-A16E2BCF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pPr>
      <w:spacing w:after="120"/>
      <w:jc w:val="both"/>
    </w:pPr>
  </w:style>
  <w:style w:type="paragraph" w:styleId="Cmsor1">
    <w:name w:val="heading 1"/>
    <w:aliases w:val="ECC Heading 1"/>
    <w:basedOn w:val="Norml"/>
    <w:next w:val="Norml"/>
    <w:link w:val="Cmsor1Char"/>
    <w:qFormat/>
    <w:pPr>
      <w:keepNext/>
      <w:keepLines/>
      <w:numPr>
        <w:numId w:val="1"/>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aliases w:val="ECC Heading 2"/>
    <w:basedOn w:val="Norml"/>
    <w:next w:val="Norml"/>
    <w:link w:val="Cmsor2Char"/>
    <w:unhideWhenUsed/>
    <w:qFormat/>
    <w:pPr>
      <w:keepNext/>
      <w:keepLines/>
      <w:numPr>
        <w:ilvl w:val="1"/>
        <w:numId w:val="1"/>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aliases w:val="ECC Heading 3"/>
    <w:basedOn w:val="Norml"/>
    <w:next w:val="Norml"/>
    <w:link w:val="Cmsor3Char"/>
    <w:unhideWhenUsed/>
    <w:qFormat/>
    <w:pPr>
      <w:keepNext/>
      <w:keepLines/>
      <w:numPr>
        <w:ilvl w:val="2"/>
        <w:numId w:val="1"/>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aliases w:val="ECC Heading 4"/>
    <w:basedOn w:val="Norml"/>
    <w:next w:val="Norml"/>
    <w:link w:val="Cmsor4Char"/>
    <w:unhideWhenUsed/>
    <w:qFormat/>
    <w:pPr>
      <w:keepNext/>
      <w:keepLines/>
      <w:numPr>
        <w:ilvl w:val="3"/>
        <w:numId w:val="1"/>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CC Heading 1 Char"/>
    <w:basedOn w:val="Bekezdsalapbettpusa"/>
    <w:link w:val="Cmsor1"/>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pPr>
      <w:numPr>
        <w:numId w:val="0"/>
      </w:numPr>
      <w:outlineLvl w:val="9"/>
    </w:pPr>
  </w:style>
  <w:style w:type="paragraph" w:styleId="lfej">
    <w:name w:val="header"/>
    <w:aliases w:val="encabezado,he,header odd,header odd1,header odd2,header"/>
    <w:basedOn w:val="Norml"/>
    <w:link w:val="lfejChar"/>
    <w:unhideWhenUsed/>
    <w:pPr>
      <w:tabs>
        <w:tab w:val="center" w:pos="4536"/>
        <w:tab w:val="right" w:pos="9072"/>
      </w:tabs>
      <w:spacing w:after="0" w:line="240" w:lineRule="auto"/>
    </w:pPr>
  </w:style>
  <w:style w:type="paragraph" w:styleId="Listaszerbekezds">
    <w:name w:val="List Paragraph"/>
    <w:basedOn w:val="Norml"/>
    <w:link w:val="ListaszerbekezdsChar"/>
    <w:uiPriority w:val="34"/>
    <w:qFormat/>
    <w:pPr>
      <w:ind w:left="720"/>
      <w:contextualSpacing/>
    </w:pPr>
  </w:style>
  <w:style w:type="character" w:customStyle="1" w:styleId="lfejChar">
    <w:name w:val="Élőfej Char"/>
    <w:aliases w:val="encabezado Char,he Char,header odd Char,header odd1 Char,header odd2 Char,header Char"/>
    <w:basedOn w:val="Bekezdsalapbettpusa"/>
    <w:link w:val="lfej"/>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customStyle="1" w:styleId="Cmnmhh">
    <w:name w:val="Cím_nmhh"/>
    <w:basedOn w:val="Cm"/>
    <w:qFormat/>
    <w:pPr>
      <w:pBdr>
        <w:bottom w:val="none" w:sz="0" w:space="0" w:color="auto"/>
      </w:pBdr>
      <w:spacing w:after="480" w:line="720" w:lineRule="exact"/>
      <w:ind w:left="890"/>
      <w:contextualSpacing w:val="0"/>
      <w:jc w:val="left"/>
    </w:pPr>
    <w:rPr>
      <w:b/>
      <w:color w:val="0556A5"/>
      <w:sz w:val="60"/>
    </w:rPr>
  </w:style>
  <w:style w:type="paragraph" w:customStyle="1" w:styleId="Osztlynmhh">
    <w:name w:val="Osztály_nmhh"/>
    <w:basedOn w:val="Norml"/>
    <w:next w:val="Norml"/>
    <w:qFormat/>
    <w:pPr>
      <w:spacing w:after="0"/>
      <w:ind w:left="890"/>
      <w:jc w:val="left"/>
    </w:pPr>
    <w:rPr>
      <w:caps/>
      <w:color w:val="43525A"/>
      <w:sz w:val="36"/>
    </w:rPr>
  </w:style>
  <w:style w:type="paragraph" w:styleId="Cm">
    <w:name w:val="Title"/>
    <w:basedOn w:val="Norml"/>
    <w:next w:val="Norml"/>
    <w:link w:val="Cm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pPr>
      <w:spacing w:after="0"/>
      <w:ind w:left="890"/>
      <w:jc w:val="left"/>
    </w:pPr>
    <w:rPr>
      <w:color w:val="43525A"/>
      <w:sz w:val="30"/>
    </w:rPr>
  </w:style>
  <w:style w:type="paragraph" w:customStyle="1" w:styleId="Tartalomjegyzkcmsoranmhh">
    <w:name w:val="Tartalomjegyzék_címsora_nmhh"/>
    <w:basedOn w:val="Tartalomjegyzkcmsora"/>
    <w:link w:val="TartalomjegyzkcmsoranmhhChar"/>
    <w:qFormat/>
    <w:rPr>
      <w:color w:val="43525A"/>
      <w:sz w:val="36"/>
    </w:rPr>
  </w:style>
  <w:style w:type="character" w:customStyle="1" w:styleId="BortlapegybnmhhChar">
    <w:name w:val="Borítólap egyéb_nmhh Char"/>
    <w:basedOn w:val="Bekezdsalapbettpusa"/>
    <w:link w:val="Bortlapegybnmhh"/>
    <w:rPr>
      <w:color w:val="43525A"/>
      <w:sz w:val="30"/>
    </w:rPr>
  </w:style>
  <w:style w:type="paragraph" w:customStyle="1" w:styleId="Bekezdsnmhh">
    <w:name w:val="Bekezdés_nmhh"/>
    <w:basedOn w:val="Norml"/>
    <w:link w:val="BekezdsnmhhChar"/>
    <w:qFormat/>
    <w:rPr>
      <w:sz w:val="20"/>
      <w:szCs w:val="20"/>
    </w:rPr>
  </w:style>
  <w:style w:type="character" w:customStyle="1" w:styleId="TartalomjegyzkcmsoraChar">
    <w:name w:val="Tartalomjegyzék címsora Char"/>
    <w:basedOn w:val="Cmsor1Char"/>
    <w:link w:val="Tartalomjegyzkcmsora"/>
    <w:uiPriority w:val="39"/>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Pr>
      <w:rFonts w:asciiTheme="majorHAnsi" w:eastAsiaTheme="majorEastAsia" w:hAnsiTheme="majorHAnsi" w:cstheme="majorBidi"/>
      <w:b/>
      <w:bCs/>
      <w:color w:val="43525A"/>
      <w:sz w:val="36"/>
      <w:szCs w:val="28"/>
    </w:rPr>
  </w:style>
  <w:style w:type="paragraph" w:customStyle="1" w:styleId="Behzottbekezdsnmhh">
    <w:name w:val="Behúzott_bekezdés_nmhh"/>
    <w:basedOn w:val="Norml"/>
    <w:link w:val="BehzottbekezdsnmhhChar"/>
    <w:qFormat/>
    <w:pPr>
      <w:ind w:firstLine="357"/>
    </w:pPr>
    <w:rPr>
      <w:sz w:val="20"/>
      <w:szCs w:val="20"/>
    </w:rPr>
  </w:style>
  <w:style w:type="character" w:customStyle="1" w:styleId="BekezdsnmhhChar">
    <w:name w:val="Bekezdés_nmhh Char"/>
    <w:basedOn w:val="Bekezdsalapbettpusa"/>
    <w:link w:val="Bekezdsnmhh"/>
    <w:rPr>
      <w:sz w:val="20"/>
      <w:szCs w:val="20"/>
    </w:rPr>
  </w:style>
  <w:style w:type="paragraph" w:customStyle="1" w:styleId="Felsorolsbekezdsnmhh">
    <w:name w:val="Felsorolás_bekezdés_nmhh"/>
    <w:basedOn w:val="Norml"/>
    <w:qFormat/>
    <w:pPr>
      <w:ind w:left="709"/>
    </w:pPr>
    <w:rPr>
      <w:color w:val="43525A"/>
      <w:sz w:val="20"/>
      <w:szCs w:val="20"/>
    </w:rPr>
  </w:style>
  <w:style w:type="character" w:customStyle="1" w:styleId="BehzottbekezdsnmhhChar">
    <w:name w:val="Behúzott_bekezdés_nmhh Char"/>
    <w:basedOn w:val="Bekezdsalapbettpusa"/>
    <w:link w:val="Behzottbekezdsnmhh"/>
    <w:rPr>
      <w:sz w:val="20"/>
      <w:szCs w:val="20"/>
    </w:rPr>
  </w:style>
  <w:style w:type="paragraph" w:customStyle="1" w:styleId="Felsorolsnmhh">
    <w:name w:val="Felsorolás_nmhh"/>
    <w:basedOn w:val="Listaszerbekezds"/>
    <w:link w:val="FelsorolsnmhhChar"/>
    <w:qFormat/>
    <w:pPr>
      <w:numPr>
        <w:numId w:val="2"/>
      </w:numPr>
      <w:ind w:left="714" w:hanging="357"/>
    </w:pPr>
    <w:rPr>
      <w:b/>
      <w:color w:val="43525A"/>
      <w:sz w:val="20"/>
      <w:szCs w:val="20"/>
    </w:rPr>
  </w:style>
  <w:style w:type="paragraph" w:customStyle="1" w:styleId="Felsorols1nmhh">
    <w:name w:val="Felsorolás1_nmhh"/>
    <w:basedOn w:val="Listaszerbekezds"/>
    <w:link w:val="Felsorols1nmhhChar"/>
    <w:qFormat/>
    <w:pPr>
      <w:numPr>
        <w:numId w:val="4"/>
      </w:numPr>
      <w:ind w:left="357" w:hanging="357"/>
      <w:contextualSpacing w:val="0"/>
    </w:pPr>
    <w:rPr>
      <w:b/>
      <w:color w:val="43525A"/>
      <w:sz w:val="20"/>
      <w:szCs w:val="20"/>
    </w:rPr>
  </w:style>
  <w:style w:type="character" w:customStyle="1" w:styleId="ListaszerbekezdsChar">
    <w:name w:val="Listaszerű bekezdés Char"/>
    <w:basedOn w:val="Bekezdsalapbettpusa"/>
    <w:link w:val="Listaszerbekezds"/>
    <w:uiPriority w:val="34"/>
  </w:style>
  <w:style w:type="character" w:customStyle="1" w:styleId="FelsorolsnmhhChar">
    <w:name w:val="Felsorolás_nmhh Char"/>
    <w:basedOn w:val="ListaszerbekezdsChar"/>
    <w:link w:val="Felsorolsnmhh"/>
    <w:rPr>
      <w:b/>
      <w:color w:val="43525A"/>
      <w:sz w:val="20"/>
      <w:szCs w:val="20"/>
    </w:rPr>
  </w:style>
  <w:style w:type="character" w:customStyle="1" w:styleId="Cmsor5Char">
    <w:name w:val="Címsor 5 Char"/>
    <w:basedOn w:val="Bekezdsalapbettpusa"/>
    <w:link w:val="Cmsor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pPr>
      <w:numPr>
        <w:numId w:val="3"/>
      </w:numPr>
      <w:ind w:left="357" w:hanging="357"/>
    </w:pPr>
    <w:rPr>
      <w:b/>
      <w:color w:val="43525A"/>
      <w:sz w:val="20"/>
      <w:szCs w:val="20"/>
    </w:rPr>
  </w:style>
  <w:style w:type="character" w:customStyle="1" w:styleId="Felsorols1nmhhChar">
    <w:name w:val="Felsorolás1_nmhh Char"/>
    <w:basedOn w:val="ListaszerbekezdsChar"/>
    <w:link w:val="Felsorols1nmhh"/>
    <w:rPr>
      <w:b/>
      <w:color w:val="43525A"/>
      <w:sz w:val="20"/>
      <w:szCs w:val="20"/>
    </w:rPr>
  </w:style>
  <w:style w:type="paragraph" w:customStyle="1" w:styleId="Lista1nmhh">
    <w:name w:val="Lista1_nmhh"/>
    <w:basedOn w:val="Listaszerbekezds"/>
    <w:link w:val="Lista1nmhhChar"/>
    <w:qFormat/>
    <w:pPr>
      <w:numPr>
        <w:numId w:val="6"/>
      </w:numPr>
      <w:spacing w:after="0"/>
      <w:ind w:left="714" w:hanging="357"/>
    </w:pPr>
    <w:rPr>
      <w:color w:val="43525A"/>
      <w:sz w:val="20"/>
      <w:szCs w:val="20"/>
    </w:rPr>
  </w:style>
  <w:style w:type="character" w:customStyle="1" w:styleId="Felsorols2nmhhChar">
    <w:name w:val="Felsorolás2_nmhh Char"/>
    <w:basedOn w:val="ListaszerbekezdsChar"/>
    <w:link w:val="Felsorols2nmhh"/>
    <w:rPr>
      <w:b/>
      <w:color w:val="43525A"/>
      <w:sz w:val="20"/>
      <w:szCs w:val="20"/>
    </w:rPr>
  </w:style>
  <w:style w:type="paragraph" w:customStyle="1" w:styleId="Lista2nmhh">
    <w:name w:val="Lista2_nmhh"/>
    <w:basedOn w:val="Listaszerbekezds"/>
    <w:link w:val="Lista2nmhhChar"/>
    <w:qFormat/>
    <w:pPr>
      <w:numPr>
        <w:numId w:val="7"/>
      </w:numPr>
      <w:spacing w:after="0"/>
    </w:pPr>
    <w:rPr>
      <w:color w:val="43525A"/>
      <w:sz w:val="20"/>
      <w:szCs w:val="20"/>
    </w:rPr>
  </w:style>
  <w:style w:type="character" w:customStyle="1" w:styleId="Lista1nmhhChar">
    <w:name w:val="Lista1_nmhh Char"/>
    <w:basedOn w:val="ListaszerbekezdsChar"/>
    <w:link w:val="Lista1nmhh"/>
    <w:rPr>
      <w:color w:val="43525A"/>
      <w:sz w:val="20"/>
      <w:szCs w:val="20"/>
    </w:rPr>
  </w:style>
  <w:style w:type="paragraph" w:customStyle="1" w:styleId="Cmsorszmozatlannmhh">
    <w:name w:val="Címsor_számozatlan_nmhh"/>
    <w:basedOn w:val="Norml"/>
    <w:next w:val="Behzottbekezdsnmhh"/>
    <w:link w:val="CmsorszmozatlannmhhChar"/>
    <w:qFormat/>
    <w:pPr>
      <w:pageBreakBefore/>
      <w:tabs>
        <w:tab w:val="left" w:pos="6564"/>
      </w:tabs>
      <w:spacing w:after="240"/>
      <w:jc w:val="left"/>
    </w:pPr>
    <w:rPr>
      <w:rFonts w:asciiTheme="majorHAnsi" w:hAnsiTheme="majorHAnsi" w:cstheme="majorHAnsi"/>
      <w:b/>
      <w:color w:val="43525A"/>
      <w:sz w:val="36"/>
      <w:szCs w:val="36"/>
    </w:rPr>
  </w:style>
  <w:style w:type="character" w:customStyle="1" w:styleId="Lista2nmhhChar">
    <w:name w:val="Lista2_nmhh Char"/>
    <w:basedOn w:val="ListaszerbekezdsChar"/>
    <w:link w:val="Lista2nmhh"/>
    <w:rPr>
      <w:color w:val="43525A"/>
      <w:sz w:val="20"/>
      <w:szCs w:val="20"/>
    </w:rPr>
  </w:style>
  <w:style w:type="paragraph" w:customStyle="1" w:styleId="Cmsor1szmozottnmhh">
    <w:name w:val="Címsor1_számozott_nmhh"/>
    <w:basedOn w:val="Listaszerbekezds"/>
    <w:next w:val="Behzottbekezdsnmhh"/>
    <w:link w:val="Cmsor1szmozottnmhhChar"/>
    <w:qFormat/>
    <w:pPr>
      <w:pageBreakBefore/>
      <w:numPr>
        <w:numId w:val="5"/>
      </w:numPr>
      <w:spacing w:after="240"/>
      <w:contextualSpacing w:val="0"/>
      <w:jc w:val="left"/>
      <w:outlineLvl w:val="0"/>
    </w:pPr>
    <w:rPr>
      <w:rFonts w:asciiTheme="majorHAnsi" w:hAnsiTheme="majorHAnsi" w:cstheme="majorHAnsi"/>
      <w:b/>
      <w:color w:val="43525A"/>
      <w:sz w:val="36"/>
      <w:szCs w:val="36"/>
    </w:rPr>
  </w:style>
  <w:style w:type="character" w:customStyle="1" w:styleId="CmsorszmozatlannmhhChar">
    <w:name w:val="Címsor_számozatlan_nmhh Char"/>
    <w:basedOn w:val="Bekezdsalapbettpusa"/>
    <w:link w:val="Cmsorszmozatlannmhh"/>
    <w:rPr>
      <w:rFonts w:asciiTheme="majorHAnsi" w:hAnsiTheme="majorHAnsi" w:cstheme="majorHAnsi"/>
      <w:b/>
      <w:color w:val="43525A"/>
      <w:sz w:val="36"/>
      <w:szCs w:val="36"/>
    </w:rPr>
  </w:style>
  <w:style w:type="paragraph" w:customStyle="1" w:styleId="Cmsor2szmozottnmhh">
    <w:name w:val="Címsor2_számozott_nmhh"/>
    <w:basedOn w:val="Listaszerbekezds"/>
    <w:next w:val="Behzottbekezdsnmhh"/>
    <w:link w:val="Cmsor2szmozottnmhhChar"/>
    <w:qFormat/>
    <w:pPr>
      <w:numPr>
        <w:ilvl w:val="1"/>
        <w:numId w:val="5"/>
      </w:numPr>
      <w:spacing w:after="240"/>
      <w:contextualSpacing w:val="0"/>
      <w:jc w:val="left"/>
      <w:outlineLvl w:val="1"/>
    </w:pPr>
    <w:rPr>
      <w:rFonts w:asciiTheme="majorHAnsi" w:hAnsiTheme="majorHAnsi" w:cstheme="majorHAnsi"/>
      <w:b/>
      <w:color w:val="43525A"/>
      <w:sz w:val="32"/>
      <w:szCs w:val="32"/>
    </w:rPr>
  </w:style>
  <w:style w:type="character" w:customStyle="1" w:styleId="Cmsor1szmozottnmhhChar">
    <w:name w:val="Címsor1_számozott_nmhh Char"/>
    <w:basedOn w:val="ListaszerbekezdsChar"/>
    <w:link w:val="Cmsor1szmozottnmhh"/>
    <w:rPr>
      <w:rFonts w:asciiTheme="majorHAnsi" w:hAnsiTheme="majorHAnsi" w:cstheme="majorHAnsi"/>
      <w:b/>
      <w:color w:val="43525A"/>
      <w:sz w:val="36"/>
      <w:szCs w:val="36"/>
    </w:rPr>
  </w:style>
  <w:style w:type="paragraph" w:customStyle="1" w:styleId="Cmsor3szmozottnmhh">
    <w:name w:val="Címsor3_számozott_nmhh"/>
    <w:basedOn w:val="Listaszerbekezds"/>
    <w:next w:val="Behzottbekezdsnmhh"/>
    <w:link w:val="Cmsor3szmozottnmhhChar"/>
    <w:qFormat/>
    <w:pPr>
      <w:numPr>
        <w:ilvl w:val="2"/>
        <w:numId w:val="5"/>
      </w:numPr>
      <w:spacing w:after="240"/>
      <w:contextualSpacing w:val="0"/>
      <w:jc w:val="left"/>
      <w:outlineLvl w:val="2"/>
    </w:pPr>
    <w:rPr>
      <w:rFonts w:asciiTheme="majorHAnsi" w:hAnsiTheme="majorHAnsi" w:cstheme="majorHAnsi"/>
      <w:b/>
      <w:color w:val="43525A"/>
      <w:sz w:val="28"/>
      <w:szCs w:val="28"/>
    </w:rPr>
  </w:style>
  <w:style w:type="character" w:customStyle="1" w:styleId="Cmsor2szmozottnmhhChar">
    <w:name w:val="Címsor2_számozott_nmhh Char"/>
    <w:basedOn w:val="ListaszerbekezdsChar"/>
    <w:link w:val="Cmsor2szmozottnmhh"/>
    <w:rPr>
      <w:rFonts w:asciiTheme="majorHAnsi" w:hAnsiTheme="majorHAnsi" w:cstheme="majorHAnsi"/>
      <w:b/>
      <w:color w:val="43525A"/>
      <w:sz w:val="32"/>
      <w:szCs w:val="32"/>
    </w:rPr>
  </w:style>
  <w:style w:type="paragraph" w:customStyle="1" w:styleId="Cmsor4szmozottnmhh">
    <w:name w:val="Címsor4_számozott_nmhh"/>
    <w:basedOn w:val="Listaszerbekezds"/>
    <w:next w:val="Behzottbekezdsnmhh"/>
    <w:link w:val="Cmsor4szmozottnmhhChar"/>
    <w:qFormat/>
    <w:pPr>
      <w:numPr>
        <w:ilvl w:val="3"/>
        <w:numId w:val="5"/>
      </w:numPr>
      <w:spacing w:after="240"/>
      <w:contextualSpacing w:val="0"/>
      <w:jc w:val="left"/>
      <w:outlineLvl w:val="3"/>
    </w:pPr>
    <w:rPr>
      <w:rFonts w:asciiTheme="majorHAnsi" w:hAnsiTheme="majorHAnsi" w:cstheme="majorHAnsi"/>
      <w:b/>
      <w:color w:val="43525A"/>
      <w:sz w:val="24"/>
      <w:szCs w:val="24"/>
    </w:rPr>
  </w:style>
  <w:style w:type="character" w:customStyle="1" w:styleId="Cmsor3szmozottnmhhChar">
    <w:name w:val="Címsor3_számozott_nmhh Char"/>
    <w:basedOn w:val="ListaszerbekezdsChar"/>
    <w:link w:val="Cmsor3szmozottnmhh"/>
    <w:rPr>
      <w:rFonts w:asciiTheme="majorHAnsi" w:hAnsiTheme="majorHAnsi" w:cstheme="majorHAnsi"/>
      <w:b/>
      <w:color w:val="43525A"/>
      <w:sz w:val="28"/>
      <w:szCs w:val="28"/>
    </w:rPr>
  </w:style>
  <w:style w:type="paragraph" w:customStyle="1" w:styleId="Irodalomjegyzkfelsorolsnmhh">
    <w:name w:val="Irodalomjegyzék_felsorolás_nmhh"/>
    <w:basedOn w:val="Bekezdsnmhh"/>
    <w:link w:val="IrodalomjegyzkfelsorolsnmhhChar"/>
    <w:qFormat/>
    <w:pPr>
      <w:numPr>
        <w:numId w:val="8"/>
      </w:numPr>
      <w:jc w:val="left"/>
    </w:pPr>
    <w:rPr>
      <w:color w:val="43525A"/>
    </w:rPr>
  </w:style>
  <w:style w:type="character" w:customStyle="1" w:styleId="Cmsor4szmozottnmhhChar">
    <w:name w:val="Címsor4_számozott_nmhh Char"/>
    <w:basedOn w:val="ListaszerbekezdsChar"/>
    <w:link w:val="Cmsor4szmozottnmhh"/>
    <w:rPr>
      <w:rFonts w:asciiTheme="majorHAnsi" w:hAnsiTheme="majorHAnsi" w:cstheme="majorHAnsi"/>
      <w:b/>
      <w:color w:val="43525A"/>
      <w:sz w:val="24"/>
      <w:szCs w:val="24"/>
    </w:rPr>
  </w:style>
  <w:style w:type="paragraph" w:styleId="TJ1">
    <w:name w:val="toc 1"/>
    <w:basedOn w:val="Norml"/>
    <w:next w:val="Norml"/>
    <w:autoRedefine/>
    <w:uiPriority w:val="39"/>
    <w:unhideWhenUsed/>
    <w:pPr>
      <w:spacing w:after="100"/>
    </w:pPr>
  </w:style>
  <w:style w:type="character" w:customStyle="1" w:styleId="IrodalomjegyzkfelsorolsnmhhChar">
    <w:name w:val="Irodalomjegyzék_felsorolás_nmhh Char"/>
    <w:basedOn w:val="BekezdsnmhhChar"/>
    <w:link w:val="Irodalomjegyzkfelsorolsnmhh"/>
    <w:rPr>
      <w:color w:val="43525A"/>
      <w:sz w:val="20"/>
      <w:szCs w:val="20"/>
    </w:rPr>
  </w:style>
  <w:style w:type="character" w:customStyle="1" w:styleId="Cmsor2Char">
    <w:name w:val="Címsor 2 Char"/>
    <w:aliases w:val="ECC Heading 2 Char"/>
    <w:basedOn w:val="Bekezdsalapbettpusa"/>
    <w:link w:val="Cmsor2"/>
    <w:rPr>
      <w:rFonts w:asciiTheme="majorHAnsi" w:eastAsiaTheme="majorEastAsia" w:hAnsiTheme="majorHAnsi" w:cstheme="majorBidi"/>
      <w:b/>
      <w:bCs/>
      <w:color w:val="666666" w:themeColor="text2" w:themeTint="99"/>
      <w:sz w:val="28"/>
      <w:szCs w:val="26"/>
    </w:rPr>
  </w:style>
  <w:style w:type="character" w:customStyle="1" w:styleId="Cmsor3Char">
    <w:name w:val="Címsor 3 Char"/>
    <w:aliases w:val="ECC Heading 3 Char"/>
    <w:basedOn w:val="Bekezdsalapbettpusa"/>
    <w:link w:val="Cmsor3"/>
    <w:rPr>
      <w:rFonts w:asciiTheme="majorHAnsi" w:eastAsiaTheme="majorEastAsia" w:hAnsiTheme="majorHAnsi" w:cstheme="majorBidi"/>
      <w:b/>
      <w:bCs/>
      <w:color w:val="999999" w:themeColor="text2" w:themeTint="66"/>
      <w:sz w:val="24"/>
    </w:rPr>
  </w:style>
  <w:style w:type="character" w:customStyle="1" w:styleId="Cmsor4Char">
    <w:name w:val="Címsor 4 Char"/>
    <w:aliases w:val="ECC Heading 4 Char"/>
    <w:basedOn w:val="Bekezdsalapbettpusa"/>
    <w:link w:val="Cmsor4"/>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pPr>
      <w:spacing w:after="100"/>
      <w:ind w:left="220"/>
    </w:pPr>
  </w:style>
  <w:style w:type="paragraph" w:styleId="TJ3">
    <w:name w:val="toc 3"/>
    <w:basedOn w:val="Norml"/>
    <w:next w:val="Norml"/>
    <w:autoRedefine/>
    <w:uiPriority w:val="39"/>
    <w:unhideWhenUsed/>
    <w:pPr>
      <w:spacing w:after="100"/>
      <w:ind w:left="440"/>
    </w:pPr>
  </w:style>
  <w:style w:type="paragraph" w:customStyle="1" w:styleId="BasicParagraph">
    <w:name w:val="[Basic Paragraph]"/>
    <w:basedOn w:val="Norml"/>
    <w:uiPriority w:val="99"/>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pPr>
      <w:spacing w:after="240" w:line="720" w:lineRule="exact"/>
      <w:jc w:val="left"/>
    </w:pPr>
    <w:rPr>
      <w:rFonts w:ascii="Arial" w:hAnsi="Arial" w:cstheme="minorBidi"/>
      <w:b/>
      <w:color w:val="911E6C"/>
      <w:sz w:val="60"/>
      <w:szCs w:val="60"/>
    </w:rPr>
  </w:style>
  <w:style w:type="paragraph" w:customStyle="1" w:styleId="Style3">
    <w:name w:val="Style3"/>
    <w:basedOn w:val="Norml"/>
    <w:pPr>
      <w:spacing w:after="160" w:line="440" w:lineRule="exact"/>
      <w:jc w:val="left"/>
    </w:pPr>
    <w:rPr>
      <w:rFonts w:ascii="Arial" w:hAnsi="Arial" w:cstheme="minorBidi"/>
      <w:color w:val="465155"/>
      <w:sz w:val="36"/>
      <w:szCs w:val="36"/>
    </w:rPr>
  </w:style>
  <w:style w:type="table" w:styleId="Rcsostblzat">
    <w:name w:val="Table Grid"/>
    <w:basedOn w:val="Norml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Pr>
      <w:color w:val="808080"/>
    </w:rPr>
  </w:style>
  <w:style w:type="character" w:styleId="Hiperhivatkozs">
    <w:name w:val="Hyperlink"/>
    <w:basedOn w:val="Bekezdsalapbettpusa"/>
    <w:uiPriority w:val="99"/>
    <w:unhideWhenUsed/>
    <w:rPr>
      <w:color w:val="0000FF" w:themeColor="hyperlink"/>
      <w:u w:val="single"/>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table" w:styleId="Tblzatrcsosvilgos">
    <w:name w:val="Grid Table Light"/>
    <w:basedOn w:val="Normltblza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bjegyzetszveg">
    <w:name w:val="footnote text"/>
    <w:aliases w:val="Char,Footnote text,Footnote Text Char Char Char Char,Footnote Text Char Char,Footnote Text Char Char Char Char Char,Footnote Text Char Char Char Char Char Char Char Char,Footnote Text Char Char Char,Footnote Text Char1,Char1 Char, Char"/>
    <w:basedOn w:val="Norml"/>
    <w:link w:val="LbjegyzetszvegChar"/>
    <w:uiPriority w:val="99"/>
    <w:unhideWhenUsed/>
    <w:qFormat/>
    <w:rsid w:val="007B2341"/>
    <w:pPr>
      <w:spacing w:after="0" w:line="240" w:lineRule="auto"/>
    </w:pPr>
    <w:rPr>
      <w:rFonts w:ascii="Arial" w:eastAsia="Times New Roman" w:hAnsi="Arial" w:cs="Times New Roman"/>
      <w:sz w:val="20"/>
      <w:szCs w:val="20"/>
    </w:rPr>
  </w:style>
  <w:style w:type="character" w:customStyle="1" w:styleId="LbjegyzetszvegChar">
    <w:name w:val="Lábjegyzetszöveg Char"/>
    <w:aliases w:val="Char Char,Footnote text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B2341"/>
    <w:rPr>
      <w:rFonts w:ascii="Arial" w:eastAsia="Times New Roman" w:hAnsi="Arial" w:cs="Times New Roman"/>
      <w:sz w:val="20"/>
      <w:szCs w:val="20"/>
    </w:rPr>
  </w:style>
  <w:style w:type="character" w:styleId="Lbjegyzet-hivatkozs">
    <w:name w:val="footnote reference"/>
    <w:aliases w:val="Footnote symbol,Footnote,Nota"/>
    <w:basedOn w:val="Bekezdsalapbettpusa"/>
    <w:uiPriority w:val="99"/>
    <w:unhideWhenUsed/>
    <w:rsid w:val="007B2341"/>
    <w:rPr>
      <w:vertAlign w:val="superscript"/>
    </w:rPr>
  </w:style>
  <w:style w:type="table" w:customStyle="1" w:styleId="NormalTablePHPDOCX">
    <w:name w:val="Normal Table PHPDOCX"/>
    <w:uiPriority w:val="99"/>
    <w:semiHidden/>
    <w:unhideWhenUsed/>
    <w:qFormat/>
    <w:rsid w:val="00041388"/>
    <w:rPr>
      <w:rFonts w:cstheme="minorBidi"/>
      <w:lang w:val="en-US"/>
    </w:rPr>
    <w:tblPr>
      <w:tblInd w:w="0" w:type="dxa"/>
      <w:tblCellMar>
        <w:top w:w="0" w:type="dxa"/>
        <w:left w:w="108" w:type="dxa"/>
        <w:bottom w:w="0" w:type="dxa"/>
        <w:right w:w="108" w:type="dxa"/>
      </w:tblCellMar>
    </w:tblPr>
  </w:style>
  <w:style w:type="paragraph" w:customStyle="1" w:styleId="fnot1">
    <w:name w:val="fnot1"/>
    <w:basedOn w:val="Norml"/>
    <w:qFormat/>
    <w:rsid w:val="00F54787"/>
    <w:pPr>
      <w:spacing w:after="0" w:line="180" w:lineRule="atLeast"/>
      <w:jc w:val="left"/>
    </w:pPr>
    <w:rPr>
      <w:rFonts w:ascii="Arial" w:eastAsia="Times New Roman" w:hAnsi="Arial" w:cs="Times New Roman"/>
      <w:sz w:val="14"/>
      <w:szCs w:val="20"/>
    </w:rPr>
  </w:style>
  <w:style w:type="paragraph" w:customStyle="1" w:styleId="Hanging035">
    <w:name w:val="Hanging0_35"/>
    <w:basedOn w:val="Norml"/>
    <w:rsid w:val="00F54787"/>
    <w:pPr>
      <w:spacing w:after="0" w:line="240" w:lineRule="auto"/>
      <w:ind w:left="198" w:hanging="198"/>
      <w:jc w:val="left"/>
    </w:pPr>
    <w:rPr>
      <w:rFonts w:ascii="Arial" w:eastAsia="Times New Roman" w:hAnsi="Arial" w:cs="Times New Roman"/>
      <w:sz w:val="14"/>
      <w:szCs w:val="20"/>
      <w:lang w:eastAsia="hu-HU"/>
    </w:rPr>
  </w:style>
  <w:style w:type="character" w:styleId="Jegyzethivatkozs">
    <w:name w:val="annotation reference"/>
    <w:basedOn w:val="Bekezdsalapbettpusa"/>
    <w:uiPriority w:val="99"/>
    <w:unhideWhenUsed/>
    <w:rsid w:val="00F54787"/>
    <w:rPr>
      <w:sz w:val="16"/>
      <w:szCs w:val="16"/>
    </w:rPr>
  </w:style>
  <w:style w:type="paragraph" w:styleId="Jegyzetszveg">
    <w:name w:val="annotation text"/>
    <w:basedOn w:val="Norml"/>
    <w:link w:val="JegyzetszvegChar"/>
    <w:uiPriority w:val="99"/>
    <w:unhideWhenUsed/>
    <w:rsid w:val="00F54787"/>
    <w:pPr>
      <w:spacing w:line="240" w:lineRule="auto"/>
    </w:pPr>
    <w:rPr>
      <w:sz w:val="20"/>
      <w:szCs w:val="20"/>
    </w:rPr>
  </w:style>
  <w:style w:type="character" w:customStyle="1" w:styleId="JegyzetszvegChar">
    <w:name w:val="Jegyzetszöveg Char"/>
    <w:basedOn w:val="Bekezdsalapbettpusa"/>
    <w:link w:val="Jegyzetszveg"/>
    <w:uiPriority w:val="99"/>
    <w:rsid w:val="00F54787"/>
    <w:rPr>
      <w:sz w:val="20"/>
      <w:szCs w:val="20"/>
    </w:rPr>
  </w:style>
  <w:style w:type="paragraph" w:styleId="Megjegyzstrgya">
    <w:name w:val="annotation subject"/>
    <w:basedOn w:val="Jegyzetszveg"/>
    <w:next w:val="Jegyzetszveg"/>
    <w:link w:val="MegjegyzstrgyaChar"/>
    <w:uiPriority w:val="99"/>
    <w:semiHidden/>
    <w:unhideWhenUsed/>
    <w:rsid w:val="00C56362"/>
    <w:rPr>
      <w:b/>
      <w:bCs/>
    </w:rPr>
  </w:style>
  <w:style w:type="character" w:customStyle="1" w:styleId="MegjegyzstrgyaChar">
    <w:name w:val="Megjegyzés tárgya Char"/>
    <w:basedOn w:val="JegyzetszvegChar"/>
    <w:link w:val="Megjegyzstrgya"/>
    <w:uiPriority w:val="99"/>
    <w:semiHidden/>
    <w:rsid w:val="00C56362"/>
    <w:rPr>
      <w:b/>
      <w:bCs/>
      <w:sz w:val="20"/>
      <w:szCs w:val="20"/>
    </w:rPr>
  </w:style>
  <w:style w:type="paragraph" w:customStyle="1" w:styleId="fnot3">
    <w:name w:val="fnot3"/>
    <w:basedOn w:val="fnot1"/>
    <w:qFormat/>
    <w:rsid w:val="007B55E4"/>
    <w:pPr>
      <w:ind w:left="2007"/>
    </w:pPr>
  </w:style>
  <w:style w:type="character" w:customStyle="1" w:styleId="fr">
    <w:name w:val="fr"/>
    <w:basedOn w:val="Bekezdsalapbettpusa"/>
    <w:qFormat/>
    <w:rsid w:val="007B55E4"/>
    <w:rPr>
      <w:b/>
    </w:rPr>
  </w:style>
  <w:style w:type="paragraph" w:customStyle="1" w:styleId="fr1or2">
    <w:name w:val="fr1or2"/>
    <w:basedOn w:val="serv1"/>
    <w:qFormat/>
    <w:rsid w:val="007B55E4"/>
    <w:rPr>
      <w:b/>
    </w:rPr>
  </w:style>
  <w:style w:type="paragraph" w:customStyle="1" w:styleId="frserv3">
    <w:name w:val="frserv3"/>
    <w:basedOn w:val="fnot1"/>
    <w:qFormat/>
    <w:rsid w:val="007B55E4"/>
    <w:pPr>
      <w:tabs>
        <w:tab w:val="left" w:pos="2007"/>
      </w:tabs>
      <w:ind w:left="2121" w:hanging="2121"/>
    </w:pPr>
  </w:style>
  <w:style w:type="paragraph" w:customStyle="1" w:styleId="serv1">
    <w:name w:val="serv1"/>
    <w:basedOn w:val="fnot1"/>
    <w:rsid w:val="007B55E4"/>
    <w:pPr>
      <w:ind w:left="113" w:hanging="113"/>
    </w:pPr>
  </w:style>
  <w:style w:type="paragraph" w:customStyle="1" w:styleId="serv2">
    <w:name w:val="serv2"/>
    <w:basedOn w:val="Norml"/>
    <w:rsid w:val="007B55E4"/>
    <w:pPr>
      <w:spacing w:after="0" w:line="180" w:lineRule="atLeast"/>
      <w:ind w:left="567" w:hanging="113"/>
      <w:jc w:val="left"/>
    </w:pPr>
    <w:rPr>
      <w:rFonts w:ascii="Arial" w:eastAsia="Times New Roman" w:hAnsi="Arial" w:cs="Times New Roman"/>
      <w:sz w:val="14"/>
      <w:szCs w:val="20"/>
    </w:rPr>
  </w:style>
  <w:style w:type="paragraph" w:customStyle="1" w:styleId="serv3">
    <w:name w:val="serv3"/>
    <w:basedOn w:val="fnot3"/>
    <w:rsid w:val="007B55E4"/>
    <w:pPr>
      <w:ind w:left="2120" w:hanging="113"/>
    </w:pPr>
  </w:style>
  <w:style w:type="paragraph" w:customStyle="1" w:styleId="frthead">
    <w:name w:val="frthead"/>
    <w:basedOn w:val="fnot1"/>
    <w:qFormat/>
    <w:rsid w:val="007B55E4"/>
    <w:pPr>
      <w:jc w:val="center"/>
    </w:pPr>
  </w:style>
  <w:style w:type="paragraph" w:styleId="Szvegtrzs">
    <w:name w:val="Body Text"/>
    <w:basedOn w:val="Norml"/>
    <w:link w:val="SzvegtrzsChar"/>
    <w:uiPriority w:val="99"/>
    <w:rsid w:val="007B55E4"/>
    <w:pPr>
      <w:spacing w:after="0" w:line="240" w:lineRule="auto"/>
    </w:pPr>
    <w:rPr>
      <w:rFonts w:ascii="Arial" w:eastAsia="Times New Roman" w:hAnsi="Arial" w:cs="Times New Roman"/>
      <w:sz w:val="24"/>
      <w:szCs w:val="20"/>
    </w:rPr>
  </w:style>
  <w:style w:type="character" w:customStyle="1" w:styleId="SzvegtrzsChar">
    <w:name w:val="Szövegtörzs Char"/>
    <w:basedOn w:val="Bekezdsalapbettpusa"/>
    <w:link w:val="Szvegtrzs"/>
    <w:uiPriority w:val="99"/>
    <w:rsid w:val="007B55E4"/>
    <w:rPr>
      <w:rFonts w:ascii="Arial" w:eastAsia="Times New Roman" w:hAnsi="Arial" w:cs="Times New Roman"/>
      <w:sz w:val="24"/>
      <w:szCs w:val="20"/>
    </w:rPr>
  </w:style>
  <w:style w:type="paragraph" w:customStyle="1" w:styleId="cf0">
    <w:name w:val="cf0"/>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Szvegtrzsbehzssal">
    <w:name w:val="Body Text Indent"/>
    <w:basedOn w:val="Norml"/>
    <w:link w:val="SzvegtrzsbehzssalChar"/>
    <w:rsid w:val="007B55E4"/>
    <w:pPr>
      <w:spacing w:line="240" w:lineRule="auto"/>
      <w:ind w:left="283"/>
      <w:jc w:val="left"/>
    </w:pPr>
    <w:rPr>
      <w:rFonts w:ascii="Times New Roman" w:eastAsia="Times New Roman" w:hAnsi="Times New Roman" w:cs="Times New Roman"/>
      <w:sz w:val="24"/>
      <w:szCs w:val="24"/>
      <w:lang w:val="en-US"/>
    </w:rPr>
  </w:style>
  <w:style w:type="character" w:customStyle="1" w:styleId="SzvegtrzsbehzssalChar">
    <w:name w:val="Szövegtörzs behúzással Char"/>
    <w:basedOn w:val="Bekezdsalapbettpusa"/>
    <w:link w:val="Szvegtrzsbehzssal"/>
    <w:rsid w:val="007B55E4"/>
    <w:rPr>
      <w:rFonts w:ascii="Times New Roman" w:eastAsia="Times New Roman" w:hAnsi="Times New Roman" w:cs="Times New Roman"/>
      <w:sz w:val="24"/>
      <w:szCs w:val="24"/>
      <w:lang w:val="en-US"/>
    </w:rPr>
  </w:style>
  <w:style w:type="character" w:styleId="Kiemels2">
    <w:name w:val="Strong"/>
    <w:basedOn w:val="Bekezdsalapbettpusa"/>
    <w:uiPriority w:val="22"/>
    <w:qFormat/>
    <w:rsid w:val="007B55E4"/>
    <w:rPr>
      <w:b/>
      <w:bCs/>
    </w:rPr>
  </w:style>
  <w:style w:type="character" w:customStyle="1" w:styleId="apple-converted-space">
    <w:name w:val="apple-converted-space"/>
    <w:basedOn w:val="Bekezdsalapbettpusa"/>
    <w:rsid w:val="007B55E4"/>
  </w:style>
  <w:style w:type="character" w:styleId="Mrltotthiperhivatkozs">
    <w:name w:val="FollowedHyperlink"/>
    <w:basedOn w:val="Bekezdsalapbettpusa"/>
    <w:uiPriority w:val="99"/>
    <w:semiHidden/>
    <w:unhideWhenUsed/>
    <w:rsid w:val="007B55E4"/>
    <w:rPr>
      <w:color w:val="800080" w:themeColor="followedHyperlink"/>
      <w:u w:val="single"/>
    </w:rPr>
  </w:style>
  <w:style w:type="paragraph" w:customStyle="1" w:styleId="doc-ti">
    <w:name w:val="doc-ti"/>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Norml1">
    <w:name w:val="Normál1"/>
    <w:basedOn w:val="Norml"/>
    <w:rsid w:val="007B55E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Szvegtrzs2">
    <w:name w:val="Body Text 2"/>
    <w:basedOn w:val="Norml"/>
    <w:link w:val="Szvegtrzs2Char"/>
    <w:unhideWhenUsed/>
    <w:rsid w:val="007B55E4"/>
    <w:pPr>
      <w:spacing w:line="480" w:lineRule="auto"/>
    </w:pPr>
  </w:style>
  <w:style w:type="character" w:customStyle="1" w:styleId="Szvegtrzs2Char">
    <w:name w:val="Szövegtörzs 2 Char"/>
    <w:basedOn w:val="Bekezdsalapbettpusa"/>
    <w:link w:val="Szvegtrzs2"/>
    <w:rsid w:val="007B55E4"/>
  </w:style>
  <w:style w:type="paragraph" w:styleId="Vltozat">
    <w:name w:val="Revision"/>
    <w:hidden/>
    <w:uiPriority w:val="99"/>
    <w:semiHidden/>
    <w:rsid w:val="007B55E4"/>
    <w:pPr>
      <w:spacing w:after="0" w:line="240" w:lineRule="auto"/>
    </w:pPr>
  </w:style>
  <w:style w:type="paragraph" w:customStyle="1" w:styleId="ECCTablenote">
    <w:name w:val="ECC Table note"/>
    <w:qFormat/>
    <w:rsid w:val="008C63E0"/>
    <w:pPr>
      <w:spacing w:after="0" w:line="240" w:lineRule="auto"/>
      <w:ind w:left="284" w:hanging="284"/>
      <w:jc w:val="both"/>
    </w:pPr>
    <w:rPr>
      <w:rFonts w:ascii="Arial" w:eastAsia="Times New Roman" w:hAnsi="Arial" w:cs="Times New Roman"/>
      <w:sz w:val="16"/>
      <w:szCs w:val="16"/>
      <w:lang w:val="en-GB"/>
    </w:rPr>
  </w:style>
  <w:style w:type="paragraph" w:customStyle="1" w:styleId="ECCFiguregraphcentered">
    <w:name w:val="ECC Figure/graph centered"/>
    <w:next w:val="Norml"/>
    <w:qFormat/>
    <w:rsid w:val="008C63E0"/>
    <w:pPr>
      <w:spacing w:before="240" w:after="240" w:line="240" w:lineRule="auto"/>
      <w:jc w:val="center"/>
    </w:pPr>
    <w:rPr>
      <w:rFonts w:ascii="Arial" w:eastAsia="Times New Roman" w:hAnsi="Arial" w:cs="Times New Roman"/>
      <w:noProof/>
      <w:sz w:val="20"/>
      <w:szCs w:val="20"/>
      <w:lang w:val="de-DE" w:eastAsia="de-DE"/>
      <w14:cntxtAlts/>
    </w:rPr>
  </w:style>
  <w:style w:type="paragraph" w:customStyle="1" w:styleId="ECCTabletext">
    <w:name w:val="ECC Table text"/>
    <w:basedOn w:val="Norml"/>
    <w:qFormat/>
    <w:rsid w:val="008C63E0"/>
    <w:pPr>
      <w:spacing w:after="60" w:line="240" w:lineRule="auto"/>
    </w:pPr>
    <w:rPr>
      <w:rFonts w:ascii="Arial" w:eastAsia="Calibri" w:hAnsi="Arial" w:cs="Times New Roman"/>
      <w:sz w:val="20"/>
      <w:lang w:val="en-GB"/>
    </w:rPr>
  </w:style>
  <w:style w:type="character" w:customStyle="1" w:styleId="ECCHLbold">
    <w:name w:val="ECC HL bold"/>
    <w:uiPriority w:val="1"/>
    <w:qFormat/>
    <w:rsid w:val="008C63E0"/>
    <w:rPr>
      <w:b/>
      <w:bCs w:val="0"/>
    </w:rPr>
  </w:style>
  <w:style w:type="paragraph" w:customStyle="1" w:styleId="Default">
    <w:name w:val="Default"/>
    <w:rsid w:val="008C63E0"/>
    <w:pPr>
      <w:autoSpaceDE w:val="0"/>
      <w:autoSpaceDN w:val="0"/>
      <w:adjustRightInd w:val="0"/>
      <w:spacing w:after="0" w:line="240" w:lineRule="auto"/>
    </w:pPr>
    <w:rPr>
      <w:rFonts w:ascii="EUAlbertina" w:hAnsi="EUAlbertina" w:cs="EUAlbertina"/>
      <w:color w:val="000000"/>
      <w:sz w:val="24"/>
      <w:szCs w:val="24"/>
    </w:rPr>
  </w:style>
  <w:style w:type="paragraph" w:styleId="Szvegtrzsbehzssal3">
    <w:name w:val="Body Text Indent 3"/>
    <w:basedOn w:val="Norml"/>
    <w:link w:val="Szvegtrzsbehzssal3Char"/>
    <w:rsid w:val="008C63E0"/>
    <w:pPr>
      <w:keepNext/>
      <w:keepLines/>
      <w:tabs>
        <w:tab w:val="left" w:pos="1276"/>
      </w:tabs>
      <w:spacing w:line="240" w:lineRule="auto"/>
      <w:ind w:left="1701" w:hanging="1701"/>
    </w:pPr>
    <w:rPr>
      <w:rFonts w:ascii="Arial" w:eastAsia="Times New Roman" w:hAnsi="Arial" w:cs="Times New Roman"/>
      <w:sz w:val="24"/>
      <w:szCs w:val="20"/>
    </w:rPr>
  </w:style>
  <w:style w:type="character" w:customStyle="1" w:styleId="Szvegtrzsbehzssal3Char">
    <w:name w:val="Szövegtörzs behúzással 3 Char"/>
    <w:basedOn w:val="Bekezdsalapbettpusa"/>
    <w:link w:val="Szvegtrzsbehzssal3"/>
    <w:rsid w:val="008C63E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110">
      <w:bodyDiv w:val="1"/>
      <w:marLeft w:val="0"/>
      <w:marRight w:val="0"/>
      <w:marTop w:val="0"/>
      <w:marBottom w:val="0"/>
      <w:divBdr>
        <w:top w:val="none" w:sz="0" w:space="0" w:color="auto"/>
        <w:left w:val="none" w:sz="0" w:space="0" w:color="auto"/>
        <w:bottom w:val="none" w:sz="0" w:space="0" w:color="auto"/>
        <w:right w:val="none" w:sz="0" w:space="0" w:color="auto"/>
      </w:divBdr>
    </w:div>
    <w:div w:id="168714103">
      <w:bodyDiv w:val="1"/>
      <w:marLeft w:val="0"/>
      <w:marRight w:val="0"/>
      <w:marTop w:val="0"/>
      <w:marBottom w:val="0"/>
      <w:divBdr>
        <w:top w:val="none" w:sz="0" w:space="0" w:color="auto"/>
        <w:left w:val="none" w:sz="0" w:space="0" w:color="auto"/>
        <w:bottom w:val="none" w:sz="0" w:space="0" w:color="auto"/>
        <w:right w:val="none" w:sz="0" w:space="0" w:color="auto"/>
      </w:divBdr>
    </w:div>
    <w:div w:id="258677672">
      <w:bodyDiv w:val="1"/>
      <w:marLeft w:val="0"/>
      <w:marRight w:val="0"/>
      <w:marTop w:val="0"/>
      <w:marBottom w:val="0"/>
      <w:divBdr>
        <w:top w:val="none" w:sz="0" w:space="0" w:color="auto"/>
        <w:left w:val="none" w:sz="0" w:space="0" w:color="auto"/>
        <w:bottom w:val="none" w:sz="0" w:space="0" w:color="auto"/>
        <w:right w:val="none" w:sz="0" w:space="0" w:color="auto"/>
      </w:divBdr>
    </w:div>
    <w:div w:id="328681823">
      <w:bodyDiv w:val="1"/>
      <w:marLeft w:val="0"/>
      <w:marRight w:val="0"/>
      <w:marTop w:val="0"/>
      <w:marBottom w:val="0"/>
      <w:divBdr>
        <w:top w:val="none" w:sz="0" w:space="0" w:color="auto"/>
        <w:left w:val="none" w:sz="0" w:space="0" w:color="auto"/>
        <w:bottom w:val="none" w:sz="0" w:space="0" w:color="auto"/>
        <w:right w:val="none" w:sz="0" w:space="0" w:color="auto"/>
      </w:divBdr>
      <w:divsChild>
        <w:div w:id="1818493297">
          <w:marLeft w:val="446"/>
          <w:marRight w:val="0"/>
          <w:marTop w:val="60"/>
          <w:marBottom w:val="60"/>
          <w:divBdr>
            <w:top w:val="none" w:sz="0" w:space="0" w:color="auto"/>
            <w:left w:val="none" w:sz="0" w:space="0" w:color="auto"/>
            <w:bottom w:val="none" w:sz="0" w:space="0" w:color="auto"/>
            <w:right w:val="none" w:sz="0" w:space="0" w:color="auto"/>
          </w:divBdr>
        </w:div>
        <w:div w:id="1966501789">
          <w:marLeft w:val="446"/>
          <w:marRight w:val="0"/>
          <w:marTop w:val="60"/>
          <w:marBottom w:val="60"/>
          <w:divBdr>
            <w:top w:val="none" w:sz="0" w:space="0" w:color="auto"/>
            <w:left w:val="none" w:sz="0" w:space="0" w:color="auto"/>
            <w:bottom w:val="none" w:sz="0" w:space="0" w:color="auto"/>
            <w:right w:val="none" w:sz="0" w:space="0" w:color="auto"/>
          </w:divBdr>
        </w:div>
        <w:div w:id="546378521">
          <w:marLeft w:val="446"/>
          <w:marRight w:val="0"/>
          <w:marTop w:val="120"/>
          <w:marBottom w:val="120"/>
          <w:divBdr>
            <w:top w:val="none" w:sz="0" w:space="0" w:color="auto"/>
            <w:left w:val="none" w:sz="0" w:space="0" w:color="auto"/>
            <w:bottom w:val="none" w:sz="0" w:space="0" w:color="auto"/>
            <w:right w:val="none" w:sz="0" w:space="0" w:color="auto"/>
          </w:divBdr>
        </w:div>
        <w:div w:id="1390689495">
          <w:marLeft w:val="446"/>
          <w:marRight w:val="0"/>
          <w:marTop w:val="120"/>
          <w:marBottom w:val="120"/>
          <w:divBdr>
            <w:top w:val="none" w:sz="0" w:space="0" w:color="auto"/>
            <w:left w:val="none" w:sz="0" w:space="0" w:color="auto"/>
            <w:bottom w:val="none" w:sz="0" w:space="0" w:color="auto"/>
            <w:right w:val="none" w:sz="0" w:space="0" w:color="auto"/>
          </w:divBdr>
        </w:div>
        <w:div w:id="504982986">
          <w:marLeft w:val="446"/>
          <w:marRight w:val="0"/>
          <w:marTop w:val="120"/>
          <w:marBottom w:val="120"/>
          <w:divBdr>
            <w:top w:val="none" w:sz="0" w:space="0" w:color="auto"/>
            <w:left w:val="none" w:sz="0" w:space="0" w:color="auto"/>
            <w:bottom w:val="none" w:sz="0" w:space="0" w:color="auto"/>
            <w:right w:val="none" w:sz="0" w:space="0" w:color="auto"/>
          </w:divBdr>
        </w:div>
      </w:divsChild>
    </w:div>
    <w:div w:id="375815281">
      <w:bodyDiv w:val="1"/>
      <w:marLeft w:val="0"/>
      <w:marRight w:val="0"/>
      <w:marTop w:val="0"/>
      <w:marBottom w:val="0"/>
      <w:divBdr>
        <w:top w:val="none" w:sz="0" w:space="0" w:color="auto"/>
        <w:left w:val="none" w:sz="0" w:space="0" w:color="auto"/>
        <w:bottom w:val="none" w:sz="0" w:space="0" w:color="auto"/>
        <w:right w:val="none" w:sz="0" w:space="0" w:color="auto"/>
      </w:divBdr>
    </w:div>
    <w:div w:id="507644432">
      <w:bodyDiv w:val="1"/>
      <w:marLeft w:val="0"/>
      <w:marRight w:val="0"/>
      <w:marTop w:val="0"/>
      <w:marBottom w:val="0"/>
      <w:divBdr>
        <w:top w:val="none" w:sz="0" w:space="0" w:color="auto"/>
        <w:left w:val="none" w:sz="0" w:space="0" w:color="auto"/>
        <w:bottom w:val="none" w:sz="0" w:space="0" w:color="auto"/>
        <w:right w:val="none" w:sz="0" w:space="0" w:color="auto"/>
      </w:divBdr>
    </w:div>
    <w:div w:id="932275150">
      <w:bodyDiv w:val="1"/>
      <w:marLeft w:val="0"/>
      <w:marRight w:val="0"/>
      <w:marTop w:val="0"/>
      <w:marBottom w:val="0"/>
      <w:divBdr>
        <w:top w:val="none" w:sz="0" w:space="0" w:color="auto"/>
        <w:left w:val="none" w:sz="0" w:space="0" w:color="auto"/>
        <w:bottom w:val="none" w:sz="0" w:space="0" w:color="auto"/>
        <w:right w:val="none" w:sz="0" w:space="0" w:color="auto"/>
      </w:divBdr>
    </w:div>
    <w:div w:id="1385445612">
      <w:bodyDiv w:val="1"/>
      <w:marLeft w:val="0"/>
      <w:marRight w:val="0"/>
      <w:marTop w:val="0"/>
      <w:marBottom w:val="0"/>
      <w:divBdr>
        <w:top w:val="none" w:sz="0" w:space="0" w:color="auto"/>
        <w:left w:val="none" w:sz="0" w:space="0" w:color="auto"/>
        <w:bottom w:val="none" w:sz="0" w:space="0" w:color="auto"/>
        <w:right w:val="none" w:sz="0" w:space="0" w:color="auto"/>
      </w:divBdr>
    </w:div>
    <w:div w:id="18654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nmhh.hu/cikk/191649/Osszefoglalo_a_VHF_III_es_az_UHF_sav_hasznositasarol_szolo_nemzeti_utemterv_vegrehajtasaval_osszefuggo_feladatokrol" TargetMode="External"/><Relationship Id="rId2" Type="http://schemas.openxmlformats.org/officeDocument/2006/relationships/hyperlink" Target="https://nmhh.hu/esemeny/190542/Nyilvanos_meghallgatas_a_VHF_III_es_az_UHF_sav_hasznositasarol_szolo_nemzeti_utemterv_vegrehajtasaval_osszefuggo_feladatokrol" TargetMode="External"/><Relationship Id="rId1" Type="http://schemas.openxmlformats.org/officeDocument/2006/relationships/hyperlink" Target="https://nmhh.hu/dokumentum/164404/uf_1579288_2014_hatarozat_frekvenciapalyaza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Adminisztracio\Sablonok\SGO_sablon\new_2016\NEW_SGO_sablon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E85A2A3E904405895CBFB5452ECE0A"/>
        <w:category>
          <w:name w:val="Általános"/>
          <w:gallery w:val="placeholder"/>
        </w:category>
        <w:types>
          <w:type w:val="bbPlcHdr"/>
        </w:types>
        <w:behaviors>
          <w:behavior w:val="content"/>
        </w:behaviors>
        <w:guid w:val="{2BD52FEA-9441-461A-932D-D1FF9081592D}"/>
      </w:docPartPr>
      <w:docPartBody>
        <w:p w:rsidR="00094F06" w:rsidRDefault="004F4D83">
          <w:pPr>
            <w:pStyle w:val="A7E85A2A3E904405895CBFB5452ECE0A"/>
          </w:pPr>
          <w:r>
            <w:t>A dokumentum címének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2040503050201020203"/>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Arial"/>
    <w:charset w:val="00"/>
    <w:family w:val="auto"/>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06"/>
    <w:rsid w:val="000845F7"/>
    <w:rsid w:val="00094F06"/>
    <w:rsid w:val="001442EA"/>
    <w:rsid w:val="001B2B89"/>
    <w:rsid w:val="001B7BEB"/>
    <w:rsid w:val="001D3169"/>
    <w:rsid w:val="0049400C"/>
    <w:rsid w:val="004B5192"/>
    <w:rsid w:val="004D64A0"/>
    <w:rsid w:val="004F4D83"/>
    <w:rsid w:val="005075F0"/>
    <w:rsid w:val="005A0834"/>
    <w:rsid w:val="006E7597"/>
    <w:rsid w:val="00726146"/>
    <w:rsid w:val="009E09CA"/>
    <w:rsid w:val="00C40F34"/>
    <w:rsid w:val="00CB4167"/>
    <w:rsid w:val="00CE12C6"/>
    <w:rsid w:val="00DD5BBB"/>
    <w:rsid w:val="00ED11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7E85A2A3E904405895CBFB5452ECE0A">
    <w:name w:val="A7E85A2A3E904405895CBFB5452ECE0A"/>
  </w:style>
  <w:style w:type="character" w:styleId="Helyrzszveg">
    <w:name w:val="Placeholder Text"/>
    <w:basedOn w:val="Bekezdsalapbettpusa"/>
    <w:uiPriority w:val="99"/>
    <w:semiHidden/>
    <w:rPr>
      <w:color w:val="808080"/>
    </w:rPr>
  </w:style>
  <w:style w:type="paragraph" w:customStyle="1" w:styleId="30DC8A570EDC46E2A7B9493A59A3EDBF">
    <w:name w:val="30DC8A570EDC46E2A7B9493A59A3EDBF"/>
  </w:style>
  <w:style w:type="paragraph" w:customStyle="1" w:styleId="FCC917EE3B024B3F913875042D158217">
    <w:name w:val="FCC917EE3B024B3F913875042D158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8F851-9306-42B2-BFA8-40F2BE08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NEW_SGO_sablon_2017</Template>
  <TotalTime>12</TotalTime>
  <Pages>1</Pages>
  <Words>2651</Words>
  <Characters>18294</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SGO</dc:creator>
  <cp:lastModifiedBy>Szőgyényi Szilvia</cp:lastModifiedBy>
  <cp:revision>8</cp:revision>
  <dcterms:created xsi:type="dcterms:W3CDTF">2022-02-16T09:05:00Z</dcterms:created>
  <dcterms:modified xsi:type="dcterms:W3CDTF">2022-02-18T10:21:00Z</dcterms:modified>
</cp:coreProperties>
</file>