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8AAB80C" w14:textId="5FE28B6A" w:rsidR="003A0206" w:rsidRPr="0020145B" w:rsidRDefault="00CC5CE6" w:rsidP="001E50C0">
          <w:pPr>
            <w:pStyle w:val="Cmnmhh"/>
            <w:jc w:val="center"/>
            <w:rPr>
              <w:color w:val="7F7F7F" w:themeColor="text1" w:themeTint="80"/>
            </w:rPr>
          </w:pPr>
          <w:r>
            <w:rPr>
              <w:noProof/>
              <w:lang w:eastAsia="hu-HU"/>
            </w:rPr>
            <w:drawing>
              <wp:anchor distT="0" distB="1011555" distL="114300" distR="114300" simplePos="0" relativeHeight="251662336" behindDoc="1" locked="0" layoutInCell="1" allowOverlap="1" wp14:anchorId="7A12DCA0" wp14:editId="40A6D53E">
                <wp:simplePos x="0" y="0"/>
                <wp:positionH relativeFrom="page">
                  <wp:posOffset>0</wp:posOffset>
                </wp:positionH>
                <wp:positionV relativeFrom="page">
                  <wp:posOffset>0</wp:posOffset>
                </wp:positionV>
                <wp:extent cx="7556500" cy="3351530"/>
                <wp:effectExtent l="0" t="0" r="0" b="0"/>
                <wp:wrapTopAndBottom/>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r w:rsidR="00842AD5" w:rsidRPr="00FD7160">
            <w:rPr>
              <w:noProof/>
              <w:lang w:eastAsia="hu-HU"/>
            </w:rPr>
            <w:drawing>
              <wp:anchor distT="0" distB="1011555" distL="114300" distR="114300" simplePos="0" relativeHeight="251659264" behindDoc="1" locked="0" layoutInCell="1" allowOverlap="1" wp14:anchorId="72BAE009" wp14:editId="0631BFB2">
                <wp:simplePos x="0" y="0"/>
                <wp:positionH relativeFrom="page">
                  <wp:posOffset>0</wp:posOffset>
                </wp:positionH>
                <wp:positionV relativeFrom="page">
                  <wp:posOffset>0</wp:posOffset>
                </wp:positionV>
                <wp:extent cx="6690728" cy="2975212"/>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0348" cy="2975043"/>
                        </a:xfrm>
                        <a:prstGeom prst="rect">
                          <a:avLst/>
                        </a:prstGeom>
                      </pic:spPr>
                    </pic:pic>
                  </a:graphicData>
                </a:graphic>
                <wp14:sizeRelH relativeFrom="margin">
                  <wp14:pctWidth>0</wp14:pctWidth>
                </wp14:sizeRelH>
                <wp14:sizeRelV relativeFrom="margin">
                  <wp14:pctHeight>0</wp14:pctHeight>
                </wp14:sizeRelV>
              </wp:anchor>
            </w:drawing>
          </w:r>
          <w:sdt>
            <w:sdtPr>
              <w:alias w:val="Cím"/>
              <w:tag w:val="Cím"/>
              <w:id w:val="11965258"/>
            </w:sdtPr>
            <w:sdtEndPr>
              <w:rPr>
                <w:color w:val="7F7F7F" w:themeColor="text1" w:themeTint="80"/>
              </w:rPr>
            </w:sdtEndPr>
            <w:sdtContent>
              <w:sdt>
                <w:sdtPr>
                  <w:rPr>
                    <w:color w:val="7F7F7F" w:themeColor="text1" w:themeTint="80"/>
                  </w:rPr>
                  <w:alias w:val="Cím"/>
                  <w:tag w:val="Cím"/>
                  <w:id w:val="27217761"/>
                </w:sdtPr>
                <w:sdtEndPr/>
                <w:sdtContent>
                  <w:r w:rsidR="001E50C0" w:rsidRPr="0020145B">
                    <w:rPr>
                      <w:color w:val="7F7F7F" w:themeColor="text1" w:themeTint="80"/>
                    </w:rPr>
                    <w:t xml:space="preserve">Sávismertető </w:t>
                  </w:r>
                  <w:r w:rsidR="001E50C0" w:rsidRPr="0020145B">
                    <w:rPr>
                      <w:color w:val="7F7F7F" w:themeColor="text1" w:themeTint="80"/>
                    </w:rPr>
                    <w:br/>
                  </w:r>
                  <w:r w:rsidR="005C20A9" w:rsidRPr="0020145B">
                    <w:rPr>
                      <w:color w:val="7F7F7F" w:themeColor="text1" w:themeTint="80"/>
                    </w:rPr>
                    <w:t>700</w:t>
                  </w:r>
                  <w:r w:rsidR="001E50C0" w:rsidRPr="0020145B">
                    <w:rPr>
                      <w:color w:val="7F7F7F" w:themeColor="text1" w:themeTint="80"/>
                    </w:rPr>
                    <w:t xml:space="preserve"> MHz</w:t>
                  </w:r>
                  <w:r w:rsidR="005C20A9" w:rsidRPr="0020145B">
                    <w:rPr>
                      <w:color w:val="7F7F7F" w:themeColor="text1" w:themeTint="80"/>
                    </w:rPr>
                    <w:t>-es</w:t>
                  </w:r>
                  <w:r w:rsidR="001E50C0" w:rsidRPr="0020145B">
                    <w:rPr>
                      <w:color w:val="7F7F7F" w:themeColor="text1" w:themeTint="80"/>
                    </w:rPr>
                    <w:t xml:space="preserve"> </w:t>
                  </w:r>
                  <w:r w:rsidR="004E4E18" w:rsidRPr="0020145B">
                    <w:rPr>
                      <w:color w:val="7F7F7F" w:themeColor="text1" w:themeTint="80"/>
                    </w:rPr>
                    <w:t>frekvencia</w:t>
                  </w:r>
                  <w:r w:rsidR="001E50C0" w:rsidRPr="0020145B">
                    <w:rPr>
                      <w:color w:val="7F7F7F" w:themeColor="text1" w:themeTint="80"/>
                    </w:rPr>
                    <w:t>sáv</w:t>
                  </w:r>
                </w:sdtContent>
              </w:sdt>
            </w:sdtContent>
          </w:sdt>
        </w:p>
        <w:p w14:paraId="78639B44" w14:textId="137987A9" w:rsidR="003A0206" w:rsidRPr="00184A51" w:rsidRDefault="003A0206" w:rsidP="00184A51">
          <w:pPr>
            <w:pStyle w:val="Bortlapegybnmhh"/>
            <w:spacing w:before="3480"/>
            <w:rPr>
              <w:rStyle w:val="Helyrzszveg"/>
              <w:color w:val="4C5256"/>
            </w:rPr>
          </w:pPr>
          <w:r w:rsidRPr="00C57915">
            <w:rPr>
              <w:rStyle w:val="Helyrzszveg"/>
              <w:noProof/>
              <w:color w:val="4C5256"/>
              <w:lang w:eastAsia="hu-HU"/>
            </w:rPr>
            <w:drawing>
              <wp:anchor distT="0" distB="0" distL="114300" distR="114300" simplePos="0" relativeHeight="251660288" behindDoc="1" locked="0" layoutInCell="1" allowOverlap="1" wp14:anchorId="3D93BE0C" wp14:editId="67EE968B">
                <wp:simplePos x="0" y="0"/>
                <wp:positionH relativeFrom="page">
                  <wp:posOffset>7175</wp:posOffset>
                </wp:positionH>
                <wp:positionV relativeFrom="page">
                  <wp:posOffset>10082151</wp:posOffset>
                </wp:positionV>
                <wp:extent cx="7545531" cy="534389"/>
                <wp:effectExtent l="1905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9515" cy="534670"/>
                        </a:xfrm>
                        <a:prstGeom prst="rect">
                          <a:avLst/>
                        </a:prstGeom>
                      </pic:spPr>
                    </pic:pic>
                  </a:graphicData>
                </a:graphic>
              </wp:anchor>
            </w:drawing>
          </w:r>
        </w:p>
        <w:p w14:paraId="20488A06" w14:textId="3D939561" w:rsidR="003A0206" w:rsidRPr="00184A51" w:rsidRDefault="00B400EB" w:rsidP="0084499F">
          <w:pPr>
            <w:pStyle w:val="Bortlapegybnmhh"/>
            <w:spacing w:before="240"/>
            <w:jc w:val="center"/>
          </w:pPr>
          <w:sdt>
            <w:sdtPr>
              <w:rPr>
                <w:rStyle w:val="BortlapegybnmhhChar"/>
              </w:rPr>
              <w:alias w:val="Dátum"/>
              <w:tag w:val="Dátum"/>
              <w:id w:val="11965270"/>
              <w:date w:fullDate="2022-02-15T00:00:00Z">
                <w:dateFormat w:val="yyyy. MMMM d."/>
                <w:lid w:val="hu-HU"/>
                <w:storeMappedDataAs w:val="dateTime"/>
                <w:calendar w:val="gregorian"/>
              </w:date>
            </w:sdtPr>
            <w:sdtEndPr>
              <w:rPr>
                <w:rStyle w:val="Bekezdsalapbettpusa"/>
              </w:rPr>
            </w:sdtEndPr>
            <w:sdtContent>
              <w:r w:rsidR="005C20A9">
                <w:rPr>
                  <w:rStyle w:val="BortlapegybnmhhChar"/>
                </w:rPr>
                <w:t>2022. február 15.</w:t>
              </w:r>
            </w:sdtContent>
          </w:sdt>
        </w:p>
        <w:p w14:paraId="19E3C7A6" w14:textId="77777777" w:rsidR="003A0206" w:rsidRDefault="003A0206">
          <w:pPr>
            <w:spacing w:after="200"/>
            <w:jc w:val="left"/>
          </w:pPr>
          <w:r>
            <w:rPr>
              <w:b/>
              <w:bCs/>
            </w:rPr>
            <w:br w:type="page"/>
          </w: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p w14:paraId="526ED903" w14:textId="77777777" w:rsidR="00DA31F6" w:rsidRDefault="00DA31F6" w:rsidP="00DA31F6">
          <w:pPr>
            <w:pStyle w:val="Tartalomjegyzkcmsoranmhh"/>
          </w:pPr>
          <w:r>
            <w:t>Tartalomjegyzék</w:t>
          </w:r>
        </w:p>
        <w:p w14:paraId="5A44A57B" w14:textId="64064B5D" w:rsidR="00A84400" w:rsidRDefault="004E74F5">
          <w:pPr>
            <w:pStyle w:val="TJ1"/>
            <w:tabs>
              <w:tab w:val="left" w:pos="440"/>
              <w:tab w:val="right" w:leader="dot" w:pos="9062"/>
            </w:tabs>
            <w:rPr>
              <w:rFonts w:eastAsiaTheme="minorEastAsia" w:cstheme="minorBidi"/>
              <w:noProof/>
              <w:lang w:eastAsia="hu-HU"/>
            </w:rPr>
          </w:pPr>
          <w:r>
            <w:fldChar w:fldCharType="begin"/>
          </w:r>
          <w:r w:rsidR="00DA31F6">
            <w:instrText xml:space="preserve"> TOC \o "1-3" \h \z \u </w:instrText>
          </w:r>
          <w:r>
            <w:fldChar w:fldCharType="separate"/>
          </w:r>
          <w:hyperlink w:anchor="_Toc96001027" w:history="1">
            <w:r w:rsidR="00A84400" w:rsidRPr="005320FD">
              <w:rPr>
                <w:rStyle w:val="Hiperhivatkozs"/>
                <w:noProof/>
              </w:rPr>
              <w:t>1.</w:t>
            </w:r>
            <w:r w:rsidR="00A84400">
              <w:rPr>
                <w:rFonts w:eastAsiaTheme="minorEastAsia" w:cstheme="minorBidi"/>
                <w:noProof/>
                <w:lang w:eastAsia="hu-HU"/>
              </w:rPr>
              <w:tab/>
            </w:r>
            <w:r w:rsidR="00A84400" w:rsidRPr="005320FD">
              <w:rPr>
                <w:rStyle w:val="Hiperhivatkozs"/>
                <w:noProof/>
              </w:rPr>
              <w:t>Összefoglaló</w:t>
            </w:r>
            <w:r w:rsidR="00A84400">
              <w:rPr>
                <w:noProof/>
                <w:webHidden/>
              </w:rPr>
              <w:tab/>
            </w:r>
            <w:r w:rsidR="00A84400">
              <w:rPr>
                <w:noProof/>
                <w:webHidden/>
              </w:rPr>
              <w:fldChar w:fldCharType="begin"/>
            </w:r>
            <w:r w:rsidR="00A84400">
              <w:rPr>
                <w:noProof/>
                <w:webHidden/>
              </w:rPr>
              <w:instrText xml:space="preserve"> PAGEREF _Toc96001027 \h </w:instrText>
            </w:r>
            <w:r w:rsidR="00A84400">
              <w:rPr>
                <w:noProof/>
                <w:webHidden/>
              </w:rPr>
            </w:r>
            <w:r w:rsidR="00A84400">
              <w:rPr>
                <w:noProof/>
                <w:webHidden/>
              </w:rPr>
              <w:fldChar w:fldCharType="separate"/>
            </w:r>
            <w:r w:rsidR="00A84400">
              <w:rPr>
                <w:noProof/>
                <w:webHidden/>
              </w:rPr>
              <w:t>3</w:t>
            </w:r>
            <w:r w:rsidR="00A84400">
              <w:rPr>
                <w:noProof/>
                <w:webHidden/>
              </w:rPr>
              <w:fldChar w:fldCharType="end"/>
            </w:r>
          </w:hyperlink>
        </w:p>
        <w:p w14:paraId="168D40DE" w14:textId="5FA04C88" w:rsidR="00A84400" w:rsidRDefault="00B400EB">
          <w:pPr>
            <w:pStyle w:val="TJ1"/>
            <w:tabs>
              <w:tab w:val="left" w:pos="440"/>
              <w:tab w:val="right" w:leader="dot" w:pos="9062"/>
            </w:tabs>
            <w:rPr>
              <w:rFonts w:eastAsiaTheme="minorEastAsia" w:cstheme="minorBidi"/>
              <w:noProof/>
              <w:lang w:eastAsia="hu-HU"/>
            </w:rPr>
          </w:pPr>
          <w:hyperlink w:anchor="_Toc96001028" w:history="1">
            <w:r w:rsidR="00A84400" w:rsidRPr="005320FD">
              <w:rPr>
                <w:rStyle w:val="Hiperhivatkozs"/>
                <w:noProof/>
              </w:rPr>
              <w:t>2.</w:t>
            </w:r>
            <w:r w:rsidR="00A84400">
              <w:rPr>
                <w:rFonts w:eastAsiaTheme="minorEastAsia" w:cstheme="minorBidi"/>
                <w:noProof/>
                <w:lang w:eastAsia="hu-HU"/>
              </w:rPr>
              <w:tab/>
            </w:r>
            <w:r w:rsidR="00A84400" w:rsidRPr="005320FD">
              <w:rPr>
                <w:rStyle w:val="Hiperhivatkozs"/>
                <w:noProof/>
              </w:rPr>
              <w:t>Bevezetés</w:t>
            </w:r>
            <w:r w:rsidR="00A84400">
              <w:rPr>
                <w:noProof/>
                <w:webHidden/>
              </w:rPr>
              <w:tab/>
            </w:r>
            <w:r w:rsidR="00A84400">
              <w:rPr>
                <w:noProof/>
                <w:webHidden/>
              </w:rPr>
              <w:fldChar w:fldCharType="begin"/>
            </w:r>
            <w:r w:rsidR="00A84400">
              <w:rPr>
                <w:noProof/>
                <w:webHidden/>
              </w:rPr>
              <w:instrText xml:space="preserve"> PAGEREF _Toc96001028 \h </w:instrText>
            </w:r>
            <w:r w:rsidR="00A84400">
              <w:rPr>
                <w:noProof/>
                <w:webHidden/>
              </w:rPr>
            </w:r>
            <w:r w:rsidR="00A84400">
              <w:rPr>
                <w:noProof/>
                <w:webHidden/>
              </w:rPr>
              <w:fldChar w:fldCharType="separate"/>
            </w:r>
            <w:r w:rsidR="00A84400">
              <w:rPr>
                <w:noProof/>
                <w:webHidden/>
              </w:rPr>
              <w:t>4</w:t>
            </w:r>
            <w:r w:rsidR="00A84400">
              <w:rPr>
                <w:noProof/>
                <w:webHidden/>
              </w:rPr>
              <w:fldChar w:fldCharType="end"/>
            </w:r>
          </w:hyperlink>
        </w:p>
        <w:p w14:paraId="43FE4EAD" w14:textId="285C36BF" w:rsidR="00A84400" w:rsidRDefault="00B400EB">
          <w:pPr>
            <w:pStyle w:val="TJ1"/>
            <w:tabs>
              <w:tab w:val="left" w:pos="440"/>
              <w:tab w:val="right" w:leader="dot" w:pos="9062"/>
            </w:tabs>
            <w:rPr>
              <w:rFonts w:eastAsiaTheme="minorEastAsia" w:cstheme="minorBidi"/>
              <w:noProof/>
              <w:lang w:eastAsia="hu-HU"/>
            </w:rPr>
          </w:pPr>
          <w:hyperlink w:anchor="_Toc96001029" w:history="1">
            <w:r w:rsidR="00A84400" w:rsidRPr="005320FD">
              <w:rPr>
                <w:rStyle w:val="Hiperhivatkozs"/>
                <w:noProof/>
              </w:rPr>
              <w:t>3.</w:t>
            </w:r>
            <w:r w:rsidR="00A84400">
              <w:rPr>
                <w:rFonts w:eastAsiaTheme="minorEastAsia" w:cstheme="minorBidi"/>
                <w:noProof/>
                <w:lang w:eastAsia="hu-HU"/>
              </w:rPr>
              <w:tab/>
            </w:r>
            <w:r w:rsidR="00A84400" w:rsidRPr="005320FD">
              <w:rPr>
                <w:rStyle w:val="Hiperhivatkozs"/>
                <w:noProof/>
              </w:rPr>
              <w:t>A 700 MHz-es sáv szabályozása</w:t>
            </w:r>
            <w:r w:rsidR="00A84400">
              <w:rPr>
                <w:noProof/>
                <w:webHidden/>
              </w:rPr>
              <w:tab/>
            </w:r>
            <w:r w:rsidR="00A84400">
              <w:rPr>
                <w:noProof/>
                <w:webHidden/>
              </w:rPr>
              <w:fldChar w:fldCharType="begin"/>
            </w:r>
            <w:r w:rsidR="00A84400">
              <w:rPr>
                <w:noProof/>
                <w:webHidden/>
              </w:rPr>
              <w:instrText xml:space="preserve"> PAGEREF _Toc96001029 \h </w:instrText>
            </w:r>
            <w:r w:rsidR="00A84400">
              <w:rPr>
                <w:noProof/>
                <w:webHidden/>
              </w:rPr>
            </w:r>
            <w:r w:rsidR="00A84400">
              <w:rPr>
                <w:noProof/>
                <w:webHidden/>
              </w:rPr>
              <w:fldChar w:fldCharType="separate"/>
            </w:r>
            <w:r w:rsidR="00A84400">
              <w:rPr>
                <w:noProof/>
                <w:webHidden/>
              </w:rPr>
              <w:t>5</w:t>
            </w:r>
            <w:r w:rsidR="00A84400">
              <w:rPr>
                <w:noProof/>
                <w:webHidden/>
              </w:rPr>
              <w:fldChar w:fldCharType="end"/>
            </w:r>
          </w:hyperlink>
        </w:p>
        <w:p w14:paraId="0E1D2E60" w14:textId="01CCEC60" w:rsidR="00A84400" w:rsidRDefault="00B400EB">
          <w:pPr>
            <w:pStyle w:val="TJ2"/>
            <w:tabs>
              <w:tab w:val="left" w:pos="880"/>
              <w:tab w:val="right" w:leader="dot" w:pos="9062"/>
            </w:tabs>
            <w:rPr>
              <w:rFonts w:eastAsiaTheme="minorEastAsia" w:cstheme="minorBidi"/>
              <w:noProof/>
              <w:lang w:eastAsia="hu-HU"/>
            </w:rPr>
          </w:pPr>
          <w:hyperlink w:anchor="_Toc96001030" w:history="1">
            <w:r w:rsidR="00A84400" w:rsidRPr="005320FD">
              <w:rPr>
                <w:rStyle w:val="Hiperhivatkozs"/>
                <w:noProof/>
              </w:rPr>
              <w:t>3.1.</w:t>
            </w:r>
            <w:r w:rsidR="00A84400">
              <w:rPr>
                <w:rFonts w:eastAsiaTheme="minorEastAsia" w:cstheme="minorBidi"/>
                <w:noProof/>
                <w:lang w:eastAsia="hu-HU"/>
              </w:rPr>
              <w:tab/>
            </w:r>
            <w:r w:rsidR="00A84400" w:rsidRPr="005320FD">
              <w:rPr>
                <w:rStyle w:val="Hiperhivatkozs"/>
                <w:noProof/>
              </w:rPr>
              <w:t>Nemzetközi szabályozás</w:t>
            </w:r>
            <w:r w:rsidR="00A84400">
              <w:rPr>
                <w:noProof/>
                <w:webHidden/>
              </w:rPr>
              <w:tab/>
            </w:r>
            <w:r w:rsidR="00A84400">
              <w:rPr>
                <w:noProof/>
                <w:webHidden/>
              </w:rPr>
              <w:fldChar w:fldCharType="begin"/>
            </w:r>
            <w:r w:rsidR="00A84400">
              <w:rPr>
                <w:noProof/>
                <w:webHidden/>
              </w:rPr>
              <w:instrText xml:space="preserve"> PAGEREF _Toc96001030 \h </w:instrText>
            </w:r>
            <w:r w:rsidR="00A84400">
              <w:rPr>
                <w:noProof/>
                <w:webHidden/>
              </w:rPr>
            </w:r>
            <w:r w:rsidR="00A84400">
              <w:rPr>
                <w:noProof/>
                <w:webHidden/>
              </w:rPr>
              <w:fldChar w:fldCharType="separate"/>
            </w:r>
            <w:r w:rsidR="00A84400">
              <w:rPr>
                <w:noProof/>
                <w:webHidden/>
              </w:rPr>
              <w:t>5</w:t>
            </w:r>
            <w:r w:rsidR="00A84400">
              <w:rPr>
                <w:noProof/>
                <w:webHidden/>
              </w:rPr>
              <w:fldChar w:fldCharType="end"/>
            </w:r>
          </w:hyperlink>
        </w:p>
        <w:p w14:paraId="1088BF17" w14:textId="6BB5C1E0" w:rsidR="00A84400" w:rsidRDefault="00B400EB">
          <w:pPr>
            <w:pStyle w:val="TJ3"/>
            <w:tabs>
              <w:tab w:val="left" w:pos="1320"/>
              <w:tab w:val="right" w:leader="dot" w:pos="9062"/>
            </w:tabs>
            <w:rPr>
              <w:rFonts w:eastAsiaTheme="minorEastAsia" w:cstheme="minorBidi"/>
              <w:noProof/>
              <w:lang w:eastAsia="hu-HU"/>
            </w:rPr>
          </w:pPr>
          <w:hyperlink w:anchor="_Toc96001031" w:history="1">
            <w:r w:rsidR="00A84400" w:rsidRPr="005320FD">
              <w:rPr>
                <w:rStyle w:val="Hiperhivatkozs"/>
                <w:noProof/>
              </w:rPr>
              <w:t>3.1.1.</w:t>
            </w:r>
            <w:r w:rsidR="00A84400">
              <w:rPr>
                <w:rFonts w:eastAsiaTheme="minorEastAsia" w:cstheme="minorBidi"/>
                <w:noProof/>
                <w:lang w:eastAsia="hu-HU"/>
              </w:rPr>
              <w:tab/>
            </w:r>
            <w:r w:rsidR="00A84400" w:rsidRPr="005320FD">
              <w:rPr>
                <w:rStyle w:val="Hiperhivatkozs"/>
                <w:noProof/>
              </w:rPr>
              <w:t>ITU</w:t>
            </w:r>
            <w:r w:rsidR="00A84400">
              <w:rPr>
                <w:noProof/>
                <w:webHidden/>
              </w:rPr>
              <w:tab/>
            </w:r>
            <w:r w:rsidR="00A84400">
              <w:rPr>
                <w:noProof/>
                <w:webHidden/>
              </w:rPr>
              <w:fldChar w:fldCharType="begin"/>
            </w:r>
            <w:r w:rsidR="00A84400">
              <w:rPr>
                <w:noProof/>
                <w:webHidden/>
              </w:rPr>
              <w:instrText xml:space="preserve"> PAGEREF _Toc96001031 \h </w:instrText>
            </w:r>
            <w:r w:rsidR="00A84400">
              <w:rPr>
                <w:noProof/>
                <w:webHidden/>
              </w:rPr>
            </w:r>
            <w:r w:rsidR="00A84400">
              <w:rPr>
                <w:noProof/>
                <w:webHidden/>
              </w:rPr>
              <w:fldChar w:fldCharType="separate"/>
            </w:r>
            <w:r w:rsidR="00A84400">
              <w:rPr>
                <w:noProof/>
                <w:webHidden/>
              </w:rPr>
              <w:t>5</w:t>
            </w:r>
            <w:r w:rsidR="00A84400">
              <w:rPr>
                <w:noProof/>
                <w:webHidden/>
              </w:rPr>
              <w:fldChar w:fldCharType="end"/>
            </w:r>
          </w:hyperlink>
        </w:p>
        <w:p w14:paraId="6917A141" w14:textId="5E741DEE" w:rsidR="00A84400" w:rsidRDefault="00B400EB">
          <w:pPr>
            <w:pStyle w:val="TJ3"/>
            <w:tabs>
              <w:tab w:val="left" w:pos="1320"/>
              <w:tab w:val="right" w:leader="dot" w:pos="9062"/>
            </w:tabs>
            <w:rPr>
              <w:rFonts w:eastAsiaTheme="minorEastAsia" w:cstheme="minorBidi"/>
              <w:noProof/>
              <w:lang w:eastAsia="hu-HU"/>
            </w:rPr>
          </w:pPr>
          <w:hyperlink w:anchor="_Toc96001032" w:history="1">
            <w:r w:rsidR="00A84400" w:rsidRPr="005320FD">
              <w:rPr>
                <w:rStyle w:val="Hiperhivatkozs"/>
                <w:noProof/>
              </w:rPr>
              <w:t>3.1.2.</w:t>
            </w:r>
            <w:r w:rsidR="00A84400">
              <w:rPr>
                <w:rFonts w:eastAsiaTheme="minorEastAsia" w:cstheme="minorBidi"/>
                <w:noProof/>
                <w:lang w:eastAsia="hu-HU"/>
              </w:rPr>
              <w:tab/>
            </w:r>
            <w:r w:rsidR="00A84400" w:rsidRPr="005320FD">
              <w:rPr>
                <w:rStyle w:val="Hiperhivatkozs"/>
                <w:noProof/>
              </w:rPr>
              <w:t>CEPT</w:t>
            </w:r>
            <w:r w:rsidR="00A84400">
              <w:rPr>
                <w:noProof/>
                <w:webHidden/>
              </w:rPr>
              <w:tab/>
            </w:r>
            <w:r w:rsidR="00A84400">
              <w:rPr>
                <w:noProof/>
                <w:webHidden/>
              </w:rPr>
              <w:fldChar w:fldCharType="begin"/>
            </w:r>
            <w:r w:rsidR="00A84400">
              <w:rPr>
                <w:noProof/>
                <w:webHidden/>
              </w:rPr>
              <w:instrText xml:space="preserve"> PAGEREF _Toc96001032 \h </w:instrText>
            </w:r>
            <w:r w:rsidR="00A84400">
              <w:rPr>
                <w:noProof/>
                <w:webHidden/>
              </w:rPr>
            </w:r>
            <w:r w:rsidR="00A84400">
              <w:rPr>
                <w:noProof/>
                <w:webHidden/>
              </w:rPr>
              <w:fldChar w:fldCharType="separate"/>
            </w:r>
            <w:r w:rsidR="00A84400">
              <w:rPr>
                <w:noProof/>
                <w:webHidden/>
              </w:rPr>
              <w:t>8</w:t>
            </w:r>
            <w:r w:rsidR="00A84400">
              <w:rPr>
                <w:noProof/>
                <w:webHidden/>
              </w:rPr>
              <w:fldChar w:fldCharType="end"/>
            </w:r>
          </w:hyperlink>
        </w:p>
        <w:p w14:paraId="4A923AE4" w14:textId="16D97477" w:rsidR="00A84400" w:rsidRDefault="00B400EB">
          <w:pPr>
            <w:pStyle w:val="TJ3"/>
            <w:tabs>
              <w:tab w:val="left" w:pos="1320"/>
              <w:tab w:val="right" w:leader="dot" w:pos="9062"/>
            </w:tabs>
            <w:rPr>
              <w:rFonts w:eastAsiaTheme="minorEastAsia" w:cstheme="minorBidi"/>
              <w:noProof/>
              <w:lang w:eastAsia="hu-HU"/>
            </w:rPr>
          </w:pPr>
          <w:hyperlink w:anchor="_Toc96001033" w:history="1">
            <w:r w:rsidR="00A84400" w:rsidRPr="005320FD">
              <w:rPr>
                <w:rStyle w:val="Hiperhivatkozs"/>
                <w:noProof/>
              </w:rPr>
              <w:t>3.1.3.</w:t>
            </w:r>
            <w:r w:rsidR="00A84400">
              <w:rPr>
                <w:rFonts w:eastAsiaTheme="minorEastAsia" w:cstheme="minorBidi"/>
                <w:noProof/>
                <w:lang w:eastAsia="hu-HU"/>
              </w:rPr>
              <w:tab/>
            </w:r>
            <w:r w:rsidR="00A84400" w:rsidRPr="005320FD">
              <w:rPr>
                <w:rStyle w:val="Hiperhivatkozs"/>
                <w:noProof/>
              </w:rPr>
              <w:t>EU</w:t>
            </w:r>
            <w:r w:rsidR="00A84400">
              <w:rPr>
                <w:noProof/>
                <w:webHidden/>
              </w:rPr>
              <w:tab/>
            </w:r>
            <w:r w:rsidR="00A84400">
              <w:rPr>
                <w:noProof/>
                <w:webHidden/>
              </w:rPr>
              <w:fldChar w:fldCharType="begin"/>
            </w:r>
            <w:r w:rsidR="00A84400">
              <w:rPr>
                <w:noProof/>
                <w:webHidden/>
              </w:rPr>
              <w:instrText xml:space="preserve"> PAGEREF _Toc96001033 \h </w:instrText>
            </w:r>
            <w:r w:rsidR="00A84400">
              <w:rPr>
                <w:noProof/>
                <w:webHidden/>
              </w:rPr>
            </w:r>
            <w:r w:rsidR="00A84400">
              <w:rPr>
                <w:noProof/>
                <w:webHidden/>
              </w:rPr>
              <w:fldChar w:fldCharType="separate"/>
            </w:r>
            <w:r w:rsidR="00A84400">
              <w:rPr>
                <w:noProof/>
                <w:webHidden/>
              </w:rPr>
              <w:t>12</w:t>
            </w:r>
            <w:r w:rsidR="00A84400">
              <w:rPr>
                <w:noProof/>
                <w:webHidden/>
              </w:rPr>
              <w:fldChar w:fldCharType="end"/>
            </w:r>
          </w:hyperlink>
        </w:p>
        <w:p w14:paraId="66EA1577" w14:textId="64BEACDF" w:rsidR="00A84400" w:rsidRDefault="00B400EB">
          <w:pPr>
            <w:pStyle w:val="TJ2"/>
            <w:tabs>
              <w:tab w:val="left" w:pos="880"/>
              <w:tab w:val="right" w:leader="dot" w:pos="9062"/>
            </w:tabs>
            <w:rPr>
              <w:rFonts w:eastAsiaTheme="minorEastAsia" w:cstheme="minorBidi"/>
              <w:noProof/>
              <w:lang w:eastAsia="hu-HU"/>
            </w:rPr>
          </w:pPr>
          <w:hyperlink w:anchor="_Toc96001034" w:history="1">
            <w:r w:rsidR="00A84400" w:rsidRPr="005320FD">
              <w:rPr>
                <w:rStyle w:val="Hiperhivatkozs"/>
                <w:noProof/>
              </w:rPr>
              <w:t>3.2.</w:t>
            </w:r>
            <w:r w:rsidR="00A84400">
              <w:rPr>
                <w:rFonts w:eastAsiaTheme="minorEastAsia" w:cstheme="minorBidi"/>
                <w:noProof/>
                <w:lang w:eastAsia="hu-HU"/>
              </w:rPr>
              <w:tab/>
            </w:r>
            <w:r w:rsidR="00A84400" w:rsidRPr="005320FD">
              <w:rPr>
                <w:rStyle w:val="Hiperhivatkozs"/>
                <w:noProof/>
              </w:rPr>
              <w:t>Nemzeti szabályozás</w:t>
            </w:r>
            <w:r w:rsidR="00A84400">
              <w:rPr>
                <w:noProof/>
                <w:webHidden/>
              </w:rPr>
              <w:tab/>
            </w:r>
            <w:r w:rsidR="00A84400">
              <w:rPr>
                <w:noProof/>
                <w:webHidden/>
              </w:rPr>
              <w:fldChar w:fldCharType="begin"/>
            </w:r>
            <w:r w:rsidR="00A84400">
              <w:rPr>
                <w:noProof/>
                <w:webHidden/>
              </w:rPr>
              <w:instrText xml:space="preserve"> PAGEREF _Toc96001034 \h </w:instrText>
            </w:r>
            <w:r w:rsidR="00A84400">
              <w:rPr>
                <w:noProof/>
                <w:webHidden/>
              </w:rPr>
            </w:r>
            <w:r w:rsidR="00A84400">
              <w:rPr>
                <w:noProof/>
                <w:webHidden/>
              </w:rPr>
              <w:fldChar w:fldCharType="separate"/>
            </w:r>
            <w:r w:rsidR="00A84400">
              <w:rPr>
                <w:noProof/>
                <w:webHidden/>
              </w:rPr>
              <w:t>14</w:t>
            </w:r>
            <w:r w:rsidR="00A84400">
              <w:rPr>
                <w:noProof/>
                <w:webHidden/>
              </w:rPr>
              <w:fldChar w:fldCharType="end"/>
            </w:r>
          </w:hyperlink>
        </w:p>
        <w:p w14:paraId="3D4671DD" w14:textId="1796526F" w:rsidR="00A84400" w:rsidRDefault="00B400EB">
          <w:pPr>
            <w:pStyle w:val="TJ2"/>
            <w:tabs>
              <w:tab w:val="left" w:pos="880"/>
              <w:tab w:val="right" w:leader="dot" w:pos="9062"/>
            </w:tabs>
            <w:rPr>
              <w:rFonts w:eastAsiaTheme="minorEastAsia" w:cstheme="minorBidi"/>
              <w:noProof/>
              <w:lang w:eastAsia="hu-HU"/>
            </w:rPr>
          </w:pPr>
          <w:hyperlink w:anchor="_Toc96001035" w:history="1">
            <w:r w:rsidR="00A84400" w:rsidRPr="005320FD">
              <w:rPr>
                <w:rStyle w:val="Hiperhivatkozs"/>
                <w:noProof/>
              </w:rPr>
              <w:t>3.3.</w:t>
            </w:r>
            <w:r w:rsidR="00A84400">
              <w:rPr>
                <w:rFonts w:eastAsiaTheme="minorEastAsia" w:cstheme="minorBidi"/>
                <w:noProof/>
                <w:lang w:eastAsia="hu-HU"/>
              </w:rPr>
              <w:tab/>
            </w:r>
            <w:r w:rsidR="00A84400" w:rsidRPr="005320FD">
              <w:rPr>
                <w:rStyle w:val="Hiperhivatkozs"/>
                <w:noProof/>
              </w:rPr>
              <w:t>Tényleges használat</w:t>
            </w:r>
            <w:r w:rsidR="00A84400">
              <w:rPr>
                <w:noProof/>
                <w:webHidden/>
              </w:rPr>
              <w:tab/>
            </w:r>
            <w:r w:rsidR="00A84400">
              <w:rPr>
                <w:noProof/>
                <w:webHidden/>
              </w:rPr>
              <w:fldChar w:fldCharType="begin"/>
            </w:r>
            <w:r w:rsidR="00A84400">
              <w:rPr>
                <w:noProof/>
                <w:webHidden/>
              </w:rPr>
              <w:instrText xml:space="preserve"> PAGEREF _Toc96001035 \h </w:instrText>
            </w:r>
            <w:r w:rsidR="00A84400">
              <w:rPr>
                <w:noProof/>
                <w:webHidden/>
              </w:rPr>
            </w:r>
            <w:r w:rsidR="00A84400">
              <w:rPr>
                <w:noProof/>
                <w:webHidden/>
              </w:rPr>
              <w:fldChar w:fldCharType="separate"/>
            </w:r>
            <w:r w:rsidR="00A84400">
              <w:rPr>
                <w:noProof/>
                <w:webHidden/>
              </w:rPr>
              <w:t>15</w:t>
            </w:r>
            <w:r w:rsidR="00A84400">
              <w:rPr>
                <w:noProof/>
                <w:webHidden/>
              </w:rPr>
              <w:fldChar w:fldCharType="end"/>
            </w:r>
          </w:hyperlink>
        </w:p>
        <w:p w14:paraId="528AF9E2" w14:textId="6E1788E4" w:rsidR="00A84400" w:rsidRDefault="00B400EB">
          <w:pPr>
            <w:pStyle w:val="TJ1"/>
            <w:tabs>
              <w:tab w:val="left" w:pos="440"/>
              <w:tab w:val="right" w:leader="dot" w:pos="9062"/>
            </w:tabs>
            <w:rPr>
              <w:rFonts w:eastAsiaTheme="minorEastAsia" w:cstheme="minorBidi"/>
              <w:noProof/>
              <w:lang w:eastAsia="hu-HU"/>
            </w:rPr>
          </w:pPr>
          <w:hyperlink w:anchor="_Toc96001036" w:history="1">
            <w:r w:rsidR="00A84400" w:rsidRPr="005320FD">
              <w:rPr>
                <w:rStyle w:val="Hiperhivatkozs"/>
                <w:noProof/>
              </w:rPr>
              <w:t>4.</w:t>
            </w:r>
            <w:r w:rsidR="00A84400">
              <w:rPr>
                <w:rFonts w:eastAsiaTheme="minorEastAsia" w:cstheme="minorBidi"/>
                <w:noProof/>
                <w:lang w:eastAsia="hu-HU"/>
              </w:rPr>
              <w:tab/>
            </w:r>
            <w:r w:rsidR="00A84400" w:rsidRPr="005320FD">
              <w:rPr>
                <w:rStyle w:val="Hiperhivatkozs"/>
                <w:noProof/>
              </w:rPr>
              <w:t>Jövőbeni használat</w:t>
            </w:r>
            <w:r w:rsidR="00A84400">
              <w:rPr>
                <w:noProof/>
                <w:webHidden/>
              </w:rPr>
              <w:tab/>
            </w:r>
            <w:r w:rsidR="00A84400">
              <w:rPr>
                <w:noProof/>
                <w:webHidden/>
              </w:rPr>
              <w:fldChar w:fldCharType="begin"/>
            </w:r>
            <w:r w:rsidR="00A84400">
              <w:rPr>
                <w:noProof/>
                <w:webHidden/>
              </w:rPr>
              <w:instrText xml:space="preserve"> PAGEREF _Toc96001036 \h </w:instrText>
            </w:r>
            <w:r w:rsidR="00A84400">
              <w:rPr>
                <w:noProof/>
                <w:webHidden/>
              </w:rPr>
            </w:r>
            <w:r w:rsidR="00A84400">
              <w:rPr>
                <w:noProof/>
                <w:webHidden/>
              </w:rPr>
              <w:fldChar w:fldCharType="separate"/>
            </w:r>
            <w:r w:rsidR="00A84400">
              <w:rPr>
                <w:noProof/>
                <w:webHidden/>
              </w:rPr>
              <w:t>17</w:t>
            </w:r>
            <w:r w:rsidR="00A84400">
              <w:rPr>
                <w:noProof/>
                <w:webHidden/>
              </w:rPr>
              <w:fldChar w:fldCharType="end"/>
            </w:r>
          </w:hyperlink>
        </w:p>
        <w:p w14:paraId="38A141B2" w14:textId="04156562" w:rsidR="00A84400" w:rsidRDefault="00B400EB">
          <w:pPr>
            <w:pStyle w:val="TJ1"/>
            <w:tabs>
              <w:tab w:val="left" w:pos="440"/>
              <w:tab w:val="right" w:leader="dot" w:pos="9062"/>
            </w:tabs>
            <w:rPr>
              <w:rFonts w:eastAsiaTheme="minorEastAsia" w:cstheme="minorBidi"/>
              <w:noProof/>
              <w:lang w:eastAsia="hu-HU"/>
            </w:rPr>
          </w:pPr>
          <w:hyperlink w:anchor="_Toc96001037" w:history="1">
            <w:r w:rsidR="00A84400" w:rsidRPr="005320FD">
              <w:rPr>
                <w:rStyle w:val="Hiperhivatkozs"/>
                <w:noProof/>
              </w:rPr>
              <w:t>5.</w:t>
            </w:r>
            <w:r w:rsidR="00A84400">
              <w:rPr>
                <w:rFonts w:eastAsiaTheme="minorEastAsia" w:cstheme="minorBidi"/>
                <w:noProof/>
                <w:lang w:eastAsia="hu-HU"/>
              </w:rPr>
              <w:tab/>
            </w:r>
            <w:r w:rsidR="00A84400" w:rsidRPr="005320FD">
              <w:rPr>
                <w:rStyle w:val="Hiperhivatkozs"/>
                <w:noProof/>
              </w:rPr>
              <w:t>Határon túli frekvenciahasználat és koordináció</w:t>
            </w:r>
            <w:r w:rsidR="00A84400">
              <w:rPr>
                <w:noProof/>
                <w:webHidden/>
              </w:rPr>
              <w:tab/>
            </w:r>
            <w:r w:rsidR="00A84400">
              <w:rPr>
                <w:noProof/>
                <w:webHidden/>
              </w:rPr>
              <w:fldChar w:fldCharType="begin"/>
            </w:r>
            <w:r w:rsidR="00A84400">
              <w:rPr>
                <w:noProof/>
                <w:webHidden/>
              </w:rPr>
              <w:instrText xml:space="preserve"> PAGEREF _Toc96001037 \h </w:instrText>
            </w:r>
            <w:r w:rsidR="00A84400">
              <w:rPr>
                <w:noProof/>
                <w:webHidden/>
              </w:rPr>
            </w:r>
            <w:r w:rsidR="00A84400">
              <w:rPr>
                <w:noProof/>
                <w:webHidden/>
              </w:rPr>
              <w:fldChar w:fldCharType="separate"/>
            </w:r>
            <w:r w:rsidR="00A84400">
              <w:rPr>
                <w:noProof/>
                <w:webHidden/>
              </w:rPr>
              <w:t>18</w:t>
            </w:r>
            <w:r w:rsidR="00A84400">
              <w:rPr>
                <w:noProof/>
                <w:webHidden/>
              </w:rPr>
              <w:fldChar w:fldCharType="end"/>
            </w:r>
          </w:hyperlink>
        </w:p>
        <w:p w14:paraId="1D622767" w14:textId="47ABD3F5" w:rsidR="00A84400" w:rsidRDefault="00B400EB">
          <w:pPr>
            <w:pStyle w:val="TJ1"/>
            <w:tabs>
              <w:tab w:val="left" w:pos="440"/>
              <w:tab w:val="right" w:leader="dot" w:pos="9062"/>
            </w:tabs>
            <w:rPr>
              <w:rFonts w:eastAsiaTheme="minorEastAsia" w:cstheme="minorBidi"/>
              <w:noProof/>
              <w:lang w:eastAsia="hu-HU"/>
            </w:rPr>
          </w:pPr>
          <w:hyperlink w:anchor="_Toc96001038" w:history="1">
            <w:r w:rsidR="00A84400" w:rsidRPr="005320FD">
              <w:rPr>
                <w:rStyle w:val="Hiperhivatkozs"/>
                <w:noProof/>
              </w:rPr>
              <w:t>6.</w:t>
            </w:r>
            <w:r w:rsidR="00A84400">
              <w:rPr>
                <w:rFonts w:eastAsiaTheme="minorEastAsia" w:cstheme="minorBidi"/>
                <w:noProof/>
                <w:lang w:eastAsia="hu-HU"/>
              </w:rPr>
              <w:tab/>
            </w:r>
            <w:r w:rsidR="00A84400" w:rsidRPr="005320FD">
              <w:rPr>
                <w:rStyle w:val="Hiperhivatkozs"/>
                <w:noProof/>
              </w:rPr>
              <w:t>Egyéb potenciális zavartatási problémák</w:t>
            </w:r>
            <w:r w:rsidR="00A84400">
              <w:rPr>
                <w:noProof/>
                <w:webHidden/>
              </w:rPr>
              <w:tab/>
            </w:r>
            <w:r w:rsidR="00A84400">
              <w:rPr>
                <w:noProof/>
                <w:webHidden/>
              </w:rPr>
              <w:fldChar w:fldCharType="begin"/>
            </w:r>
            <w:r w:rsidR="00A84400">
              <w:rPr>
                <w:noProof/>
                <w:webHidden/>
              </w:rPr>
              <w:instrText xml:space="preserve"> PAGEREF _Toc96001038 \h </w:instrText>
            </w:r>
            <w:r w:rsidR="00A84400">
              <w:rPr>
                <w:noProof/>
                <w:webHidden/>
              </w:rPr>
            </w:r>
            <w:r w:rsidR="00A84400">
              <w:rPr>
                <w:noProof/>
                <w:webHidden/>
              </w:rPr>
              <w:fldChar w:fldCharType="separate"/>
            </w:r>
            <w:r w:rsidR="00A84400">
              <w:rPr>
                <w:noProof/>
                <w:webHidden/>
              </w:rPr>
              <w:t>19</w:t>
            </w:r>
            <w:r w:rsidR="00A84400">
              <w:rPr>
                <w:noProof/>
                <w:webHidden/>
              </w:rPr>
              <w:fldChar w:fldCharType="end"/>
            </w:r>
          </w:hyperlink>
        </w:p>
        <w:p w14:paraId="598E56CF" w14:textId="239F6915" w:rsidR="00A84400" w:rsidRDefault="00B400EB">
          <w:pPr>
            <w:pStyle w:val="TJ2"/>
            <w:tabs>
              <w:tab w:val="left" w:pos="880"/>
              <w:tab w:val="right" w:leader="dot" w:pos="9062"/>
            </w:tabs>
            <w:rPr>
              <w:rFonts w:eastAsiaTheme="minorEastAsia" w:cstheme="minorBidi"/>
              <w:noProof/>
              <w:lang w:eastAsia="hu-HU"/>
            </w:rPr>
          </w:pPr>
          <w:hyperlink w:anchor="_Toc96001039" w:history="1">
            <w:r w:rsidR="00A84400" w:rsidRPr="005320FD">
              <w:rPr>
                <w:rStyle w:val="Hiperhivatkozs"/>
                <w:noProof/>
              </w:rPr>
              <w:t>6.1.</w:t>
            </w:r>
            <w:r w:rsidR="00A84400">
              <w:rPr>
                <w:rFonts w:eastAsiaTheme="minorEastAsia" w:cstheme="minorBidi"/>
                <w:noProof/>
                <w:lang w:eastAsia="hu-HU"/>
              </w:rPr>
              <w:tab/>
            </w:r>
            <w:r w:rsidR="00A84400" w:rsidRPr="005320FD">
              <w:rPr>
                <w:rStyle w:val="Hiperhivatkozs"/>
                <w:noProof/>
              </w:rPr>
              <w:t>Földfelszíni televízió műsorszórás</w:t>
            </w:r>
            <w:r w:rsidR="00A84400">
              <w:rPr>
                <w:noProof/>
                <w:webHidden/>
              </w:rPr>
              <w:tab/>
            </w:r>
            <w:r w:rsidR="00A84400">
              <w:rPr>
                <w:noProof/>
                <w:webHidden/>
              </w:rPr>
              <w:fldChar w:fldCharType="begin"/>
            </w:r>
            <w:r w:rsidR="00A84400">
              <w:rPr>
                <w:noProof/>
                <w:webHidden/>
              </w:rPr>
              <w:instrText xml:space="preserve"> PAGEREF _Toc96001039 \h </w:instrText>
            </w:r>
            <w:r w:rsidR="00A84400">
              <w:rPr>
                <w:noProof/>
                <w:webHidden/>
              </w:rPr>
            </w:r>
            <w:r w:rsidR="00A84400">
              <w:rPr>
                <w:noProof/>
                <w:webHidden/>
              </w:rPr>
              <w:fldChar w:fldCharType="separate"/>
            </w:r>
            <w:r w:rsidR="00A84400">
              <w:rPr>
                <w:noProof/>
                <w:webHidden/>
              </w:rPr>
              <w:t>19</w:t>
            </w:r>
            <w:r w:rsidR="00A84400">
              <w:rPr>
                <w:noProof/>
                <w:webHidden/>
              </w:rPr>
              <w:fldChar w:fldCharType="end"/>
            </w:r>
          </w:hyperlink>
        </w:p>
        <w:p w14:paraId="44A52C79" w14:textId="06BCA537" w:rsidR="00A84400" w:rsidRDefault="00B400EB">
          <w:pPr>
            <w:pStyle w:val="TJ2"/>
            <w:tabs>
              <w:tab w:val="left" w:pos="880"/>
              <w:tab w:val="right" w:leader="dot" w:pos="9062"/>
            </w:tabs>
            <w:rPr>
              <w:rFonts w:eastAsiaTheme="minorEastAsia" w:cstheme="minorBidi"/>
              <w:noProof/>
              <w:lang w:eastAsia="hu-HU"/>
            </w:rPr>
          </w:pPr>
          <w:hyperlink w:anchor="_Toc96001040" w:history="1">
            <w:r w:rsidR="00A84400" w:rsidRPr="005320FD">
              <w:rPr>
                <w:rStyle w:val="Hiperhivatkozs"/>
                <w:noProof/>
              </w:rPr>
              <w:t>6.2.</w:t>
            </w:r>
            <w:r w:rsidR="00A84400">
              <w:rPr>
                <w:rFonts w:eastAsiaTheme="minorEastAsia" w:cstheme="minorBidi"/>
                <w:noProof/>
                <w:lang w:eastAsia="hu-HU"/>
              </w:rPr>
              <w:tab/>
            </w:r>
            <w:r w:rsidR="00A84400" w:rsidRPr="005320FD">
              <w:rPr>
                <w:rStyle w:val="Hiperhivatkozs"/>
                <w:noProof/>
              </w:rPr>
              <w:t>PMSE</w:t>
            </w:r>
            <w:r w:rsidR="00A84400">
              <w:rPr>
                <w:noProof/>
                <w:webHidden/>
              </w:rPr>
              <w:tab/>
            </w:r>
            <w:r w:rsidR="00A84400">
              <w:rPr>
                <w:noProof/>
                <w:webHidden/>
              </w:rPr>
              <w:fldChar w:fldCharType="begin"/>
            </w:r>
            <w:r w:rsidR="00A84400">
              <w:rPr>
                <w:noProof/>
                <w:webHidden/>
              </w:rPr>
              <w:instrText xml:space="preserve"> PAGEREF _Toc96001040 \h </w:instrText>
            </w:r>
            <w:r w:rsidR="00A84400">
              <w:rPr>
                <w:noProof/>
                <w:webHidden/>
              </w:rPr>
            </w:r>
            <w:r w:rsidR="00A84400">
              <w:rPr>
                <w:noProof/>
                <w:webHidden/>
              </w:rPr>
              <w:fldChar w:fldCharType="separate"/>
            </w:r>
            <w:r w:rsidR="00A84400">
              <w:rPr>
                <w:noProof/>
                <w:webHidden/>
              </w:rPr>
              <w:t>19</w:t>
            </w:r>
            <w:r w:rsidR="00A84400">
              <w:rPr>
                <w:noProof/>
                <w:webHidden/>
              </w:rPr>
              <w:fldChar w:fldCharType="end"/>
            </w:r>
          </w:hyperlink>
        </w:p>
        <w:p w14:paraId="0FA7FFAB" w14:textId="14B6DD46" w:rsidR="00A84400" w:rsidRDefault="00B400EB">
          <w:pPr>
            <w:pStyle w:val="TJ2"/>
            <w:tabs>
              <w:tab w:val="left" w:pos="880"/>
              <w:tab w:val="right" w:leader="dot" w:pos="9062"/>
            </w:tabs>
            <w:rPr>
              <w:rFonts w:eastAsiaTheme="minorEastAsia" w:cstheme="minorBidi"/>
              <w:noProof/>
              <w:lang w:eastAsia="hu-HU"/>
            </w:rPr>
          </w:pPr>
          <w:hyperlink w:anchor="_Toc96001041" w:history="1">
            <w:r w:rsidR="00A84400" w:rsidRPr="005320FD">
              <w:rPr>
                <w:rStyle w:val="Hiperhivatkozs"/>
                <w:noProof/>
              </w:rPr>
              <w:t>6.3.</w:t>
            </w:r>
            <w:r w:rsidR="00A84400">
              <w:rPr>
                <w:rFonts w:eastAsiaTheme="minorEastAsia" w:cstheme="minorBidi"/>
                <w:noProof/>
                <w:lang w:eastAsia="hu-HU"/>
              </w:rPr>
              <w:tab/>
            </w:r>
            <w:r w:rsidR="00A84400" w:rsidRPr="005320FD">
              <w:rPr>
                <w:rStyle w:val="Hiperhivatkozs"/>
                <w:noProof/>
              </w:rPr>
              <w:t>Kábeltelevízió</w:t>
            </w:r>
            <w:r w:rsidR="00A84400">
              <w:rPr>
                <w:noProof/>
                <w:webHidden/>
              </w:rPr>
              <w:tab/>
            </w:r>
            <w:r w:rsidR="00A84400">
              <w:rPr>
                <w:noProof/>
                <w:webHidden/>
              </w:rPr>
              <w:fldChar w:fldCharType="begin"/>
            </w:r>
            <w:r w:rsidR="00A84400">
              <w:rPr>
                <w:noProof/>
                <w:webHidden/>
              </w:rPr>
              <w:instrText xml:space="preserve"> PAGEREF _Toc96001041 \h </w:instrText>
            </w:r>
            <w:r w:rsidR="00A84400">
              <w:rPr>
                <w:noProof/>
                <w:webHidden/>
              </w:rPr>
            </w:r>
            <w:r w:rsidR="00A84400">
              <w:rPr>
                <w:noProof/>
                <w:webHidden/>
              </w:rPr>
              <w:fldChar w:fldCharType="separate"/>
            </w:r>
            <w:r w:rsidR="00A84400">
              <w:rPr>
                <w:noProof/>
                <w:webHidden/>
              </w:rPr>
              <w:t>20</w:t>
            </w:r>
            <w:r w:rsidR="00A84400">
              <w:rPr>
                <w:noProof/>
                <w:webHidden/>
              </w:rPr>
              <w:fldChar w:fldCharType="end"/>
            </w:r>
          </w:hyperlink>
        </w:p>
        <w:p w14:paraId="3B07F134" w14:textId="447DE411" w:rsidR="00A84400" w:rsidRDefault="00B400EB">
          <w:pPr>
            <w:pStyle w:val="TJ1"/>
            <w:tabs>
              <w:tab w:val="left" w:pos="440"/>
              <w:tab w:val="right" w:leader="dot" w:pos="9062"/>
            </w:tabs>
            <w:rPr>
              <w:rFonts w:eastAsiaTheme="minorEastAsia" w:cstheme="minorBidi"/>
              <w:noProof/>
              <w:lang w:eastAsia="hu-HU"/>
            </w:rPr>
          </w:pPr>
          <w:hyperlink w:anchor="_Toc96001042" w:history="1">
            <w:r w:rsidR="00A84400" w:rsidRPr="005320FD">
              <w:rPr>
                <w:rStyle w:val="Hiperhivatkozs"/>
                <w:noProof/>
              </w:rPr>
              <w:t>7.</w:t>
            </w:r>
            <w:r w:rsidR="00A84400">
              <w:rPr>
                <w:rFonts w:eastAsiaTheme="minorEastAsia" w:cstheme="minorBidi"/>
                <w:noProof/>
                <w:lang w:eastAsia="hu-HU"/>
              </w:rPr>
              <w:tab/>
            </w:r>
            <w:r w:rsidR="00A84400" w:rsidRPr="005320FD">
              <w:rPr>
                <w:rStyle w:val="Hiperhivatkozs"/>
                <w:noProof/>
              </w:rPr>
              <w:t>Rádióspektrumdíjak</w:t>
            </w:r>
            <w:r w:rsidR="00A84400">
              <w:rPr>
                <w:noProof/>
                <w:webHidden/>
              </w:rPr>
              <w:tab/>
            </w:r>
            <w:r w:rsidR="00A84400">
              <w:rPr>
                <w:noProof/>
                <w:webHidden/>
              </w:rPr>
              <w:fldChar w:fldCharType="begin"/>
            </w:r>
            <w:r w:rsidR="00A84400">
              <w:rPr>
                <w:noProof/>
                <w:webHidden/>
              </w:rPr>
              <w:instrText xml:space="preserve"> PAGEREF _Toc96001042 \h </w:instrText>
            </w:r>
            <w:r w:rsidR="00A84400">
              <w:rPr>
                <w:noProof/>
                <w:webHidden/>
              </w:rPr>
            </w:r>
            <w:r w:rsidR="00A84400">
              <w:rPr>
                <w:noProof/>
                <w:webHidden/>
              </w:rPr>
              <w:fldChar w:fldCharType="separate"/>
            </w:r>
            <w:r w:rsidR="00A84400">
              <w:rPr>
                <w:noProof/>
                <w:webHidden/>
              </w:rPr>
              <w:t>21</w:t>
            </w:r>
            <w:r w:rsidR="00A84400">
              <w:rPr>
                <w:noProof/>
                <w:webHidden/>
              </w:rPr>
              <w:fldChar w:fldCharType="end"/>
            </w:r>
          </w:hyperlink>
        </w:p>
        <w:p w14:paraId="28B9872F" w14:textId="41404931" w:rsidR="00DA31F6" w:rsidRDefault="004E74F5" w:rsidP="00D04833">
          <w:pPr>
            <w:spacing w:after="200"/>
            <w:jc w:val="left"/>
          </w:pPr>
          <w:r>
            <w:fldChar w:fldCharType="end"/>
          </w:r>
          <w:r w:rsidR="00D04833">
            <w:br w:type="page"/>
          </w:r>
        </w:p>
      </w:sdtContent>
    </w:sdt>
    <w:p w14:paraId="7083E7D1" w14:textId="77777777" w:rsidR="001E50C0" w:rsidRPr="00C1180D" w:rsidRDefault="00B530D5" w:rsidP="001E50C0">
      <w:pPr>
        <w:pStyle w:val="Cmsor1szmozottnmhh"/>
        <w:ind w:left="431" w:hanging="431"/>
      </w:pPr>
      <w:bookmarkStart w:id="0" w:name="_Toc96001027"/>
      <w:bookmarkStart w:id="1" w:name="_Toc473880713"/>
      <w:bookmarkStart w:id="2" w:name="_Toc451860698"/>
      <w:r w:rsidRPr="00C1180D">
        <w:lastRenderedPageBreak/>
        <w:t>Ö</w:t>
      </w:r>
      <w:r w:rsidR="001E50C0" w:rsidRPr="00C1180D">
        <w:t>sszefoglaló</w:t>
      </w:r>
      <w:bookmarkEnd w:id="0"/>
    </w:p>
    <w:p w14:paraId="0AD2675D" w14:textId="636157AC" w:rsidR="00735A38" w:rsidRPr="00735A38" w:rsidRDefault="00735A38" w:rsidP="00735A38">
      <w:pPr>
        <w:pStyle w:val="Behzottbekezdsnmhh"/>
        <w:rPr>
          <w:lang w:bidi="hu-HU"/>
        </w:rPr>
      </w:pPr>
    </w:p>
    <w:p w14:paraId="6DE1A503" w14:textId="5456EBCD" w:rsidR="00B54767" w:rsidRPr="00735A38" w:rsidRDefault="00AD7B47" w:rsidP="00E836B6">
      <w:pPr>
        <w:pStyle w:val="Behzottbekezdsnmhh"/>
      </w:pPr>
      <w:r>
        <w:rPr>
          <w:color w:val="000000"/>
          <w:shd w:val="clear" w:color="auto" w:fill="FFFFFF"/>
        </w:rPr>
        <w:t xml:space="preserve">A </w:t>
      </w:r>
      <w:r w:rsidR="00572F49">
        <w:t>694-790 MHz</w:t>
      </w:r>
      <w:r w:rsidR="00572F49" w:rsidRPr="00735A38">
        <w:t xml:space="preserve"> </w:t>
      </w:r>
      <w:r w:rsidR="00572F49">
        <w:t>frekvencia</w:t>
      </w:r>
      <w:r w:rsidR="00572F49" w:rsidRPr="00735A38">
        <w:t>sáv</w:t>
      </w:r>
      <w:r w:rsidR="00572F49">
        <w:t xml:space="preserve"> (a továbbiakban: </w:t>
      </w:r>
      <w:r>
        <w:rPr>
          <w:color w:val="000000"/>
          <w:shd w:val="clear" w:color="auto" w:fill="FFFFFF"/>
        </w:rPr>
        <w:t>700 MHz-es frekvenciasáv</w:t>
      </w:r>
      <w:r w:rsidR="00572F49">
        <w:rPr>
          <w:color w:val="000000"/>
          <w:shd w:val="clear" w:color="auto" w:fill="FFFFFF"/>
        </w:rPr>
        <w:t>)</w:t>
      </w:r>
      <w:r>
        <w:t xml:space="preserve"> </w:t>
      </w:r>
      <w:r w:rsidRPr="00990F8E">
        <w:t>használat</w:t>
      </w:r>
      <w:r>
        <w:t xml:space="preserve">ára vonatkozóan </w:t>
      </w:r>
      <w:r>
        <w:rPr>
          <w:color w:val="000000"/>
          <w:shd w:val="clear" w:color="auto" w:fill="FFFFFF"/>
        </w:rPr>
        <w:t xml:space="preserve">kötelezettséget megállapító uniós jogi aktusok </w:t>
      </w:r>
      <w:r w:rsidR="00B54767" w:rsidRPr="00735A38">
        <w:t>rugalmas keretet biztosít</w:t>
      </w:r>
      <w:r>
        <w:t>anak</w:t>
      </w:r>
      <w:r w:rsidR="00B54767" w:rsidRPr="00735A38">
        <w:t xml:space="preserve"> a tagállamok részére a 700 MHz-es sáv használatának szabályozásához</w:t>
      </w:r>
      <w:r w:rsidR="00F55D6D" w:rsidRPr="00735A38">
        <w:t>.</w:t>
      </w:r>
      <w:r w:rsidR="00356B3C" w:rsidRPr="00735A38">
        <w:t xml:space="preserve"> </w:t>
      </w:r>
      <w:r w:rsidR="00944677">
        <w:t>A</w:t>
      </w:r>
      <w:r w:rsidR="00F55D6D" w:rsidRPr="00735A38">
        <w:t xml:space="preserve"> szabályozási kereten belül </w:t>
      </w:r>
      <w:r w:rsidR="00356B3C" w:rsidRPr="00735A38">
        <w:t xml:space="preserve">a 700 MHz-es sávban 2×30 MHz-et kötelező jelleggel </w:t>
      </w:r>
      <w:r w:rsidR="0092764E" w:rsidRPr="00735A38">
        <w:t>vezeték nélküli szélessávú hírközlési szolgál</w:t>
      </w:r>
      <w:r w:rsidR="00B0079C">
        <w:t>tatások</w:t>
      </w:r>
      <w:r w:rsidR="0092764E" w:rsidRPr="00735A38">
        <w:t xml:space="preserve"> nyújtására alkalmas mozgó és állandóhelyű hírközlési hálózatok (MFCN</w:t>
      </w:r>
      <w:r w:rsidR="0092764E" w:rsidRPr="00735A38">
        <w:rPr>
          <w:vertAlign w:val="superscript"/>
        </w:rPr>
        <w:footnoteReference w:id="1"/>
      </w:r>
      <w:r w:rsidR="0092764E" w:rsidRPr="00735A38">
        <w:t xml:space="preserve">) </w:t>
      </w:r>
      <w:r w:rsidR="00356B3C" w:rsidRPr="00735A38">
        <w:t>cél</w:t>
      </w:r>
      <w:r w:rsidR="0092764E" w:rsidRPr="00735A38">
        <w:t>já</w:t>
      </w:r>
      <w:r w:rsidR="00356B3C" w:rsidRPr="00735A38">
        <w:t xml:space="preserve">ra kell </w:t>
      </w:r>
      <w:r w:rsidR="00F55D6D" w:rsidRPr="00735A38">
        <w:t>elérhetővé tenni</w:t>
      </w:r>
      <w:r w:rsidR="00356B3C" w:rsidRPr="00735A38">
        <w:t xml:space="preserve">, míg további </w:t>
      </w:r>
      <w:r w:rsidR="00F55D6D" w:rsidRPr="00735A38">
        <w:t xml:space="preserve">sávrészekben a </w:t>
      </w:r>
      <w:r w:rsidR="00356B3C" w:rsidRPr="00735A38">
        <w:t>felhasználási opciók nemzeti szinten választhatók a megadott műszaki feltételek teljesítése mellett. Ilyen opcionális felhasználások a</w:t>
      </w:r>
      <w:r w:rsidR="004C12BF" w:rsidRPr="00735A38">
        <w:rPr>
          <w:lang w:bidi="hu-HU"/>
        </w:rPr>
        <w:t xml:space="preserve"> </w:t>
      </w:r>
      <w:r w:rsidR="00F46690" w:rsidRPr="00735A38">
        <w:rPr>
          <w:lang w:bidi="hu-HU"/>
        </w:rPr>
        <w:t xml:space="preserve">közrendvédelemi és katasztrófavédelmi </w:t>
      </w:r>
      <w:r w:rsidR="004C12BF" w:rsidRPr="00735A38">
        <w:rPr>
          <w:lang w:bidi="hu-HU"/>
        </w:rPr>
        <w:t>széles</w:t>
      </w:r>
      <w:r w:rsidR="00583CCC" w:rsidRPr="00735A38">
        <w:rPr>
          <w:lang w:bidi="hu-HU"/>
        </w:rPr>
        <w:t>s</w:t>
      </w:r>
      <w:r w:rsidR="004C12BF" w:rsidRPr="00735A38">
        <w:rPr>
          <w:lang w:bidi="hu-HU"/>
        </w:rPr>
        <w:t xml:space="preserve">ávú </w:t>
      </w:r>
      <w:r w:rsidR="00356B3C" w:rsidRPr="00735A38">
        <w:rPr>
          <w:lang w:bidi="hu-HU"/>
        </w:rPr>
        <w:t>rádióalkalmazás</w:t>
      </w:r>
      <w:r w:rsidR="00A369CF" w:rsidRPr="00735A38">
        <w:rPr>
          <w:lang w:bidi="hu-HU"/>
        </w:rPr>
        <w:t>ok</w:t>
      </w:r>
      <w:r w:rsidR="00356B3C" w:rsidRPr="00735A38">
        <w:rPr>
          <w:lang w:bidi="hu-HU"/>
        </w:rPr>
        <w:t xml:space="preserve"> (</w:t>
      </w:r>
      <w:r w:rsidR="00F55D6D" w:rsidRPr="00735A38">
        <w:rPr>
          <w:lang w:bidi="hu-HU"/>
        </w:rPr>
        <w:t xml:space="preserve">a továbbiakban: </w:t>
      </w:r>
      <w:r w:rsidR="00356B3C" w:rsidRPr="00735A38">
        <w:rPr>
          <w:lang w:bidi="hu-HU"/>
        </w:rPr>
        <w:t>BB-PPDR</w:t>
      </w:r>
      <w:r w:rsidR="00A369CF" w:rsidRPr="00735A38">
        <w:rPr>
          <w:vertAlign w:val="superscript"/>
        </w:rPr>
        <w:footnoteReference w:id="2"/>
      </w:r>
      <w:r w:rsidR="00356B3C" w:rsidRPr="00735A38">
        <w:rPr>
          <w:lang w:bidi="hu-HU"/>
        </w:rPr>
        <w:t>)</w:t>
      </w:r>
      <w:r w:rsidR="00934F7B" w:rsidRPr="00735A38">
        <w:rPr>
          <w:lang w:bidi="hu-HU"/>
        </w:rPr>
        <w:t xml:space="preserve">, </w:t>
      </w:r>
      <w:r w:rsidR="00A369CF" w:rsidRPr="00735A38">
        <w:rPr>
          <w:lang w:bidi="hu-HU"/>
        </w:rPr>
        <w:t>a megnövekedett lemenő irányú forgalomhoz szükséges kiegészítő lemenő irányú kommunikáció (SDL</w:t>
      </w:r>
      <w:r w:rsidR="00A369CF" w:rsidRPr="00735A38">
        <w:rPr>
          <w:vertAlign w:val="superscript"/>
        </w:rPr>
        <w:footnoteReference w:id="3"/>
      </w:r>
      <w:r w:rsidR="00A369CF" w:rsidRPr="00735A38">
        <w:rPr>
          <w:lang w:bidi="hu-HU"/>
        </w:rPr>
        <w:t xml:space="preserve">), a </w:t>
      </w:r>
      <w:r w:rsidR="00F46690" w:rsidRPr="00735A38">
        <w:rPr>
          <w:lang w:bidi="hu-HU"/>
        </w:rPr>
        <w:t>műsorszóráshoz és műsorgy</w:t>
      </w:r>
      <w:r w:rsidR="00475D11" w:rsidRPr="00735A38">
        <w:rPr>
          <w:lang w:bidi="hu-HU"/>
        </w:rPr>
        <w:t xml:space="preserve">ártáshoz, valamint a különleges eseményekhez kapcsolódó </w:t>
      </w:r>
      <w:r w:rsidR="00A369CF" w:rsidRPr="00735A38">
        <w:rPr>
          <w:lang w:bidi="hu-HU"/>
        </w:rPr>
        <w:t>alkalmazások (</w:t>
      </w:r>
      <w:r w:rsidR="00F55D6D" w:rsidRPr="00735A38">
        <w:rPr>
          <w:lang w:bidi="hu-HU"/>
        </w:rPr>
        <w:t xml:space="preserve">a továbbiakban: </w:t>
      </w:r>
      <w:r w:rsidR="00A369CF" w:rsidRPr="00735A38">
        <w:rPr>
          <w:lang w:bidi="hu-HU"/>
        </w:rPr>
        <w:t>PMSE</w:t>
      </w:r>
      <w:r w:rsidR="007F66E7" w:rsidRPr="00735A38">
        <w:rPr>
          <w:vertAlign w:val="superscript"/>
          <w:lang w:bidi="hu-HU"/>
        </w:rPr>
        <w:footnoteReference w:id="4"/>
      </w:r>
      <w:r w:rsidR="002F2DA7" w:rsidRPr="00735A38">
        <w:rPr>
          <w:lang w:bidi="hu-HU"/>
        </w:rPr>
        <w:t xml:space="preserve"> alkalmazások</w:t>
      </w:r>
      <w:r w:rsidR="00A369CF" w:rsidRPr="00735A38">
        <w:rPr>
          <w:lang w:bidi="hu-HU"/>
        </w:rPr>
        <w:t>)</w:t>
      </w:r>
      <w:r w:rsidR="005B421C" w:rsidRPr="00735A38">
        <w:rPr>
          <w:lang w:bidi="hu-HU"/>
        </w:rPr>
        <w:t xml:space="preserve"> és</w:t>
      </w:r>
      <w:r w:rsidR="00475D11" w:rsidRPr="00735A38">
        <w:rPr>
          <w:lang w:bidi="hu-HU"/>
        </w:rPr>
        <w:t xml:space="preserve"> </w:t>
      </w:r>
      <w:r w:rsidR="00F46690" w:rsidRPr="00735A38">
        <w:rPr>
          <w:lang w:bidi="hu-HU"/>
        </w:rPr>
        <w:t>gépek közötti kommunikáció</w:t>
      </w:r>
      <w:r w:rsidR="00A369CF" w:rsidRPr="00735A38">
        <w:rPr>
          <w:lang w:bidi="hu-HU"/>
        </w:rPr>
        <w:t xml:space="preserve"> (</w:t>
      </w:r>
      <w:r w:rsidR="00F55D6D" w:rsidRPr="00735A38">
        <w:rPr>
          <w:lang w:bidi="hu-HU"/>
        </w:rPr>
        <w:t xml:space="preserve">a továbbiakban: </w:t>
      </w:r>
      <w:r w:rsidR="00A369CF" w:rsidRPr="00735A38">
        <w:rPr>
          <w:lang w:bidi="hu-HU"/>
        </w:rPr>
        <w:t>M2M</w:t>
      </w:r>
      <w:r w:rsidR="00A369CF" w:rsidRPr="00735A38">
        <w:rPr>
          <w:vertAlign w:val="superscript"/>
        </w:rPr>
        <w:footnoteReference w:id="5"/>
      </w:r>
      <w:r w:rsidR="00934F7B" w:rsidRPr="00735A38">
        <w:rPr>
          <w:lang w:bidi="hu-HU"/>
        </w:rPr>
        <w:t>)</w:t>
      </w:r>
      <w:r w:rsidR="004C12BF" w:rsidRPr="00735A38">
        <w:rPr>
          <w:lang w:bidi="hu-HU"/>
        </w:rPr>
        <w:t xml:space="preserve">. </w:t>
      </w:r>
      <w:r w:rsidR="00572F49" w:rsidRPr="00735A38">
        <w:t xml:space="preserve">A </w:t>
      </w:r>
      <w:r w:rsidR="00572F49">
        <w:t>700 MHz-es frekvencia</w:t>
      </w:r>
      <w:r w:rsidR="00572F49" w:rsidRPr="00735A38">
        <w:t>sáv jövőjével kapcsolatos alapvető döntéseket a</w:t>
      </w:r>
      <w:r w:rsidR="00572F49">
        <w:t>z uniós kötelezettsége alapj</w:t>
      </w:r>
      <w:r w:rsidR="00B0079C">
        <w:t>á</w:t>
      </w:r>
      <w:r w:rsidR="00572F49">
        <w:t>n készített</w:t>
      </w:r>
      <w:r w:rsidR="00572F49" w:rsidRPr="00735A38">
        <w:t xml:space="preserve"> Nemzeti Ütemterv</w:t>
      </w:r>
      <w:r w:rsidR="00572F49" w:rsidRPr="00735A38">
        <w:rPr>
          <w:rStyle w:val="Lbjegyzet-hivatkozs"/>
        </w:rPr>
        <w:footnoteReference w:id="6"/>
      </w:r>
      <w:r w:rsidR="00572F49" w:rsidRPr="00735A38">
        <w:t xml:space="preserve"> rögzítette.</w:t>
      </w:r>
    </w:p>
    <w:p w14:paraId="04844AAC" w14:textId="02306954" w:rsidR="00356B3C" w:rsidRDefault="00356B3C" w:rsidP="00E836B6">
      <w:pPr>
        <w:pStyle w:val="Behzottbekezdsnmhh"/>
      </w:pPr>
      <w:r w:rsidRPr="00C1180D">
        <w:rPr>
          <w:lang w:bidi="hu-HU"/>
        </w:rPr>
        <w:t>A 700 MHz-es frekvenciasáv hasznosításának kérdése több</w:t>
      </w:r>
      <w:r w:rsidR="0030758C">
        <w:rPr>
          <w:lang w:bidi="hu-HU"/>
        </w:rPr>
        <w:t>,</w:t>
      </w:r>
      <w:r w:rsidRPr="00C1180D">
        <w:rPr>
          <w:lang w:bidi="hu-HU"/>
        </w:rPr>
        <w:t xml:space="preserve"> egymással összefüggő </w:t>
      </w:r>
      <w:r w:rsidR="00572F49">
        <w:rPr>
          <w:lang w:bidi="hu-HU"/>
        </w:rPr>
        <w:t>rádióspektrum</w:t>
      </w:r>
      <w:r w:rsidR="00572F49" w:rsidRPr="00C1180D">
        <w:rPr>
          <w:lang w:bidi="hu-HU"/>
        </w:rPr>
        <w:t xml:space="preserve">gazdálkodással </w:t>
      </w:r>
      <w:r w:rsidRPr="00C1180D">
        <w:rPr>
          <w:lang w:bidi="hu-HU"/>
        </w:rPr>
        <w:t xml:space="preserve">kapcsolatos folyamatot, </w:t>
      </w:r>
      <w:r w:rsidR="0030758C">
        <w:rPr>
          <w:lang w:bidi="hu-HU"/>
        </w:rPr>
        <w:t xml:space="preserve">valamint </w:t>
      </w:r>
      <w:r w:rsidRPr="00C1180D">
        <w:rPr>
          <w:lang w:bidi="hu-HU"/>
        </w:rPr>
        <w:t>több</w:t>
      </w:r>
      <w:r w:rsidR="0030758C">
        <w:rPr>
          <w:lang w:bidi="hu-HU"/>
        </w:rPr>
        <w:t>,</w:t>
      </w:r>
      <w:r w:rsidRPr="00C1180D">
        <w:rPr>
          <w:lang w:bidi="hu-HU"/>
        </w:rPr>
        <w:t xml:space="preserve"> frekvenciát használó ágazatot érint. </w:t>
      </w:r>
      <w:r w:rsidR="0070634E" w:rsidRPr="00C1180D">
        <w:rPr>
          <w:lang w:bidi="hu-HU"/>
        </w:rPr>
        <w:t xml:space="preserve">Egyik kiemelt kérdés a </w:t>
      </w:r>
      <w:r w:rsidR="0070634E" w:rsidRPr="00C1180D">
        <w:t>szélessávú PPDR hálózatok kiépítése a 700 MH</w:t>
      </w:r>
      <w:r w:rsidR="00353921" w:rsidRPr="00C1180D">
        <w:t>z</w:t>
      </w:r>
      <w:r w:rsidR="0070634E" w:rsidRPr="00C1180D">
        <w:t xml:space="preserve"> sávban, melyre </w:t>
      </w:r>
      <w:r w:rsidR="00353921" w:rsidRPr="00C1180D">
        <w:t>több</w:t>
      </w:r>
      <w:r w:rsidR="0070634E" w:rsidRPr="00C1180D">
        <w:t xml:space="preserve"> opció létezik a választható frekvenciasávok (pl. 700 MHz sáv mellett a 400 MHz sáv is</w:t>
      </w:r>
      <w:r w:rsidR="00B478CC" w:rsidRPr="00735A38">
        <w:t xml:space="preserve"> felhasználható</w:t>
      </w:r>
      <w:r w:rsidR="0070634E" w:rsidRPr="00735A38">
        <w:t xml:space="preserve">), továbbá </w:t>
      </w:r>
      <w:r w:rsidR="00B478CC" w:rsidRPr="00735A38">
        <w:t>a megvalósítás jellege szempontjából is (dedikált kormányzati hálózat</w:t>
      </w:r>
      <w:r w:rsidR="00842D1C" w:rsidRPr="00735A38">
        <w:t xml:space="preserve"> üzemeltetése</w:t>
      </w:r>
      <w:r w:rsidR="00B478CC" w:rsidRPr="00735A38">
        <w:t xml:space="preserve">, kereskedelmi alapon nyújtott szolgáltatás </w:t>
      </w:r>
      <w:r w:rsidR="003221BF" w:rsidRPr="00735A38">
        <w:t xml:space="preserve">igénybevétele </w:t>
      </w:r>
      <w:r w:rsidR="00B478CC" w:rsidRPr="00735A38">
        <w:t>vagy a</w:t>
      </w:r>
      <w:r w:rsidR="0070634E" w:rsidRPr="00735A38">
        <w:t xml:space="preserve"> kettő</w:t>
      </w:r>
      <w:r w:rsidR="00B478CC" w:rsidRPr="00735A38">
        <w:t xml:space="preserve">t ötvöző hibrid </w:t>
      </w:r>
      <w:r w:rsidR="00842D1C" w:rsidRPr="00735A38">
        <w:t>megoldás</w:t>
      </w:r>
      <w:r w:rsidR="0070634E" w:rsidRPr="00735A38">
        <w:t>).</w:t>
      </w:r>
    </w:p>
    <w:p w14:paraId="151E6FE7" w14:textId="521475B7" w:rsidR="00C1180D" w:rsidRDefault="00C1180D" w:rsidP="00E836B6">
      <w:pPr>
        <w:pStyle w:val="Behzottbekezdsnmhh"/>
        <w:rPr>
          <w:lang w:bidi="hu-HU"/>
        </w:rPr>
      </w:pPr>
      <w:r w:rsidRPr="00735A38">
        <w:rPr>
          <w:lang w:bidi="hu-HU"/>
        </w:rPr>
        <w:t>A</w:t>
      </w:r>
      <w:r w:rsidR="00735A38" w:rsidRPr="00735A38">
        <w:rPr>
          <w:lang w:bidi="hu-HU"/>
        </w:rPr>
        <w:t>z</w:t>
      </w:r>
      <w:r w:rsidRPr="00735A38">
        <w:rPr>
          <w:lang w:bidi="hu-HU"/>
        </w:rPr>
        <w:t xml:space="preserve"> uniós kötelezettség alapján MFCN</w:t>
      </w:r>
      <w:r w:rsidR="0030758C">
        <w:rPr>
          <w:lang w:bidi="hu-HU"/>
        </w:rPr>
        <w:t xml:space="preserve"> </w:t>
      </w:r>
      <w:r w:rsidRPr="00735A38">
        <w:rPr>
          <w:lang w:bidi="hu-HU"/>
        </w:rPr>
        <w:t xml:space="preserve">rendszerek számára használható 2x30 MHz sávból </w:t>
      </w:r>
      <w:r w:rsidR="00735A38" w:rsidRPr="00735A38">
        <w:rPr>
          <w:lang w:bidi="hu-HU"/>
        </w:rPr>
        <w:t xml:space="preserve">a 2020-ban megtartott árverés során </w:t>
      </w:r>
      <w:r w:rsidRPr="00735A38">
        <w:rPr>
          <w:lang w:bidi="hu-HU"/>
        </w:rPr>
        <w:t xml:space="preserve">2 x 25 MHz sávrész </w:t>
      </w:r>
      <w:r w:rsidR="00735A38" w:rsidRPr="00735A38">
        <w:rPr>
          <w:lang w:bidi="hu-HU"/>
        </w:rPr>
        <w:t xml:space="preserve">elosztásra került, a fennmaradó </w:t>
      </w:r>
      <w:r w:rsidRPr="00735A38">
        <w:rPr>
          <w:lang w:bidi="hu-HU"/>
        </w:rPr>
        <w:t>2x5 MHz sávrész továbbra is tervezett kategóriájú maradt a szélessávú digitális PPDR rendszerek magyarországi spektrumigényének tisztázásáig.</w:t>
      </w:r>
    </w:p>
    <w:p w14:paraId="100A39B4" w14:textId="75F4C8D1" w:rsidR="00BC1C9C" w:rsidRDefault="00BC1C9C" w:rsidP="00E836B6">
      <w:pPr>
        <w:pStyle w:val="Behzottbekezdsnmhh"/>
        <w:rPr>
          <w:iCs/>
        </w:rPr>
      </w:pPr>
      <w:r>
        <w:rPr>
          <w:iCs/>
        </w:rPr>
        <w:t xml:space="preserve">Jelen meghallgatás során ismét felmérjük az igényeket, </w:t>
      </w:r>
      <w:proofErr w:type="spellStart"/>
      <w:r>
        <w:rPr>
          <w:iCs/>
        </w:rPr>
        <w:t>figyelembevéve</w:t>
      </w:r>
      <w:proofErr w:type="spellEnd"/>
      <w:r>
        <w:rPr>
          <w:iCs/>
        </w:rPr>
        <w:t xml:space="preserve"> az újgenerációs hálózatok egyre növekvő spektrumszükségletét, valamint a PPDR rendszerekkel kapcsolatos igényeket is.</w:t>
      </w:r>
      <w:r w:rsidR="00F94314" w:rsidRPr="00F94314">
        <w:t xml:space="preserve"> </w:t>
      </w:r>
      <w:r w:rsidR="00F94314" w:rsidRPr="00F94314">
        <w:rPr>
          <w:iCs/>
        </w:rPr>
        <w:t xml:space="preserve">A nyilvános meghallgatás eredményeként lehet dönteni a </w:t>
      </w:r>
      <w:r w:rsidR="00F94314">
        <w:rPr>
          <w:iCs/>
        </w:rPr>
        <w:t xml:space="preserve">még el nem osztott </w:t>
      </w:r>
      <w:r w:rsidR="00F94314" w:rsidRPr="00F94314">
        <w:rPr>
          <w:iCs/>
        </w:rPr>
        <w:t>sáv</w:t>
      </w:r>
      <w:r w:rsidR="00F94314">
        <w:rPr>
          <w:iCs/>
        </w:rPr>
        <w:t>rész</w:t>
      </w:r>
      <w:r w:rsidR="00F94314" w:rsidRPr="00F94314">
        <w:rPr>
          <w:iCs/>
        </w:rPr>
        <w:t xml:space="preserve"> jövőbeli használati lehetőségeiről, különösen az elosztás módjáról, lehetőségeiről (így pl. </w:t>
      </w:r>
      <w:r w:rsidR="007D42B0">
        <w:rPr>
          <w:iCs/>
        </w:rPr>
        <w:t>versenyeztetési eljárás indítása</w:t>
      </w:r>
      <w:r w:rsidR="00F94314" w:rsidRPr="00F94314">
        <w:rPr>
          <w:iCs/>
        </w:rPr>
        <w:t xml:space="preserve">, </w:t>
      </w:r>
      <w:r w:rsidR="00F94314">
        <w:rPr>
          <w:iCs/>
        </w:rPr>
        <w:t>PPDR</w:t>
      </w:r>
      <w:r w:rsidR="00F94314" w:rsidRPr="00F94314">
        <w:rPr>
          <w:iCs/>
        </w:rPr>
        <w:t xml:space="preserve"> igények </w:t>
      </w:r>
      <w:r w:rsidR="00F94314">
        <w:rPr>
          <w:iCs/>
        </w:rPr>
        <w:t xml:space="preserve">hibrid megoldással történő </w:t>
      </w:r>
      <w:r w:rsidR="00F94314" w:rsidRPr="00F94314">
        <w:rPr>
          <w:iCs/>
        </w:rPr>
        <w:t>kielégítése, stb.).</w:t>
      </w:r>
    </w:p>
    <w:p w14:paraId="098A38B5" w14:textId="1DE37187" w:rsidR="00CA5369" w:rsidRDefault="00CA5369">
      <w:pPr>
        <w:spacing w:after="200"/>
        <w:jc w:val="left"/>
        <w:rPr>
          <w:sz w:val="20"/>
          <w:szCs w:val="20"/>
          <w:lang w:bidi="hu-HU"/>
        </w:rPr>
      </w:pPr>
      <w:r>
        <w:rPr>
          <w:lang w:bidi="hu-HU"/>
        </w:rPr>
        <w:br w:type="page"/>
      </w:r>
    </w:p>
    <w:p w14:paraId="7410F4EF" w14:textId="77777777" w:rsidR="001E50C0" w:rsidRPr="007C2EAC" w:rsidRDefault="001E50C0" w:rsidP="001E50C0">
      <w:pPr>
        <w:pStyle w:val="Cmsor1szmozottnmhh"/>
        <w:ind w:left="431" w:hanging="431"/>
      </w:pPr>
      <w:bookmarkStart w:id="3" w:name="_Toc96001028"/>
      <w:r w:rsidRPr="007C2EAC">
        <w:lastRenderedPageBreak/>
        <w:t>Bevezetés</w:t>
      </w:r>
      <w:bookmarkEnd w:id="1"/>
      <w:bookmarkEnd w:id="3"/>
    </w:p>
    <w:p w14:paraId="60F0BE3E" w14:textId="3C16C343" w:rsidR="0055639E" w:rsidRDefault="0055639E" w:rsidP="0003238B">
      <w:pPr>
        <w:pStyle w:val="Behzottbekezdsnmhh"/>
        <w:rPr>
          <w:lang w:bidi="hu-HU"/>
        </w:rPr>
      </w:pPr>
      <w:r w:rsidRPr="00735A38">
        <w:t xml:space="preserve">A </w:t>
      </w:r>
      <w:r>
        <w:t xml:space="preserve">korábban műsorszórásra használt </w:t>
      </w:r>
      <w:r w:rsidRPr="00735A38">
        <w:t>694-790 MHz-es frekvenciasáv</w:t>
      </w:r>
      <w:r>
        <w:t xml:space="preserve"> (a továbbiakban 700 MHz-es </w:t>
      </w:r>
      <w:r w:rsidR="00707D04">
        <w:t>frekvencia</w:t>
      </w:r>
      <w:r>
        <w:t>sáv)</w:t>
      </w:r>
      <w:r w:rsidRPr="00735A38">
        <w:t xml:space="preserve"> mobil szélessávú hasznosításával kapcsolatban </w:t>
      </w:r>
      <w:r w:rsidR="00707D04">
        <w:t xml:space="preserve">még 2016-ban </w:t>
      </w:r>
      <w:r w:rsidRPr="00735A38">
        <w:t xml:space="preserve">elfogadásra került a sávhasználat harmonizált </w:t>
      </w:r>
      <w:r w:rsidR="00707D04">
        <w:t xml:space="preserve">műszaki </w:t>
      </w:r>
      <w:r w:rsidRPr="00735A38">
        <w:t>feltételei</w:t>
      </w:r>
      <w:r w:rsidR="00707D04">
        <w:t>ről szóló</w:t>
      </w:r>
      <w:r w:rsidRPr="00735A38">
        <w:t xml:space="preserve"> (EU) 2016/687 bizottsági végrehajtási határozat</w:t>
      </w:r>
      <w:r w:rsidRPr="00735A38">
        <w:rPr>
          <w:rStyle w:val="Lbjegyzet-hivatkozs"/>
        </w:rPr>
        <w:footnoteReference w:id="7"/>
      </w:r>
      <w:r w:rsidR="0038642E">
        <w:t xml:space="preserve"> </w:t>
      </w:r>
      <w:r w:rsidRPr="00C1180D">
        <w:t>(a továbbiakban: Bizottsági végrehajtási határozat)</w:t>
      </w:r>
      <w:r w:rsidR="00707D04">
        <w:t>.</w:t>
      </w:r>
      <w:r w:rsidRPr="00C1180D">
        <w:t xml:space="preserve"> </w:t>
      </w:r>
      <w:r w:rsidR="00707D04">
        <w:t>Majd 2017-ben a feladatok ütemezését is rögzítő</w:t>
      </w:r>
      <w:r w:rsidRPr="00C1180D">
        <w:rPr>
          <w:lang w:bidi="hu-HU"/>
        </w:rPr>
        <w:t xml:space="preserve"> parlamenti és tanácsi </w:t>
      </w:r>
      <w:r w:rsidRPr="00735A38">
        <w:rPr>
          <w:lang w:bidi="hu-HU"/>
        </w:rPr>
        <w:t>határozat</w:t>
      </w:r>
      <w:r w:rsidRPr="00735A38">
        <w:rPr>
          <w:rStyle w:val="Lbjegyzet-hivatkozs"/>
          <w:lang w:bidi="hu-HU"/>
        </w:rPr>
        <w:footnoteReference w:id="8"/>
      </w:r>
      <w:r w:rsidR="00707D04">
        <w:rPr>
          <w:lang w:bidi="hu-HU"/>
        </w:rPr>
        <w:t xml:space="preserve"> kihirdetése következett</w:t>
      </w:r>
      <w:r w:rsidRPr="00735A38">
        <w:rPr>
          <w:lang w:bidi="hu-HU"/>
        </w:rPr>
        <w:t xml:space="preserve">, mely a teljes 470-790 MHz </w:t>
      </w:r>
      <w:r w:rsidR="00707D04">
        <w:rPr>
          <w:lang w:bidi="hu-HU"/>
        </w:rPr>
        <w:t>frekvencia</w:t>
      </w:r>
      <w:r w:rsidRPr="00735A38">
        <w:rPr>
          <w:lang w:bidi="hu-HU"/>
        </w:rPr>
        <w:t>sáv további felhasználására vonatkozóan tartalmazza a tagállami kötelezettségeket, és meghatározza a TV műsorszórás jövőjével kapcsolatos elvárásokat is.</w:t>
      </w:r>
    </w:p>
    <w:p w14:paraId="499157CE" w14:textId="21C62EE9" w:rsidR="0003238B" w:rsidRPr="007C2EAC" w:rsidRDefault="00080C5C" w:rsidP="0003238B">
      <w:pPr>
        <w:pStyle w:val="Behzottbekezdsnmhh"/>
      </w:pPr>
      <w:r w:rsidRPr="0055639E">
        <w:t xml:space="preserve">A 700 MHz-es </w:t>
      </w:r>
      <w:r w:rsidR="00707D04">
        <w:t>frekvencia</w:t>
      </w:r>
      <w:r w:rsidRPr="0055639E">
        <w:t>sáv az 5G bevezetése szempontjából is kiemelten fontos. Az Európai Bizottság 5G akcióterve</w:t>
      </w:r>
      <w:r w:rsidRPr="0055639E">
        <w:rPr>
          <w:vertAlign w:val="superscript"/>
        </w:rPr>
        <w:footnoteReference w:id="9"/>
      </w:r>
      <w:r w:rsidRPr="0055639E">
        <w:t xml:space="preserve"> és az RSPG szakvéleményében meghatározott 5G stratégiai menetrendje</w:t>
      </w:r>
      <w:r w:rsidRPr="0055639E">
        <w:rPr>
          <w:vertAlign w:val="superscript"/>
        </w:rPr>
        <w:footnoteReference w:id="10"/>
      </w:r>
      <w:r w:rsidRPr="0055639E">
        <w:t xml:space="preserve"> alapján a 700 MHz-es sáv az egyik elsődleges sávnak számít az 5G bevezetésében a 3400-3800 MHz és </w:t>
      </w:r>
      <w:r w:rsidRPr="0055639E">
        <w:rPr>
          <w:bCs/>
        </w:rPr>
        <w:t>24,25 – 27,5</w:t>
      </w:r>
      <w:r w:rsidRPr="0055639E">
        <w:rPr>
          <w:b/>
          <w:bCs/>
        </w:rPr>
        <w:t xml:space="preserve"> </w:t>
      </w:r>
      <w:proofErr w:type="spellStart"/>
      <w:r w:rsidRPr="0055639E">
        <w:t>GHz</w:t>
      </w:r>
      <w:proofErr w:type="spellEnd"/>
      <w:r w:rsidRPr="0055639E">
        <w:t>-es sávokkal együtt („pionír sávok”).</w:t>
      </w:r>
      <w:r w:rsidR="00C001F6">
        <w:t xml:space="preserve"> Az Európai Unió tagállamai közül eddig 19 tagállamban adtak ki engedélyeket a 700 MHz-es frekvenciasávra. Közülük is az elsők közé tartozott Magyarország.</w:t>
      </w:r>
    </w:p>
    <w:p w14:paraId="7021A918" w14:textId="2991C555" w:rsidR="000E570B" w:rsidRDefault="0092764E" w:rsidP="000E570B">
      <w:pPr>
        <w:pStyle w:val="Behzottbekezdsnmhh"/>
      </w:pPr>
      <w:r w:rsidRPr="007C2EAC">
        <w:t xml:space="preserve">A </w:t>
      </w:r>
      <w:r w:rsidR="00FF4866">
        <w:t>700 MHz-es frekvencia</w:t>
      </w:r>
      <w:r w:rsidRPr="007C2EAC">
        <w:t xml:space="preserve">sávra jellemző fizikai tulajdonságok lehetővé teszik nagy kiterjedésű területek költséghatékony lefedését, </w:t>
      </w:r>
      <w:r w:rsidR="00DF2A4A">
        <w:t xml:space="preserve">ezért ez a frekvenciasáv előnyös </w:t>
      </w:r>
      <w:r w:rsidR="003543C2" w:rsidRPr="007C2EAC">
        <w:t xml:space="preserve">az országos </w:t>
      </w:r>
      <w:r w:rsidR="002E3983" w:rsidRPr="007C2EAC">
        <w:t>lefedettség</w:t>
      </w:r>
      <w:r w:rsidR="00080C5C">
        <w:t xml:space="preserve"> </w:t>
      </w:r>
      <w:r w:rsidR="00DF2A4A">
        <w:t xml:space="preserve">hatékony megvalósítására, különös tekintettel a vidéki, ritkán lakott területek lefedésére, továbbá </w:t>
      </w:r>
      <w:r w:rsidR="00DF2A4A" w:rsidRPr="001C47CA">
        <w:t>az épületen belüli ellátottság</w:t>
      </w:r>
      <w:r w:rsidR="002E3983" w:rsidRPr="007C2EAC">
        <w:t xml:space="preserve"> és a gépek</w:t>
      </w:r>
      <w:r w:rsidR="009C4D07" w:rsidRPr="007C2EAC">
        <w:t xml:space="preserve"> közötti </w:t>
      </w:r>
      <w:r w:rsidR="00B0079C" w:rsidRPr="007C2EAC">
        <w:t xml:space="preserve">nagy távolságú </w:t>
      </w:r>
      <w:proofErr w:type="gramStart"/>
      <w:r w:rsidR="009C4D07" w:rsidRPr="007C2EAC">
        <w:t xml:space="preserve">kommunikáció </w:t>
      </w:r>
      <w:r w:rsidR="00DF2A4A">
        <w:t xml:space="preserve"> </w:t>
      </w:r>
      <w:r w:rsidR="000E570B" w:rsidRPr="001C47CA">
        <w:t>biztosításához</w:t>
      </w:r>
      <w:proofErr w:type="gramEnd"/>
      <w:r w:rsidR="000E570B" w:rsidRPr="001C47CA">
        <w:t xml:space="preserve"> is kedvező</w:t>
      </w:r>
      <w:r w:rsidR="00DF2A4A">
        <w:t xml:space="preserve"> feltételeket nyújt.</w:t>
      </w:r>
      <w:r w:rsidR="000E570B" w:rsidRPr="001C47CA">
        <w:t xml:space="preserve"> </w:t>
      </w:r>
    </w:p>
    <w:p w14:paraId="706628E1" w14:textId="504DAB12" w:rsidR="00CF1845" w:rsidRPr="007C2EAC" w:rsidRDefault="00B92822" w:rsidP="00CF1845">
      <w:pPr>
        <w:pStyle w:val="Behzottbekezdsnmhh"/>
      </w:pPr>
      <w:r w:rsidRPr="007C2EAC">
        <w:t xml:space="preserve">A </w:t>
      </w:r>
      <w:r w:rsidR="008F59B1" w:rsidRPr="007C2EAC">
        <w:t>Bizottsági végrehajtási határozat alapján</w:t>
      </w:r>
      <w:r w:rsidR="007F66E7" w:rsidRPr="007C2EAC">
        <w:t xml:space="preserve"> </w:t>
      </w:r>
      <w:r w:rsidR="00CF1845" w:rsidRPr="007C2EAC">
        <w:t>mozgó és állandóhelyű hírközlési hálózatokkal megvalósítható vezeték nélküli szélessávú elektronikus hírközlési szolgáltatások (MFCN) és más nem-MFCN alkalmazások is bevezethetők a sávban. Nemzeti opcióként a 700 MHz-es sáv egy része felhasználható kiegészítő lemenő irányú összeköttetésre is (</w:t>
      </w:r>
      <w:proofErr w:type="spellStart"/>
      <w:r w:rsidR="00CF1845" w:rsidRPr="007C2EAC">
        <w:t>supplemental</w:t>
      </w:r>
      <w:proofErr w:type="spellEnd"/>
      <w:r w:rsidR="00CF1845" w:rsidRPr="007C2EAC">
        <w:t xml:space="preserve"> downlink, SDL), azaz egy földfelszíni vezeték nélküli szélessávú elektronikus hírközlési szolgáltatás nyújtásának részét képező csak lemenő irányú (azaz egyirányú), bázisállomásról induló adás</w:t>
      </w:r>
      <w:r w:rsidR="00FF4866">
        <w:t>ra</w:t>
      </w:r>
      <w:r w:rsidR="00CF1845" w:rsidRPr="007C2EAC">
        <w:t>. Az SDL célja a szolgáltatás lemenő irányú kapacitásának növelése, és ezáltal az adatforgalom</w:t>
      </w:r>
      <w:r w:rsidR="0038642E">
        <w:t>-igény</w:t>
      </w:r>
      <w:r w:rsidR="00CF1845" w:rsidRPr="007C2EAC">
        <w:t xml:space="preserve"> aszimmetriájának kezelése. A 700 MHz-es sávban bevezethető nemzeti opciók közé tartozik még az önálló hálózatokon vagy az elektronikus hírközlési szolgáltatások nyújtására alkalmas földfelszíni rendszereken üzemeltethető </w:t>
      </w:r>
      <w:r w:rsidR="00E518C4" w:rsidRPr="007C2EAC">
        <w:t>BB-</w:t>
      </w:r>
      <w:r w:rsidR="00CF1845" w:rsidRPr="007C2EAC">
        <w:t>PPDR</w:t>
      </w:r>
      <w:r w:rsidR="00CF1845" w:rsidRPr="007C2EAC">
        <w:rPr>
          <w:b/>
        </w:rPr>
        <w:t xml:space="preserve">, </w:t>
      </w:r>
      <w:r w:rsidR="00CF1845" w:rsidRPr="007C2EAC">
        <w:t xml:space="preserve">vezeték nélküli hangfrekvenciás PMSE alkalmazások és </w:t>
      </w:r>
      <w:r w:rsidR="00E518C4" w:rsidRPr="007C2EAC">
        <w:t xml:space="preserve">az </w:t>
      </w:r>
      <w:r w:rsidR="00CF1845" w:rsidRPr="007C2EAC">
        <w:t xml:space="preserve">M2M is. </w:t>
      </w:r>
    </w:p>
    <w:p w14:paraId="6AA96327" w14:textId="54D0DB48" w:rsidR="00735A38" w:rsidRPr="00E1244E" w:rsidRDefault="00300C77" w:rsidP="00DF2A4A">
      <w:pPr>
        <w:pStyle w:val="Behzottbekezdsnmhh"/>
      </w:pPr>
      <w:r w:rsidRPr="007C2EAC">
        <w:t xml:space="preserve">. </w:t>
      </w:r>
    </w:p>
    <w:p w14:paraId="292DEDE1" w14:textId="3E40FA18" w:rsidR="00DF2A4A" w:rsidRDefault="00DF2A4A">
      <w:pPr>
        <w:spacing w:after="200"/>
        <w:jc w:val="left"/>
        <w:rPr>
          <w:sz w:val="20"/>
          <w:szCs w:val="20"/>
        </w:rPr>
      </w:pPr>
      <w:r>
        <w:br w:type="page"/>
      </w:r>
    </w:p>
    <w:p w14:paraId="6CCEE0C8" w14:textId="648639E0" w:rsidR="001E50C0" w:rsidRDefault="005C20A9" w:rsidP="001E50C0">
      <w:pPr>
        <w:pStyle w:val="Cmsor1szmozottnmhh"/>
        <w:ind w:left="431" w:hanging="431"/>
      </w:pPr>
      <w:bookmarkStart w:id="4" w:name="_Toc96001029"/>
      <w:r>
        <w:lastRenderedPageBreak/>
        <w:t xml:space="preserve">A </w:t>
      </w:r>
      <w:r w:rsidR="007C2EAC">
        <w:t>700 MHz-es sáv s</w:t>
      </w:r>
      <w:r w:rsidR="00B57D14">
        <w:t>zabályozás</w:t>
      </w:r>
      <w:r w:rsidR="007C2EAC">
        <w:t>a</w:t>
      </w:r>
      <w:bookmarkEnd w:id="4"/>
    </w:p>
    <w:p w14:paraId="066988C0" w14:textId="77777777" w:rsidR="001E50C0" w:rsidRDefault="001E50C0" w:rsidP="001E50C0">
      <w:pPr>
        <w:pStyle w:val="Cmsor2szmozottnmhh"/>
        <w:ind w:left="578" w:hanging="578"/>
      </w:pPr>
      <w:bookmarkStart w:id="5" w:name="_Toc473880715"/>
      <w:bookmarkStart w:id="6" w:name="_Toc96001030"/>
      <w:r>
        <w:t>Nemzetközi szabályozás</w:t>
      </w:r>
      <w:bookmarkEnd w:id="5"/>
      <w:bookmarkEnd w:id="6"/>
    </w:p>
    <w:p w14:paraId="19AFE8CC" w14:textId="08C94104" w:rsidR="007D4158" w:rsidRPr="009B318B" w:rsidRDefault="00AC75E9" w:rsidP="007D4158">
      <w:pPr>
        <w:pStyle w:val="Behzottbekezdsnmhh"/>
        <w:rPr>
          <w:lang w:bidi="hu-HU"/>
        </w:rPr>
      </w:pPr>
      <w:bookmarkStart w:id="7" w:name="_Toc473880717"/>
      <w:bookmarkStart w:id="8" w:name="_Toc473880716"/>
      <w:r w:rsidRPr="007C2EAC">
        <w:rPr>
          <w:lang w:bidi="hu-HU"/>
        </w:rPr>
        <w:t>Az ITU terminológiában IMT-2020</w:t>
      </w:r>
      <w:r w:rsidRPr="007C2EAC">
        <w:rPr>
          <w:vertAlign w:val="superscript"/>
          <w:lang w:bidi="hu-HU"/>
        </w:rPr>
        <w:footnoteReference w:id="11"/>
      </w:r>
      <w:r w:rsidRPr="007C2EAC">
        <w:rPr>
          <w:lang w:bidi="hu-HU"/>
        </w:rPr>
        <w:t xml:space="preserve"> kifejezéssel bevezetett 5. generációs mobil technológia, </w:t>
      </w:r>
      <w:r>
        <w:rPr>
          <w:lang w:bidi="hu-HU"/>
        </w:rPr>
        <w:t>(</w:t>
      </w:r>
      <w:r w:rsidRPr="007C2EAC">
        <w:rPr>
          <w:lang w:bidi="hu-HU"/>
        </w:rPr>
        <w:t>elterjedtebb nevén 5G</w:t>
      </w:r>
      <w:r>
        <w:rPr>
          <w:lang w:bidi="hu-HU"/>
        </w:rPr>
        <w:t xml:space="preserve"> vagy NR)</w:t>
      </w:r>
      <w:r w:rsidRPr="007C2EAC">
        <w:rPr>
          <w:lang w:bidi="hu-HU"/>
        </w:rPr>
        <w:t>,</w:t>
      </w:r>
      <w:r w:rsidRPr="007C2EAC">
        <w:rPr>
          <w:b/>
          <w:lang w:bidi="hu-HU"/>
        </w:rPr>
        <w:t xml:space="preserve"> </w:t>
      </w:r>
      <w:r w:rsidRPr="007C2EAC">
        <w:rPr>
          <w:lang w:bidi="hu-HU"/>
        </w:rPr>
        <w:t>új távlatokat nyit a mobil távközlésben</w:t>
      </w:r>
      <w:r>
        <w:rPr>
          <w:lang w:bidi="hu-HU"/>
        </w:rPr>
        <w:t>, ezért</w:t>
      </w:r>
      <w:r w:rsidRPr="007C2EAC">
        <w:rPr>
          <w:lang w:bidi="hu-HU"/>
        </w:rPr>
        <w:t xml:space="preserve"> </w:t>
      </w:r>
      <w:r>
        <w:rPr>
          <w:lang w:bidi="hu-HU"/>
        </w:rPr>
        <w:t xml:space="preserve">a szükséges spektrum biztosítását és a vonatkozó szabályozás megteremtését nemzetközi szinten kiemelt feladatként kezelték az érintett nemzetközi szakmai szervezetek. </w:t>
      </w:r>
      <w:r w:rsidRPr="007C2EAC">
        <w:t>Az RSPG</w:t>
      </w:r>
      <w:r w:rsidRPr="007C2EAC">
        <w:rPr>
          <w:rStyle w:val="Lbjegyzet-hivatkozs"/>
        </w:rPr>
        <w:footnoteReference w:id="12"/>
      </w:r>
      <w:r w:rsidRPr="007C2EAC">
        <w:t xml:space="preserve"> 5G spektrum kérdései tárgykörben kiadott szakvéleménye</w:t>
      </w:r>
      <w:r w:rsidRPr="007C2EAC">
        <w:rPr>
          <w:vertAlign w:val="superscript"/>
          <w:lang w:bidi="hu-HU"/>
        </w:rPr>
        <w:footnoteReference w:id="13"/>
      </w:r>
      <w:r w:rsidRPr="007C2EAC">
        <w:t xml:space="preserve"> alapján a 700 MHz-es sáv az úgynevezett 5G pionírsávok egyike</w:t>
      </w:r>
      <w:r>
        <w:t xml:space="preserve">. </w:t>
      </w:r>
      <w:r w:rsidR="00371EEE">
        <w:t xml:space="preserve">A </w:t>
      </w:r>
      <w:r w:rsidR="004B18DB" w:rsidRPr="004B18DB">
        <w:t xml:space="preserve">700 MHz-es frekvenciasáv </w:t>
      </w:r>
      <w:r w:rsidR="006541BC">
        <w:t>elérhetővé tétele a mobil szélessávú alkalmazások számára</w:t>
      </w:r>
      <w:r w:rsidR="007C2EAC">
        <w:t xml:space="preserve"> és a jelenlegi szabályozás kialakítása</w:t>
      </w:r>
      <w:r w:rsidR="006541BC">
        <w:t xml:space="preserve"> </w:t>
      </w:r>
      <w:r w:rsidR="004B18DB" w:rsidRPr="004B18DB">
        <w:t>hosszas nemzetközi előkészítés</w:t>
      </w:r>
      <w:r w:rsidR="006541BC">
        <w:t>t igényelt</w:t>
      </w:r>
      <w:r w:rsidR="007D4158">
        <w:t xml:space="preserve"> </w:t>
      </w:r>
      <w:r w:rsidR="007D4158">
        <w:rPr>
          <w:lang w:bidi="hu-HU"/>
        </w:rPr>
        <w:t>az érintett</w:t>
      </w:r>
      <w:r w:rsidR="007D4158" w:rsidRPr="009B318B">
        <w:rPr>
          <w:lang w:bidi="hu-HU"/>
        </w:rPr>
        <w:t xml:space="preserve"> nemzetközi szervezet</w:t>
      </w:r>
      <w:r w:rsidR="007D4158">
        <w:rPr>
          <w:lang w:bidi="hu-HU"/>
        </w:rPr>
        <w:t>ek</w:t>
      </w:r>
      <w:r w:rsidR="007D4158" w:rsidRPr="009B318B">
        <w:rPr>
          <w:lang w:bidi="hu-HU"/>
        </w:rPr>
        <w:t xml:space="preserve"> </w:t>
      </w:r>
      <w:r w:rsidR="007D4158">
        <w:rPr>
          <w:lang w:bidi="hu-HU"/>
        </w:rPr>
        <w:t>és frekvenciagazdálkodásért felelős csoportok</w:t>
      </w:r>
      <w:r w:rsidR="007D4158" w:rsidRPr="009B318B">
        <w:rPr>
          <w:lang w:bidi="hu-HU"/>
        </w:rPr>
        <w:t xml:space="preserve"> (ITU</w:t>
      </w:r>
      <w:r w:rsidR="007D4158" w:rsidRPr="009B318B">
        <w:rPr>
          <w:vertAlign w:val="superscript"/>
          <w:lang w:bidi="hu-HU"/>
        </w:rPr>
        <w:footnoteReference w:id="14"/>
      </w:r>
      <w:r w:rsidR="007D4158" w:rsidRPr="009B318B">
        <w:rPr>
          <w:lang w:bidi="hu-HU"/>
        </w:rPr>
        <w:t>, CEPT</w:t>
      </w:r>
      <w:r w:rsidR="007D4158" w:rsidRPr="009B318B">
        <w:rPr>
          <w:vertAlign w:val="superscript"/>
          <w:lang w:bidi="hu-HU"/>
        </w:rPr>
        <w:footnoteReference w:id="15"/>
      </w:r>
      <w:r w:rsidR="007D4158" w:rsidRPr="009B318B">
        <w:rPr>
          <w:lang w:bidi="hu-HU"/>
        </w:rPr>
        <w:t>, E</w:t>
      </w:r>
      <w:r w:rsidR="004A1145">
        <w:rPr>
          <w:lang w:bidi="hu-HU"/>
        </w:rPr>
        <w:t>urópai</w:t>
      </w:r>
      <w:r w:rsidR="007D4158" w:rsidRPr="009B318B">
        <w:rPr>
          <w:lang w:bidi="hu-HU"/>
        </w:rPr>
        <w:t xml:space="preserve"> Bizottság, RSPG</w:t>
      </w:r>
      <w:r w:rsidR="007D4158" w:rsidRPr="009B318B">
        <w:rPr>
          <w:vertAlign w:val="superscript"/>
          <w:lang w:bidi="hu-HU"/>
        </w:rPr>
        <w:footnoteReference w:id="16"/>
      </w:r>
      <w:r w:rsidR="007D4158" w:rsidRPr="009B318B">
        <w:rPr>
          <w:lang w:bidi="hu-HU"/>
        </w:rPr>
        <w:t>, RSC</w:t>
      </w:r>
      <w:r w:rsidR="007D4158" w:rsidRPr="009B318B">
        <w:rPr>
          <w:vertAlign w:val="superscript"/>
          <w:lang w:bidi="hu-HU"/>
        </w:rPr>
        <w:footnoteReference w:id="17"/>
      </w:r>
      <w:r w:rsidR="007D4158" w:rsidRPr="009B318B">
        <w:rPr>
          <w:lang w:bidi="hu-HU"/>
        </w:rPr>
        <w:t xml:space="preserve">) </w:t>
      </w:r>
      <w:r w:rsidR="007C2EAC">
        <w:rPr>
          <w:lang w:bidi="hu-HU"/>
        </w:rPr>
        <w:t>részéről</w:t>
      </w:r>
      <w:r w:rsidR="007D4158" w:rsidRPr="009B318B">
        <w:rPr>
          <w:lang w:bidi="hu-HU"/>
        </w:rPr>
        <w:t>.</w:t>
      </w:r>
      <w:r w:rsidR="00FF4866">
        <w:rPr>
          <w:lang w:bidi="hu-HU"/>
        </w:rPr>
        <w:t xml:space="preserve"> </w:t>
      </w:r>
      <w:r w:rsidR="00DB6B48">
        <w:rPr>
          <w:lang w:bidi="hu-HU"/>
        </w:rPr>
        <w:t>A nemzetközi szabályozás főbb elemeit az alábbiakban foglaljuk össze.</w:t>
      </w:r>
    </w:p>
    <w:p w14:paraId="0C8292AF" w14:textId="77777777" w:rsidR="00590CCD" w:rsidRDefault="00590CCD" w:rsidP="006963E1">
      <w:pPr>
        <w:spacing w:after="0" w:line="240" w:lineRule="auto"/>
      </w:pPr>
    </w:p>
    <w:p w14:paraId="0841FC60" w14:textId="77777777" w:rsidR="001E50C0" w:rsidRDefault="001E50C0" w:rsidP="001E50C0">
      <w:pPr>
        <w:pStyle w:val="Cmsor3szmozottnmhh"/>
      </w:pPr>
      <w:bookmarkStart w:id="9" w:name="_Toc96001031"/>
      <w:r>
        <w:t>ITU</w:t>
      </w:r>
      <w:bookmarkEnd w:id="7"/>
      <w:bookmarkEnd w:id="9"/>
    </w:p>
    <w:p w14:paraId="2E3E7D52" w14:textId="5F0CC93B" w:rsidR="007107C7" w:rsidRDefault="00944677" w:rsidP="00B7054C">
      <w:pPr>
        <w:pStyle w:val="Behzottbekezdsnmhh"/>
      </w:pPr>
      <w:r>
        <w:t xml:space="preserve">A </w:t>
      </w:r>
      <w:r w:rsidRPr="00426D01">
        <w:t>nemzeti frekvenciafelosztásról, valamint a frekvenciasávok felhasználási szabályairól szóló 7/2015. (XI. 13.) NMHH rendelete</w:t>
      </w:r>
      <w:r>
        <w:t xml:space="preserve"> (továbbiakban: NFFF)</w:t>
      </w:r>
      <w:r w:rsidRPr="00074168">
        <w:t xml:space="preserve"> </w:t>
      </w:r>
      <w:r w:rsidR="00441882">
        <w:t>1. melléklete tartalmazza a Nemzetközi Rádiószabályzat</w:t>
      </w:r>
      <w:r w:rsidR="005B37BE">
        <w:t xml:space="preserve"> (</w:t>
      </w:r>
      <w:proofErr w:type="spellStart"/>
      <w:r w:rsidR="005B37BE">
        <w:t>Radio</w:t>
      </w:r>
      <w:proofErr w:type="spellEnd"/>
      <w:r w:rsidR="005B37BE">
        <w:t xml:space="preserve"> </w:t>
      </w:r>
      <w:proofErr w:type="spellStart"/>
      <w:r w:rsidR="005B37BE">
        <w:t>Regulation</w:t>
      </w:r>
      <w:proofErr w:type="spellEnd"/>
      <w:r w:rsidR="005B37BE">
        <w:t>, a továbbiakban</w:t>
      </w:r>
      <w:r w:rsidR="00AC75E9">
        <w:t>:</w:t>
      </w:r>
      <w:r w:rsidR="005B37BE">
        <w:t xml:space="preserve"> RR)</w:t>
      </w:r>
      <w:r w:rsidR="00441882">
        <w:t xml:space="preserve"> szerinti nemzetközi felosztást. </w:t>
      </w:r>
      <w:r w:rsidR="006C7029">
        <w:t xml:space="preserve">A </w:t>
      </w:r>
      <w:r w:rsidR="00694E05">
        <w:t>jelenleg hatályos</w:t>
      </w:r>
      <w:r w:rsidR="00DD1613">
        <w:t xml:space="preserve"> Nemzetközi Rádiószabályzat szerint a 694-790 MHz sáv</w:t>
      </w:r>
      <w:r w:rsidR="00B7054C">
        <w:t xml:space="preserve"> a</w:t>
      </w:r>
      <w:r w:rsidR="00DD1613">
        <w:t xml:space="preserve"> </w:t>
      </w:r>
      <w:r w:rsidR="00DD1613" w:rsidRPr="00163AC8">
        <w:t>műsorszórás és a mozgószolgálat</w:t>
      </w:r>
      <w:r w:rsidR="00002AA3" w:rsidRPr="00163AC8">
        <w:t xml:space="preserve"> (a légi mozgószolgálat kivételével)</w:t>
      </w:r>
      <w:r w:rsidR="00DD1613" w:rsidRPr="00163AC8">
        <w:t xml:space="preserve"> számára felosztott elsődleges jelleggel</w:t>
      </w:r>
      <w:r w:rsidR="00A5714D" w:rsidRPr="00163AC8">
        <w:t>.</w:t>
      </w:r>
      <w:r w:rsidR="00A5714D">
        <w:t xml:space="preserve"> </w:t>
      </w:r>
    </w:p>
    <w:p w14:paraId="2E5A7540" w14:textId="08263A1C" w:rsidR="007107C7" w:rsidRDefault="007107C7" w:rsidP="007107C7">
      <w:pPr>
        <w:pStyle w:val="Behzottbekezdsnmhh"/>
      </w:pPr>
      <w:r>
        <w:t xml:space="preserve">A műsorszórási célú felhasználást </w:t>
      </w:r>
      <w:r w:rsidR="002C7335">
        <w:t xml:space="preserve">a </w:t>
      </w:r>
      <w:r w:rsidR="002C7335" w:rsidRPr="0056053F">
        <w:t>Genfben</w:t>
      </w:r>
      <w:r w:rsidR="002C7335">
        <w:t>,</w:t>
      </w:r>
      <w:r w:rsidR="002C7335" w:rsidRPr="0056053F">
        <w:t xml:space="preserve"> 2006-ban megrendez</w:t>
      </w:r>
      <w:r w:rsidR="002C7335">
        <w:t>ett</w:t>
      </w:r>
      <w:r w:rsidR="002C7335" w:rsidRPr="0056053F">
        <w:t xml:space="preserve"> </w:t>
      </w:r>
      <w:r w:rsidR="002C7335">
        <w:t>Körzeti</w:t>
      </w:r>
      <w:r w:rsidR="002C7335" w:rsidRPr="0056053F">
        <w:t xml:space="preserve"> Rádiótávközlési Értekezleten</w:t>
      </w:r>
      <w:r w:rsidR="002C7335">
        <w:t xml:space="preserve"> (RRC-06</w:t>
      </w:r>
      <w:r w:rsidR="00007470" w:rsidRPr="00EB0F61">
        <w:rPr>
          <w:vertAlign w:val="superscript"/>
          <w:lang w:bidi="hu-HU"/>
        </w:rPr>
        <w:footnoteReference w:id="18"/>
      </w:r>
      <w:r w:rsidR="002C7335">
        <w:t xml:space="preserve">) </w:t>
      </w:r>
      <w:r w:rsidR="008F30CF">
        <w:t>elfogadott</w:t>
      </w:r>
      <w:r w:rsidR="002C7335">
        <w:t xml:space="preserve"> megállapodás és frekvenciaterv (GE06</w:t>
      </w:r>
      <w:r w:rsidR="00007470" w:rsidRPr="00EB0F61">
        <w:rPr>
          <w:vertAlign w:val="superscript"/>
          <w:lang w:bidi="hu-HU"/>
        </w:rPr>
        <w:footnoteReference w:id="19"/>
      </w:r>
      <w:r w:rsidR="002C7335">
        <w:t>) szabályozza.</w:t>
      </w:r>
      <w:r>
        <w:t xml:space="preserve"> </w:t>
      </w:r>
      <w:r w:rsidR="002C7335">
        <w:t>A</w:t>
      </w:r>
      <w:r>
        <w:t xml:space="preserve"> GE06 a műsorszór</w:t>
      </w:r>
      <w:r w:rsidR="009C215F">
        <w:t xml:space="preserve">ási célú </w:t>
      </w:r>
      <w:r w:rsidR="00F0797B">
        <w:t>frekvenciafelhasználást</w:t>
      </w:r>
      <w:r w:rsidR="009C215F">
        <w:t xml:space="preserve"> tartalmazó</w:t>
      </w:r>
      <w:r>
        <w:t xml:space="preserve"> terv mellett </w:t>
      </w:r>
      <w:r w:rsidR="009840FD">
        <w:t>magában foglalja</w:t>
      </w:r>
      <w:r>
        <w:t xml:space="preserve"> azokat a</w:t>
      </w:r>
      <w:r w:rsidR="002C7335">
        <w:t>z</w:t>
      </w:r>
      <w:r>
        <w:t xml:space="preserve"> eljárásokat is, amelyek a műsorszórástól eltérő szolgálatok </w:t>
      </w:r>
      <w:r w:rsidR="00D440D1">
        <w:t>nemzetközi koordinációjához</w:t>
      </w:r>
      <w:r>
        <w:t xml:space="preserve"> szükségesek.</w:t>
      </w:r>
    </w:p>
    <w:p w14:paraId="5F50F682" w14:textId="349DF783" w:rsidR="00BA3585" w:rsidRDefault="00002AA3" w:rsidP="00441882">
      <w:pPr>
        <w:pStyle w:val="Behzottbekezdsnmhh"/>
      </w:pPr>
      <w:r>
        <w:t>A</w:t>
      </w:r>
      <w:r w:rsidR="009106BD">
        <w:t>z</w:t>
      </w:r>
      <w:r w:rsidR="007107C7">
        <w:t xml:space="preserve"> ITU </w:t>
      </w:r>
      <w:r w:rsidR="007E1775" w:rsidRPr="00915776">
        <w:t>1. körzet</w:t>
      </w:r>
      <w:r w:rsidR="009840FD">
        <w:t>é</w:t>
      </w:r>
      <w:r w:rsidR="007E1775" w:rsidRPr="00915776">
        <w:t>ben</w:t>
      </w:r>
      <w:r w:rsidR="007E1775" w:rsidRPr="008A5D41">
        <w:rPr>
          <w:vertAlign w:val="superscript"/>
        </w:rPr>
        <w:footnoteReference w:id="20"/>
      </w:r>
      <w:r w:rsidR="007E1775" w:rsidRPr="00915776">
        <w:t xml:space="preserve"> a </w:t>
      </w:r>
      <w:r w:rsidR="007E1775">
        <w:t>694-790</w:t>
      </w:r>
      <w:r w:rsidR="007E1775" w:rsidRPr="00915776">
        <w:t xml:space="preserve"> MHz frekvenciasáv </w:t>
      </w:r>
      <w:r w:rsidR="007E1775">
        <w:t xml:space="preserve">felhasználását </w:t>
      </w:r>
      <w:r w:rsidR="007E1775" w:rsidRPr="00915776">
        <w:t>a mozgó szolgálatok részére</w:t>
      </w:r>
      <w:r w:rsidR="007E1775">
        <w:t xml:space="preserve"> (</w:t>
      </w:r>
      <w:r w:rsidR="007E1775" w:rsidRPr="00915776">
        <w:t>a légi mozgószolgálat kivételével</w:t>
      </w:r>
      <w:r w:rsidR="007E1775">
        <w:t>)</w:t>
      </w:r>
      <w:r w:rsidR="007107C7">
        <w:t>,</w:t>
      </w:r>
      <w:r w:rsidR="003D1F94">
        <w:t xml:space="preserve"> a műsorszórás elsődleges jellegének megtartása mellett</w:t>
      </w:r>
      <w:r w:rsidR="007107C7">
        <w:t>,</w:t>
      </w:r>
      <w:r w:rsidR="003D1F94">
        <w:t xml:space="preserve"> </w:t>
      </w:r>
      <w:r w:rsidR="00A5714D">
        <w:t>a</w:t>
      </w:r>
      <w:r w:rsidR="00694E05">
        <w:t xml:space="preserve"> </w:t>
      </w:r>
      <w:r w:rsidR="00A5714D">
        <w:t>WRC-15</w:t>
      </w:r>
      <w:r w:rsidR="00CA309E">
        <w:rPr>
          <w:rStyle w:val="Lbjegyzet-hivatkozs"/>
        </w:rPr>
        <w:footnoteReference w:id="21"/>
      </w:r>
      <w:r w:rsidR="00A5714D">
        <w:t xml:space="preserve"> hagyta jóvá</w:t>
      </w:r>
      <w:r w:rsidR="009106BD">
        <w:t>.</w:t>
      </w:r>
      <w:r w:rsidR="00B7054C">
        <w:t xml:space="preserve"> </w:t>
      </w:r>
    </w:p>
    <w:p w14:paraId="400DC666" w14:textId="77777777" w:rsidR="00441882" w:rsidRDefault="00441882" w:rsidP="00441882">
      <w:pPr>
        <w:pStyle w:val="Behzottbekezdsnmhh"/>
      </w:pPr>
      <w:r>
        <w:t>A mozgószolgálati célú felhasználás feltételeit a</w:t>
      </w:r>
      <w:r w:rsidR="007565F7">
        <w:t>z</w:t>
      </w:r>
      <w:r>
        <w:t xml:space="preserve"> 5.312A és 5.317A lábjegyzetek tartalmazzák:</w:t>
      </w:r>
    </w:p>
    <w:tbl>
      <w:tblPr>
        <w:tblStyle w:val="Rcsostblza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8495"/>
      </w:tblGrid>
      <w:tr w:rsidR="00441882" w:rsidRPr="00163AC8" w14:paraId="0042D753" w14:textId="77777777" w:rsidTr="004A459F">
        <w:trPr>
          <w:cantSplit/>
          <w:trHeight w:val="57"/>
        </w:trPr>
        <w:tc>
          <w:tcPr>
            <w:tcW w:w="861" w:type="dxa"/>
          </w:tcPr>
          <w:p w14:paraId="6B81037B" w14:textId="77777777" w:rsidR="00441882" w:rsidRPr="00163AC8" w:rsidRDefault="00441882" w:rsidP="004A459F">
            <w:pPr>
              <w:widowControl w:val="0"/>
              <w:spacing w:after="60"/>
              <w:rPr>
                <w:i/>
                <w:sz w:val="20"/>
                <w:szCs w:val="20"/>
              </w:rPr>
            </w:pPr>
            <w:r w:rsidRPr="00163AC8">
              <w:rPr>
                <w:b/>
                <w:i/>
                <w:sz w:val="20"/>
                <w:szCs w:val="20"/>
              </w:rPr>
              <w:lastRenderedPageBreak/>
              <w:t>5.312A</w:t>
            </w:r>
          </w:p>
        </w:tc>
        <w:tc>
          <w:tcPr>
            <w:tcW w:w="8495" w:type="dxa"/>
          </w:tcPr>
          <w:p w14:paraId="4F6F6A03" w14:textId="77777777" w:rsidR="00441882" w:rsidRPr="00163AC8" w:rsidRDefault="00441882" w:rsidP="00E33BBC">
            <w:pPr>
              <w:keepNext/>
              <w:keepLines/>
              <w:tabs>
                <w:tab w:val="left" w:pos="2065"/>
              </w:tabs>
              <w:spacing w:after="60"/>
              <w:ind w:right="34"/>
              <w:rPr>
                <w:i/>
                <w:sz w:val="20"/>
                <w:szCs w:val="20"/>
              </w:rPr>
            </w:pPr>
            <w:r w:rsidRPr="00163AC8">
              <w:rPr>
                <w:i/>
                <w:sz w:val="20"/>
                <w:szCs w:val="20"/>
              </w:rPr>
              <w:t>Az 1. Körzetben a 694</w:t>
            </w:r>
            <w:r w:rsidRPr="00163AC8">
              <w:rPr>
                <w:rFonts w:cs="Arial"/>
                <w:i/>
                <w:sz w:val="20"/>
                <w:szCs w:val="20"/>
              </w:rPr>
              <w:sym w:font="Symbol" w:char="F02D"/>
            </w:r>
            <w:r w:rsidRPr="00163AC8">
              <w:rPr>
                <w:i/>
                <w:sz w:val="20"/>
                <w:szCs w:val="20"/>
              </w:rPr>
              <w:t xml:space="preserve">790 MHz frekvenciasávot a légi mozgószolgálat kivételével a mozgószolgálat a </w:t>
            </w:r>
            <w:r w:rsidRPr="00163AC8">
              <w:rPr>
                <w:b/>
                <w:i/>
                <w:sz w:val="20"/>
                <w:szCs w:val="20"/>
              </w:rPr>
              <w:t>760. (WRC</w:t>
            </w:r>
            <w:r w:rsidRPr="00163AC8">
              <w:rPr>
                <w:b/>
                <w:i/>
                <w:sz w:val="20"/>
                <w:szCs w:val="20"/>
              </w:rPr>
              <w:noBreakHyphen/>
              <w:t>15)</w:t>
            </w:r>
            <w:r w:rsidR="00E33BBC" w:rsidRPr="00163AC8">
              <w:rPr>
                <w:i/>
                <w:vertAlign w:val="superscript"/>
              </w:rPr>
              <w:t xml:space="preserve"> </w:t>
            </w:r>
            <w:r w:rsidR="00E33BBC" w:rsidRPr="00163AC8">
              <w:rPr>
                <w:i/>
                <w:vertAlign w:val="superscript"/>
              </w:rPr>
              <w:footnoteReference w:id="22"/>
            </w:r>
            <w:r w:rsidRPr="00163AC8">
              <w:rPr>
                <w:i/>
                <w:sz w:val="20"/>
                <w:szCs w:val="20"/>
              </w:rPr>
              <w:t xml:space="preserve"> Határozat rendelkezései szerint használhatja. Lásd a </w:t>
            </w:r>
            <w:r w:rsidRPr="00163AC8">
              <w:rPr>
                <w:b/>
                <w:i/>
                <w:sz w:val="20"/>
                <w:szCs w:val="20"/>
              </w:rPr>
              <w:t>224. (Rev</w:t>
            </w:r>
            <w:proofErr w:type="gramStart"/>
            <w:r w:rsidRPr="00163AC8">
              <w:rPr>
                <w:b/>
                <w:i/>
                <w:sz w:val="20"/>
                <w:szCs w:val="20"/>
              </w:rPr>
              <w:t>.WRC</w:t>
            </w:r>
            <w:r w:rsidRPr="00163AC8">
              <w:rPr>
                <w:b/>
                <w:i/>
                <w:sz w:val="20"/>
                <w:szCs w:val="20"/>
              </w:rPr>
              <w:noBreakHyphen/>
              <w:t>15</w:t>
            </w:r>
            <w:proofErr w:type="gramEnd"/>
            <w:r w:rsidRPr="00163AC8">
              <w:rPr>
                <w:b/>
                <w:i/>
                <w:sz w:val="20"/>
                <w:szCs w:val="20"/>
              </w:rPr>
              <w:t>)</w:t>
            </w:r>
            <w:r w:rsidR="00E33BBC" w:rsidRPr="00163AC8">
              <w:rPr>
                <w:i/>
                <w:vertAlign w:val="superscript"/>
              </w:rPr>
              <w:t xml:space="preserve"> </w:t>
            </w:r>
            <w:r w:rsidR="00E33BBC" w:rsidRPr="00163AC8">
              <w:rPr>
                <w:i/>
                <w:vertAlign w:val="superscript"/>
              </w:rPr>
              <w:footnoteReference w:id="23"/>
            </w:r>
            <w:r w:rsidRPr="00163AC8">
              <w:rPr>
                <w:i/>
                <w:sz w:val="20"/>
                <w:szCs w:val="20"/>
              </w:rPr>
              <w:t xml:space="preserve"> Határozatot is. (WRC</w:t>
            </w:r>
            <w:r w:rsidRPr="00163AC8">
              <w:rPr>
                <w:i/>
                <w:sz w:val="20"/>
                <w:szCs w:val="20"/>
              </w:rPr>
              <w:noBreakHyphen/>
              <w:t>15)</w:t>
            </w:r>
          </w:p>
        </w:tc>
      </w:tr>
      <w:tr w:rsidR="00441882" w:rsidRPr="00163AC8" w14:paraId="30B25B59" w14:textId="77777777" w:rsidTr="004A459F">
        <w:trPr>
          <w:cantSplit/>
          <w:trHeight w:val="57"/>
        </w:trPr>
        <w:tc>
          <w:tcPr>
            <w:tcW w:w="861" w:type="dxa"/>
          </w:tcPr>
          <w:p w14:paraId="1F4B43A7" w14:textId="77777777" w:rsidR="00441882" w:rsidRPr="00163AC8" w:rsidRDefault="00441882" w:rsidP="004A459F">
            <w:pPr>
              <w:widowControl w:val="0"/>
              <w:spacing w:after="60"/>
              <w:rPr>
                <w:i/>
                <w:sz w:val="20"/>
                <w:szCs w:val="20"/>
              </w:rPr>
            </w:pPr>
            <w:r w:rsidRPr="00163AC8">
              <w:rPr>
                <w:b/>
                <w:i/>
                <w:sz w:val="20"/>
                <w:szCs w:val="20"/>
              </w:rPr>
              <w:t>5.317</w:t>
            </w:r>
            <w:proofErr w:type="gramStart"/>
            <w:r w:rsidRPr="00163AC8">
              <w:rPr>
                <w:b/>
                <w:i/>
                <w:sz w:val="20"/>
                <w:szCs w:val="20"/>
              </w:rPr>
              <w:t>A</w:t>
            </w:r>
            <w:proofErr w:type="gramEnd"/>
          </w:p>
        </w:tc>
        <w:tc>
          <w:tcPr>
            <w:tcW w:w="8495" w:type="dxa"/>
          </w:tcPr>
          <w:p w14:paraId="256F0F80" w14:textId="77777777" w:rsidR="00441882" w:rsidRPr="00163AC8" w:rsidRDefault="00441882" w:rsidP="00E33BBC">
            <w:pPr>
              <w:keepLines/>
              <w:tabs>
                <w:tab w:val="left" w:pos="2065"/>
              </w:tabs>
              <w:spacing w:after="60"/>
              <w:ind w:right="34"/>
              <w:rPr>
                <w:i/>
                <w:sz w:val="20"/>
                <w:szCs w:val="20"/>
              </w:rPr>
            </w:pPr>
            <w:proofErr w:type="gramStart"/>
            <w:r w:rsidRPr="00163AC8">
              <w:rPr>
                <w:i/>
                <w:sz w:val="20"/>
                <w:szCs w:val="20"/>
              </w:rPr>
              <w:t>A 2. Körzetben a 698</w:t>
            </w:r>
            <w:r w:rsidRPr="00163AC8">
              <w:rPr>
                <w:rFonts w:cs="Arial"/>
                <w:i/>
                <w:sz w:val="20"/>
                <w:szCs w:val="20"/>
              </w:rPr>
              <w:sym w:font="Symbol" w:char="F02D"/>
            </w:r>
            <w:r w:rsidRPr="00163AC8">
              <w:rPr>
                <w:i/>
                <w:sz w:val="20"/>
                <w:szCs w:val="20"/>
              </w:rPr>
              <w:t>960 MHz frekvenciasávnak, valamint az 1. Körzetben 694</w:t>
            </w:r>
            <w:r w:rsidRPr="00163AC8">
              <w:rPr>
                <w:rFonts w:cs="Arial"/>
                <w:i/>
                <w:sz w:val="20"/>
                <w:szCs w:val="20"/>
              </w:rPr>
              <w:sym w:font="Symbol" w:char="F02D"/>
            </w:r>
            <w:r w:rsidRPr="00163AC8">
              <w:rPr>
                <w:rFonts w:cs="Arial"/>
                <w:i/>
                <w:sz w:val="20"/>
                <w:szCs w:val="20"/>
              </w:rPr>
              <w:t>7</w:t>
            </w:r>
            <w:r w:rsidRPr="00163AC8">
              <w:rPr>
                <w:i/>
                <w:sz w:val="20"/>
                <w:szCs w:val="20"/>
              </w:rPr>
              <w:t>90 MHz frekvenciasávnak és a 3. Körzetben a 790</w:t>
            </w:r>
            <w:r w:rsidRPr="00163AC8">
              <w:rPr>
                <w:rFonts w:cs="Arial"/>
                <w:i/>
                <w:sz w:val="20"/>
                <w:szCs w:val="20"/>
              </w:rPr>
              <w:sym w:font="Symbol" w:char="F02D"/>
            </w:r>
            <w:r w:rsidRPr="00163AC8">
              <w:rPr>
                <w:i/>
                <w:sz w:val="20"/>
                <w:szCs w:val="20"/>
              </w:rPr>
              <w:t>960 MHz frekvenciasávnak azon részei, amelyek a mozgószolgálat számára elsődleges jelleggel vannak felosztva, azon igazgatások általi használatra vannak szánva, amelyek a nemzetközi mozgó távközlést (IMT</w:t>
            </w:r>
            <w:r w:rsidR="00EE5A4C" w:rsidRPr="0033257E">
              <w:rPr>
                <w:vertAlign w:val="superscript"/>
              </w:rPr>
              <w:footnoteReference w:id="24"/>
            </w:r>
            <w:r w:rsidRPr="00163AC8">
              <w:rPr>
                <w:i/>
                <w:sz w:val="20"/>
                <w:szCs w:val="20"/>
              </w:rPr>
              <w:t xml:space="preserve">) kívánják megvalósítani – lásd a </w:t>
            </w:r>
            <w:r w:rsidRPr="00163AC8">
              <w:rPr>
                <w:b/>
                <w:i/>
                <w:sz w:val="20"/>
                <w:szCs w:val="20"/>
              </w:rPr>
              <w:t>224. (Rev.WRC</w:t>
            </w:r>
            <w:r w:rsidRPr="00163AC8">
              <w:rPr>
                <w:b/>
                <w:i/>
                <w:sz w:val="20"/>
                <w:szCs w:val="20"/>
              </w:rPr>
              <w:noBreakHyphen/>
              <w:t>15), 760. (WRC</w:t>
            </w:r>
            <w:r w:rsidRPr="00163AC8">
              <w:rPr>
                <w:b/>
                <w:i/>
                <w:sz w:val="20"/>
                <w:szCs w:val="20"/>
              </w:rPr>
              <w:noBreakHyphen/>
              <w:t>15)</w:t>
            </w:r>
            <w:r w:rsidR="00E33BBC" w:rsidRPr="00163AC8">
              <w:rPr>
                <w:i/>
                <w:vertAlign w:val="superscript"/>
              </w:rPr>
              <w:t xml:space="preserve"> </w:t>
            </w:r>
            <w:r w:rsidRPr="00163AC8">
              <w:rPr>
                <w:i/>
                <w:sz w:val="20"/>
                <w:szCs w:val="20"/>
              </w:rPr>
              <w:t xml:space="preserve">és a </w:t>
            </w:r>
            <w:r w:rsidRPr="00163AC8">
              <w:rPr>
                <w:b/>
                <w:i/>
                <w:sz w:val="20"/>
                <w:szCs w:val="20"/>
              </w:rPr>
              <w:t>749. (Rev.WRC</w:t>
            </w:r>
            <w:r w:rsidRPr="00163AC8">
              <w:rPr>
                <w:b/>
                <w:i/>
                <w:sz w:val="20"/>
                <w:szCs w:val="20"/>
              </w:rPr>
              <w:noBreakHyphen/>
              <w:t>15)</w:t>
            </w:r>
            <w:r w:rsidR="00E33BBC" w:rsidRPr="00163AC8">
              <w:rPr>
                <w:i/>
                <w:vertAlign w:val="superscript"/>
              </w:rPr>
              <w:t xml:space="preserve"> </w:t>
            </w:r>
            <w:r w:rsidR="00E33BBC" w:rsidRPr="00163AC8">
              <w:rPr>
                <w:i/>
                <w:vertAlign w:val="superscript"/>
              </w:rPr>
              <w:footnoteReference w:id="25"/>
            </w:r>
            <w:r w:rsidRPr="00163AC8">
              <w:rPr>
                <w:b/>
                <w:i/>
                <w:sz w:val="20"/>
                <w:szCs w:val="20"/>
              </w:rPr>
              <w:t xml:space="preserve"> </w:t>
            </w:r>
            <w:r w:rsidRPr="00163AC8">
              <w:rPr>
                <w:i/>
                <w:sz w:val="20"/>
                <w:szCs w:val="20"/>
              </w:rPr>
              <w:t>Határozatot, ahol alkalmazható.</w:t>
            </w:r>
            <w:proofErr w:type="gramEnd"/>
            <w:r w:rsidRPr="00163AC8">
              <w:rPr>
                <w:i/>
                <w:sz w:val="20"/>
                <w:szCs w:val="20"/>
              </w:rPr>
              <w:t xml:space="preserve"> Ez a meghatározás nem zárja ki, hogy ezen frekvenciasávokat azon szolgálatok bármely alkalmazása használja, amelyek számára ezeket felosztották, továbbá a Rádiószabályzatban sem állapít meg</w:t>
            </w:r>
            <w:r w:rsidRPr="00163AC8" w:rsidDel="00F95DFB">
              <w:rPr>
                <w:i/>
                <w:sz w:val="20"/>
                <w:szCs w:val="20"/>
              </w:rPr>
              <w:t xml:space="preserve"> </w:t>
            </w:r>
            <w:r w:rsidRPr="00163AC8">
              <w:rPr>
                <w:i/>
                <w:sz w:val="20"/>
                <w:szCs w:val="20"/>
              </w:rPr>
              <w:t>elsőbbséget. (WRC</w:t>
            </w:r>
            <w:r w:rsidRPr="00163AC8">
              <w:rPr>
                <w:i/>
                <w:sz w:val="20"/>
                <w:szCs w:val="20"/>
              </w:rPr>
              <w:noBreakHyphen/>
              <w:t>15)</w:t>
            </w:r>
          </w:p>
        </w:tc>
      </w:tr>
    </w:tbl>
    <w:p w14:paraId="207CFFDF" w14:textId="3BE018F6" w:rsidR="007565F7" w:rsidRDefault="007565F7" w:rsidP="007565F7">
      <w:pPr>
        <w:pStyle w:val="Behzottbekezdsnmhh"/>
      </w:pPr>
      <w:r w:rsidRPr="00E36920">
        <w:t>A WRC-15 értekezlet</w:t>
      </w:r>
      <w:r w:rsidR="00AC75E9">
        <w:t xml:space="preserve"> eredményeképpen</w:t>
      </w:r>
      <w:r w:rsidRPr="00E36920">
        <w:t xml:space="preserve"> a 700 MHz-es sáv az ITU mindhárom körzetében </w:t>
      </w:r>
      <w:proofErr w:type="spellStart"/>
      <w:r w:rsidR="00AC75E9">
        <w:t>elősdleges</w:t>
      </w:r>
      <w:proofErr w:type="spellEnd"/>
      <w:r w:rsidR="00AC75E9">
        <w:t xml:space="preserve"> jelleggel felosztásra került</w:t>
      </w:r>
      <w:r w:rsidRPr="00E36920">
        <w:t xml:space="preserve"> a mozgószolgálat számára (a műsorszórás mellett)</w:t>
      </w:r>
      <w:r w:rsidR="003D2DC9">
        <w:t xml:space="preserve">, </w:t>
      </w:r>
      <w:r w:rsidR="00AC75E9">
        <w:t>és</w:t>
      </w:r>
      <w:r w:rsidRPr="00E36920">
        <w:t xml:space="preserve"> szélessávú mozgószolgálati alkalmazások</w:t>
      </w:r>
      <w:r w:rsidR="00AC75E9">
        <w:t xml:space="preserve"> (IMT)</w:t>
      </w:r>
      <w:r w:rsidR="003D2DC9">
        <w:t xml:space="preserve"> számára használható</w:t>
      </w:r>
      <w:r w:rsidR="00AC75E9">
        <w:t>vá</w:t>
      </w:r>
      <w:r w:rsidR="003D2DC9">
        <w:t xml:space="preserve"> vált</w:t>
      </w:r>
      <w:r w:rsidRPr="00E36920">
        <w:t xml:space="preserve">. </w:t>
      </w:r>
      <w:r>
        <w:t xml:space="preserve">A frekvenciaelrendezés kialakításakor fontos szempont volt a régiók (Európa, Ázsia és Csendes-óceáni régió) közötti harmonizáció a méretgazdaságos eszközgyártás és az akadálytalan globális roaming érdekében. </w:t>
      </w:r>
    </w:p>
    <w:p w14:paraId="7670D5B7" w14:textId="2D99C5E1" w:rsidR="00915776" w:rsidRDefault="00BE7933" w:rsidP="00915776">
      <w:pPr>
        <w:pStyle w:val="Behzottbekezdsnmhh"/>
      </w:pPr>
      <w:r>
        <w:t>A</w:t>
      </w:r>
      <w:r w:rsidR="007565F7">
        <w:t xml:space="preserve">z IMT-re azonosított frekvenciasávokat és csatornaelrendezéseket </w:t>
      </w:r>
      <w:r>
        <w:t>az</w:t>
      </w:r>
      <w:r w:rsidRPr="00BE3166">
        <w:t xml:space="preserve"> ITU-R M. 1036-5</w:t>
      </w:r>
      <w:r w:rsidRPr="00BE7933">
        <w:rPr>
          <w:vertAlign w:val="superscript"/>
        </w:rPr>
        <w:footnoteReference w:id="26"/>
      </w:r>
      <w:r w:rsidRPr="00BE7933">
        <w:t xml:space="preserve"> ajánlás</w:t>
      </w:r>
      <w:r>
        <w:t xml:space="preserve"> tartalmazza.</w:t>
      </w:r>
      <w:r w:rsidR="000A21A7">
        <w:t xml:space="preserve"> </w:t>
      </w:r>
      <w:r w:rsidR="00915776" w:rsidRPr="00915776">
        <w:t xml:space="preserve">A </w:t>
      </w:r>
      <w:r w:rsidR="003E5730">
        <w:t xml:space="preserve">700 MHz-es </w:t>
      </w:r>
      <w:r w:rsidR="005D5213">
        <w:t>frekvencia</w:t>
      </w:r>
      <w:r w:rsidR="003E5730">
        <w:t xml:space="preserve">sáv </w:t>
      </w:r>
      <w:r w:rsidR="00F22714">
        <w:t>néhány</w:t>
      </w:r>
      <w:r w:rsidR="00915776" w:rsidRPr="00915776">
        <w:t xml:space="preserve"> országban elsődleges jelleggel</w:t>
      </w:r>
      <w:r w:rsidR="008A5D41">
        <w:t xml:space="preserve"> a</w:t>
      </w:r>
      <w:r w:rsidR="00915776" w:rsidRPr="00915776">
        <w:t xml:space="preserve"> légi rádiónavigáció szolgálat (</w:t>
      </w:r>
      <w:r w:rsidR="002C3396">
        <w:t xml:space="preserve">a továbbiakban: </w:t>
      </w:r>
      <w:r w:rsidR="00915776" w:rsidRPr="00915776">
        <w:t>ARNS</w:t>
      </w:r>
      <w:r w:rsidR="002A763E" w:rsidRPr="008A5D41">
        <w:rPr>
          <w:vertAlign w:val="superscript"/>
        </w:rPr>
        <w:footnoteReference w:id="27"/>
      </w:r>
      <w:r w:rsidR="00915776" w:rsidRPr="00915776">
        <w:t xml:space="preserve">) számára is </w:t>
      </w:r>
      <w:r w:rsidR="007107C7">
        <w:t>felosztott</w:t>
      </w:r>
      <w:r w:rsidR="008A5D41">
        <w:t xml:space="preserve"> </w:t>
      </w:r>
      <w:r w:rsidR="003E5730">
        <w:t xml:space="preserve">a </w:t>
      </w:r>
      <w:r w:rsidR="008A5D41" w:rsidRPr="00915776">
        <w:t>Nemzetközi Rádiószabályzat 5.312 lábjegyzete alapján</w:t>
      </w:r>
      <w:r w:rsidR="008A5D41">
        <w:t>:</w:t>
      </w:r>
      <w:r w:rsidR="00915776" w:rsidRPr="00915776">
        <w:t xml:space="preserve"> </w:t>
      </w:r>
    </w:p>
    <w:tbl>
      <w:tblPr>
        <w:tblStyle w:val="Rcsostblza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221"/>
      </w:tblGrid>
      <w:tr w:rsidR="00261CF7" w:rsidRPr="007107C7" w14:paraId="0E0E41CB" w14:textId="77777777" w:rsidTr="008A5D41">
        <w:trPr>
          <w:cantSplit/>
          <w:trHeight w:val="57"/>
        </w:trPr>
        <w:tc>
          <w:tcPr>
            <w:tcW w:w="1135" w:type="dxa"/>
          </w:tcPr>
          <w:p w14:paraId="61C3C72A" w14:textId="77777777" w:rsidR="00261CF7" w:rsidRPr="007107C7" w:rsidRDefault="00261CF7" w:rsidP="007107C7">
            <w:pPr>
              <w:widowControl w:val="0"/>
              <w:spacing w:after="60"/>
              <w:rPr>
                <w:b/>
                <w:i/>
                <w:sz w:val="20"/>
                <w:szCs w:val="20"/>
              </w:rPr>
            </w:pPr>
            <w:r w:rsidRPr="007107C7">
              <w:rPr>
                <w:b/>
                <w:i/>
                <w:sz w:val="20"/>
                <w:szCs w:val="20"/>
              </w:rPr>
              <w:t>5.312</w:t>
            </w:r>
          </w:p>
        </w:tc>
        <w:tc>
          <w:tcPr>
            <w:tcW w:w="8221" w:type="dxa"/>
          </w:tcPr>
          <w:p w14:paraId="2EBC6F80" w14:textId="77777777" w:rsidR="00261CF7" w:rsidRPr="007107C7" w:rsidRDefault="00261CF7" w:rsidP="007107C7">
            <w:pPr>
              <w:widowControl w:val="0"/>
              <w:spacing w:after="60"/>
              <w:ind w:left="-108"/>
              <w:rPr>
                <w:i/>
                <w:sz w:val="20"/>
                <w:szCs w:val="20"/>
              </w:rPr>
            </w:pPr>
            <w:proofErr w:type="gramStart"/>
            <w:r w:rsidRPr="007107C7">
              <w:rPr>
                <w:i/>
                <w:sz w:val="20"/>
                <w:szCs w:val="20"/>
              </w:rPr>
              <w:t>Járulékos felosztás: Örményországban, Azerbajdzsánban, Fehéroroszországban, az Oroszországi Föderációban, Grúziában, Kazahsztánban, Üzbegisztánban, Kirgizisztánban, Tádzsikisztánban, Türkmenisztánban és Ukrajnában a 645</w:t>
            </w:r>
            <w:r w:rsidRPr="007107C7">
              <w:rPr>
                <w:i/>
                <w:sz w:val="20"/>
                <w:szCs w:val="20"/>
              </w:rPr>
              <w:sym w:font="Symbol" w:char="F02D"/>
            </w:r>
            <w:r w:rsidRPr="007107C7">
              <w:rPr>
                <w:i/>
                <w:sz w:val="20"/>
                <w:szCs w:val="20"/>
              </w:rPr>
              <w:t>862 MHz frekvenciasávot, Bulgáriában a 646</w:t>
            </w:r>
            <w:r w:rsidRPr="007107C7">
              <w:rPr>
                <w:i/>
                <w:sz w:val="20"/>
                <w:szCs w:val="20"/>
              </w:rPr>
              <w:sym w:font="Symbol" w:char="F02D"/>
            </w:r>
            <w:r w:rsidRPr="007107C7">
              <w:rPr>
                <w:i/>
                <w:sz w:val="20"/>
                <w:szCs w:val="20"/>
              </w:rPr>
              <w:t>686 MHz, 726</w:t>
            </w:r>
            <w:r w:rsidRPr="007107C7">
              <w:rPr>
                <w:i/>
                <w:sz w:val="20"/>
                <w:szCs w:val="20"/>
              </w:rPr>
              <w:sym w:font="Symbol" w:char="F02D"/>
            </w:r>
            <w:r w:rsidRPr="007107C7">
              <w:rPr>
                <w:i/>
                <w:sz w:val="20"/>
                <w:szCs w:val="20"/>
              </w:rPr>
              <w:t>758 MHz, 766</w:t>
            </w:r>
            <w:r w:rsidRPr="007107C7">
              <w:rPr>
                <w:i/>
                <w:sz w:val="20"/>
                <w:szCs w:val="20"/>
              </w:rPr>
              <w:sym w:font="Symbol" w:char="F02D"/>
            </w:r>
            <w:r w:rsidRPr="007107C7">
              <w:rPr>
                <w:i/>
                <w:sz w:val="20"/>
                <w:szCs w:val="20"/>
              </w:rPr>
              <w:t>814 MHz és a 822</w:t>
            </w:r>
            <w:r w:rsidRPr="007107C7">
              <w:rPr>
                <w:i/>
                <w:sz w:val="20"/>
                <w:szCs w:val="20"/>
              </w:rPr>
              <w:sym w:font="Symbol" w:char="F02D"/>
            </w:r>
            <w:r w:rsidRPr="007107C7">
              <w:rPr>
                <w:i/>
                <w:sz w:val="20"/>
                <w:szCs w:val="20"/>
              </w:rPr>
              <w:t>862 MHz frekvenciasávot, valamint Lengyelországban 2017. december 31-ig a 860</w:t>
            </w:r>
            <w:r w:rsidRPr="007107C7">
              <w:rPr>
                <w:i/>
                <w:sz w:val="20"/>
                <w:szCs w:val="20"/>
              </w:rPr>
              <w:sym w:font="Symbol" w:char="F02D"/>
            </w:r>
            <w:r w:rsidRPr="007107C7">
              <w:rPr>
                <w:i/>
                <w:sz w:val="20"/>
                <w:szCs w:val="20"/>
              </w:rPr>
              <w:t>862 MHz sávot elsődleges jelleggel a légi rádiónavigáció szolgálat számára is felosztották.</w:t>
            </w:r>
            <w:proofErr w:type="gramEnd"/>
            <w:r w:rsidRPr="007107C7">
              <w:rPr>
                <w:i/>
                <w:sz w:val="20"/>
                <w:szCs w:val="20"/>
              </w:rPr>
              <w:t xml:space="preserve"> (WRC</w:t>
            </w:r>
            <w:r w:rsidRPr="007107C7">
              <w:rPr>
                <w:i/>
                <w:sz w:val="20"/>
                <w:szCs w:val="20"/>
              </w:rPr>
              <w:noBreakHyphen/>
              <w:t>15)</w:t>
            </w:r>
          </w:p>
        </w:tc>
      </w:tr>
    </w:tbl>
    <w:p w14:paraId="6DA77277" w14:textId="08DA03E6" w:rsidR="000E5055" w:rsidRDefault="000E5055" w:rsidP="000E5055">
      <w:pPr>
        <w:pStyle w:val="Behzottbekezdsnmhh"/>
      </w:pPr>
      <w:r>
        <w:t xml:space="preserve">A 700 MHz-es sáv </w:t>
      </w:r>
      <w:r w:rsidR="002A763E">
        <w:t xml:space="preserve">IMT </w:t>
      </w:r>
      <w:r>
        <w:t xml:space="preserve">célú felhasználása több szabályozási kérdést is felvetett, </w:t>
      </w:r>
      <w:r w:rsidR="009106BD">
        <w:t>ezek közé tartozik</w:t>
      </w:r>
      <w:r>
        <w:t xml:space="preserve"> a mobil felhasználói készülékek</w:t>
      </w:r>
      <w:r w:rsidR="009B74CD">
        <w:t xml:space="preserve"> </w:t>
      </w:r>
      <w:r>
        <w:t xml:space="preserve">700 MHz-es sávon kívüli (a műsorszóró sávon belüli) megengedett </w:t>
      </w:r>
      <w:r w:rsidR="009106BD">
        <w:t xml:space="preserve">sugárzási </w:t>
      </w:r>
      <w:r>
        <w:t xml:space="preserve">szintjének meghatározása, a mozgószolgálat és műsorszórás közötti </w:t>
      </w:r>
      <w:r w:rsidR="005D5213">
        <w:t xml:space="preserve">összeférhetőségi </w:t>
      </w:r>
      <w:r>
        <w:t>kérdések, valamint a</w:t>
      </w:r>
      <w:r w:rsidR="00DC1EBC">
        <w:t>z</w:t>
      </w:r>
      <w:r>
        <w:t xml:space="preserve"> </w:t>
      </w:r>
      <w:r w:rsidR="009106BD">
        <w:t xml:space="preserve">IMT és </w:t>
      </w:r>
      <w:r>
        <w:t>ARNS közös sáv</w:t>
      </w:r>
      <w:r w:rsidR="009106BD">
        <w:t>használatával</w:t>
      </w:r>
      <w:r>
        <w:t xml:space="preserve"> kapcsolatos műszaki kritériumok elfogadása</w:t>
      </w:r>
      <w:r w:rsidR="00CA309E">
        <w:t xml:space="preserve"> is</w:t>
      </w:r>
      <w:r>
        <w:t xml:space="preserve">. </w:t>
      </w:r>
    </w:p>
    <w:p w14:paraId="4BDF2728" w14:textId="2ED4507E" w:rsidR="00C55DAF" w:rsidRDefault="000E5055" w:rsidP="000E5055">
      <w:pPr>
        <w:pStyle w:val="Behzottbekezdsnmhh"/>
      </w:pPr>
      <w:r>
        <w:t>A m</w:t>
      </w:r>
      <w:r w:rsidR="00C55DAF">
        <w:t>ű</w:t>
      </w:r>
      <w:r>
        <w:t xml:space="preserve">sorszórás védelmével kapcsolatban a WRC-15 arra az álláspontra jutott, hogy nincs szükség további </w:t>
      </w:r>
      <w:r w:rsidR="005D5213">
        <w:t>szabályozási előírásra</w:t>
      </w:r>
      <w:r>
        <w:t xml:space="preserve">, az IMT és a műsorszórás közötti </w:t>
      </w:r>
      <w:r w:rsidR="00C55DAF">
        <w:t xml:space="preserve">nemzetközi </w:t>
      </w:r>
      <w:r>
        <w:t>koordinációra vonatkozóan a GE06 megállapodás tartalmazza a szükséges eljárás</w:t>
      </w:r>
      <w:r w:rsidR="00C55DAF">
        <w:t xml:space="preserve">okat. </w:t>
      </w:r>
    </w:p>
    <w:p w14:paraId="4AEE00F9" w14:textId="16E3675B" w:rsidR="008A5D41" w:rsidRDefault="00C55DAF" w:rsidP="00915776">
      <w:pPr>
        <w:pStyle w:val="Behzottbekezdsnmhh"/>
      </w:pPr>
      <w:r>
        <w:t>A</w:t>
      </w:r>
      <w:r w:rsidR="00AC75E9">
        <w:t>z RR</w:t>
      </w:r>
      <w:r>
        <w:t xml:space="preserve"> </w:t>
      </w:r>
      <w:r w:rsidR="000E5055">
        <w:t>5.312 lábjegyzetében felsorolt országok</w:t>
      </w:r>
      <w:r>
        <w:t>ban működő</w:t>
      </w:r>
      <w:r w:rsidR="000E5055">
        <w:t xml:space="preserve"> ARNS rendszerek jelentős mértékben korlátozhatják a 700 MHz-es </w:t>
      </w:r>
      <w:r w:rsidR="005D5213">
        <w:t>frekvencia</w:t>
      </w:r>
      <w:r w:rsidR="000E5055">
        <w:t>sáv mozgószolgálatra történő felhasználását</w:t>
      </w:r>
      <w:r>
        <w:t>, ezért a</w:t>
      </w:r>
      <w:r w:rsidR="000E5055">
        <w:t xml:space="preserve"> 700 MHz-es </w:t>
      </w:r>
      <w:r w:rsidR="005D5213">
        <w:t>frekvencia</w:t>
      </w:r>
      <w:r w:rsidR="000E5055">
        <w:t xml:space="preserve">sáv </w:t>
      </w:r>
      <w:r w:rsidR="002A763E">
        <w:t xml:space="preserve">IMT </w:t>
      </w:r>
      <w:r w:rsidR="000E5055">
        <w:t xml:space="preserve">célú </w:t>
      </w:r>
      <w:r w:rsidR="005D5213">
        <w:t xml:space="preserve">használatának </w:t>
      </w:r>
      <w:r w:rsidR="000E5055">
        <w:t>lehetővé tételéhez kétoldalú koordinációs megállapodás</w:t>
      </w:r>
      <w:r>
        <w:t>okat kellett kötni az érintett országoknak</w:t>
      </w:r>
      <w:r w:rsidR="000E5055">
        <w:t xml:space="preserve"> az eltérő </w:t>
      </w:r>
      <w:r w:rsidR="003C4096">
        <w:t xml:space="preserve">rádióspektrum-használatból </w:t>
      </w:r>
      <w:r w:rsidR="000E5055">
        <w:t>eredő problémák elkerülésére.</w:t>
      </w:r>
      <w:r>
        <w:t xml:space="preserve"> </w:t>
      </w:r>
      <w:r w:rsidR="008A5D41" w:rsidRPr="00915776">
        <w:t xml:space="preserve">A szomszédos országok közül Ukrajna üzemeltet ARNS </w:t>
      </w:r>
      <w:r w:rsidR="007107C7">
        <w:t xml:space="preserve">berendezéseket, így </w:t>
      </w:r>
      <w:r w:rsidR="007107C7">
        <w:lastRenderedPageBreak/>
        <w:t>Magyarországnak - a többi érintett országhoz hasonlóan - megállapodást kellett kötnie Ukrajnával az ARNS védelmének biztosítása érdekében.</w:t>
      </w:r>
      <w:r w:rsidR="008A5D41" w:rsidRPr="00915776">
        <w:t xml:space="preserve"> </w:t>
      </w:r>
    </w:p>
    <w:p w14:paraId="27A82953" w14:textId="0C7E144D" w:rsidR="00E24479" w:rsidRDefault="00782920" w:rsidP="001E50C0">
      <w:pPr>
        <w:pStyle w:val="Behzottbekezdsnmhh"/>
      </w:pPr>
      <w:r>
        <w:t xml:space="preserve">Az </w:t>
      </w:r>
      <w:r w:rsidR="003C4096">
        <w:t xml:space="preserve">RR </w:t>
      </w:r>
      <w:r>
        <w:t xml:space="preserve">5.296 lábjegyzet alapján </w:t>
      </w:r>
      <w:r w:rsidR="00FD24C3" w:rsidRPr="00FD24C3">
        <w:t xml:space="preserve">a </w:t>
      </w:r>
      <w:r w:rsidR="00C55DAF" w:rsidRPr="00C55DAF">
        <w:t>470</w:t>
      </w:r>
      <w:r w:rsidR="00C55DAF" w:rsidRPr="00C55DAF">
        <w:rPr>
          <w:rFonts w:cs="Arial"/>
        </w:rPr>
        <w:sym w:font="Symbol" w:char="F02D"/>
      </w:r>
      <w:r w:rsidR="00C55DAF" w:rsidRPr="00C55DAF">
        <w:t>698 MHz</w:t>
      </w:r>
      <w:r w:rsidR="00C55DAF">
        <w:t xml:space="preserve">-es </w:t>
      </w:r>
      <w:r w:rsidR="00FD24C3" w:rsidRPr="00FD24C3">
        <w:t>sáv</w:t>
      </w:r>
      <w:r w:rsidR="00E24479">
        <w:t>ot</w:t>
      </w:r>
      <w:r w:rsidR="00C55DAF">
        <w:t xml:space="preserve">, </w:t>
      </w:r>
      <w:r w:rsidR="00C55DAF" w:rsidRPr="00280A1B">
        <w:t>másodlagos jelleggel,</w:t>
      </w:r>
      <w:r w:rsidR="00C55DAF">
        <w:t xml:space="preserve"> </w:t>
      </w:r>
      <w:r w:rsidR="00FD24C3">
        <w:t xml:space="preserve">több országban </w:t>
      </w:r>
      <w:r w:rsidRPr="001C1725">
        <w:t>a földi mozgószolgálat számára is</w:t>
      </w:r>
      <w:r w:rsidR="00C55DAF">
        <w:t xml:space="preserve"> felosztott</w:t>
      </w:r>
      <w:r w:rsidR="00E24479">
        <w:t>ák</w:t>
      </w:r>
      <w:r w:rsidR="00C55DAF">
        <w:t xml:space="preserve"> a</w:t>
      </w:r>
      <w:r w:rsidRPr="001C1725">
        <w:t xml:space="preserve"> műsorszórás</w:t>
      </w:r>
      <w:r>
        <w:t>t</w:t>
      </w:r>
      <w:r w:rsidR="00F22714">
        <w:t xml:space="preserve"> és műsorgyártást</w:t>
      </w:r>
      <w:r>
        <w:t xml:space="preserve"> kisegítő alkalmazások céljára. </w:t>
      </w:r>
    </w:p>
    <w:p w14:paraId="794618F6" w14:textId="48836AFD" w:rsidR="00EF48FA" w:rsidRDefault="00EF48FA" w:rsidP="00EF48FA">
      <w:pPr>
        <w:pStyle w:val="Behzottbekezdsnmhh"/>
      </w:pPr>
      <w:r>
        <w:t xml:space="preserve">A 694-790 MHz </w:t>
      </w:r>
      <w:r w:rsidR="003C4096">
        <w:t>frekvencia</w:t>
      </w:r>
      <w:r>
        <w:t xml:space="preserve">sáv </w:t>
      </w:r>
      <w:r w:rsidR="003C4096">
        <w:t>mozgó szolgálati</w:t>
      </w:r>
      <w:r>
        <w:t xml:space="preserve"> felosztásával összhangban a WRC-15 módosította </w:t>
      </w:r>
      <w:r w:rsidR="001C65BD" w:rsidRPr="00887FC9">
        <w:t>a 700 MH</w:t>
      </w:r>
      <w:r w:rsidR="001C65BD">
        <w:t>z</w:t>
      </w:r>
      <w:r w:rsidR="001C65BD" w:rsidRPr="00887FC9">
        <w:t xml:space="preserve">-es </w:t>
      </w:r>
      <w:r w:rsidR="003C4096">
        <w:t>frekvencia</w:t>
      </w:r>
      <w:r w:rsidR="001C65BD" w:rsidRPr="00887FC9">
        <w:t xml:space="preserve">sáv egy részét érintő 470-698 MHz-es </w:t>
      </w:r>
      <w:r w:rsidR="003C4096">
        <w:t>frekvencia</w:t>
      </w:r>
      <w:r w:rsidR="001C65BD" w:rsidRPr="00887FC9">
        <w:t xml:space="preserve">sáv másodlagos jellegű </w:t>
      </w:r>
      <w:r w:rsidR="003C4096">
        <w:t>felosztására</w:t>
      </w:r>
      <w:r w:rsidR="003C4096" w:rsidRPr="00887FC9">
        <w:t xml:space="preserve"> </w:t>
      </w:r>
      <w:r w:rsidR="001C65BD" w:rsidRPr="00887FC9">
        <w:t>vonatkozó RR 5.296 lábjegyzetet is, melyhez Magyarország is csatlakozott az értekezleten:</w:t>
      </w:r>
    </w:p>
    <w:tbl>
      <w:tblPr>
        <w:tblStyle w:val="Rcsostblza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639"/>
      </w:tblGrid>
      <w:tr w:rsidR="001C65BD" w:rsidRPr="00D11323" w14:paraId="71918794" w14:textId="77777777" w:rsidTr="004A459F">
        <w:trPr>
          <w:cantSplit/>
          <w:trHeight w:val="57"/>
        </w:trPr>
        <w:tc>
          <w:tcPr>
            <w:tcW w:w="717" w:type="dxa"/>
          </w:tcPr>
          <w:p w14:paraId="11387DF8" w14:textId="77777777" w:rsidR="001C65BD" w:rsidRPr="00D11323" w:rsidRDefault="001C65BD" w:rsidP="004A459F">
            <w:pPr>
              <w:widowControl w:val="0"/>
              <w:spacing w:after="60"/>
              <w:rPr>
                <w:b/>
                <w:i/>
                <w:sz w:val="20"/>
                <w:szCs w:val="20"/>
              </w:rPr>
            </w:pPr>
            <w:r w:rsidRPr="00D11323">
              <w:rPr>
                <w:b/>
                <w:i/>
                <w:sz w:val="20"/>
                <w:szCs w:val="20"/>
              </w:rPr>
              <w:t>5.296</w:t>
            </w:r>
          </w:p>
        </w:tc>
        <w:tc>
          <w:tcPr>
            <w:tcW w:w="8639" w:type="dxa"/>
          </w:tcPr>
          <w:p w14:paraId="3F455C73" w14:textId="77777777" w:rsidR="001C65BD" w:rsidRPr="00394C3C" w:rsidRDefault="001C65BD" w:rsidP="004A459F">
            <w:pPr>
              <w:keepLines/>
              <w:tabs>
                <w:tab w:val="left" w:pos="2065"/>
              </w:tabs>
              <w:spacing w:after="60"/>
              <w:ind w:right="34"/>
              <w:rPr>
                <w:i/>
                <w:sz w:val="20"/>
                <w:szCs w:val="20"/>
              </w:rPr>
            </w:pPr>
            <w:proofErr w:type="gramStart"/>
            <w:r w:rsidRPr="00723F7F">
              <w:rPr>
                <w:i/>
                <w:sz w:val="20"/>
                <w:szCs w:val="20"/>
              </w:rPr>
              <w:t>Járulékos felosztás:</w:t>
            </w:r>
            <w:r w:rsidRPr="00394C3C">
              <w:rPr>
                <w:i/>
                <w:sz w:val="20"/>
                <w:szCs w:val="20"/>
              </w:rPr>
              <w:t xml:space="preserve"> Albániában, Németországban, Angolában, </w:t>
            </w:r>
            <w:r w:rsidRPr="00394C3C">
              <w:rPr>
                <w:rFonts w:cs="Arial"/>
                <w:i/>
                <w:sz w:val="20"/>
                <w:szCs w:val="20"/>
              </w:rPr>
              <w:t>Szaúd-Arábiában,</w:t>
            </w:r>
            <w:r w:rsidRPr="00394C3C">
              <w:rPr>
                <w:i/>
                <w:sz w:val="20"/>
                <w:szCs w:val="20"/>
              </w:rPr>
              <w:t xml:space="preserve"> Ausztriában, Bahreinben, Belgiumban, Beninben, Bosznia-Hercegovinában, Botswanában, Bulgáriában, Burkina Fasóban, Burundiban, Kamerunban, a Vatikánban, a Kongói Köztársaságban, Elefántcsontparton, Horvátországban, Dániában, Dzsibutiban, Egyiptomban, az Egyesült Arab</w:t>
            </w:r>
            <w:r w:rsidRPr="00394C3C">
              <w:rPr>
                <w:rFonts w:cs="Arial"/>
                <w:i/>
                <w:sz w:val="20"/>
                <w:szCs w:val="20"/>
              </w:rPr>
              <w:t xml:space="preserve"> Emírségekben</w:t>
            </w:r>
            <w:r w:rsidRPr="00394C3C">
              <w:rPr>
                <w:i/>
                <w:sz w:val="20"/>
                <w:szCs w:val="20"/>
              </w:rPr>
              <w:t xml:space="preserve">, Spanyolországban, Észtországban, Finnországban, Franciaországban, Gabonban, Grúziában, Ghánában, Magyarországon, Irakban, Írországban, Izlandon, Izraelben, Olaszországban, Jordániában, Kenyában, Kuvaitban, </w:t>
            </w:r>
            <w:proofErr w:type="spellStart"/>
            <w:r w:rsidRPr="00394C3C">
              <w:rPr>
                <w:i/>
                <w:sz w:val="20"/>
                <w:szCs w:val="20"/>
              </w:rPr>
              <w:t>Lesothóban</w:t>
            </w:r>
            <w:proofErr w:type="spellEnd"/>
            <w:r w:rsidRPr="00394C3C">
              <w:rPr>
                <w:i/>
                <w:sz w:val="20"/>
                <w:szCs w:val="20"/>
              </w:rPr>
              <w:t>, Lettországban, Macedónia</w:t>
            </w:r>
            <w:proofErr w:type="gramEnd"/>
            <w:r w:rsidRPr="00394C3C">
              <w:rPr>
                <w:i/>
                <w:sz w:val="20"/>
                <w:szCs w:val="20"/>
              </w:rPr>
              <w:t xml:space="preserve"> </w:t>
            </w:r>
            <w:proofErr w:type="gramStart"/>
            <w:r w:rsidRPr="00394C3C">
              <w:rPr>
                <w:i/>
                <w:sz w:val="20"/>
                <w:szCs w:val="20"/>
              </w:rPr>
              <w:t xml:space="preserve">Volt Jugoszláv Köztársaságban, Libanonban, Líbiában, </w:t>
            </w:r>
            <w:proofErr w:type="spellStart"/>
            <w:r w:rsidRPr="00394C3C">
              <w:rPr>
                <w:i/>
                <w:sz w:val="20"/>
                <w:szCs w:val="20"/>
              </w:rPr>
              <w:t>Lichtensteinben</w:t>
            </w:r>
            <w:proofErr w:type="spellEnd"/>
            <w:r w:rsidRPr="00394C3C">
              <w:rPr>
                <w:i/>
                <w:sz w:val="20"/>
                <w:szCs w:val="20"/>
              </w:rPr>
              <w:t>, Litvániában, Luxemburgban, Malawiban, Maliban, Máltán, Marokkóban, Mauritiuson, Mauritániában, Moldovában, Monacóban, Mozambikban, Namíbiában, Nigerben, Nigériában, Norvégiá</w:t>
            </w:r>
            <w:r w:rsidRPr="003C1265">
              <w:rPr>
                <w:i/>
                <w:sz w:val="20"/>
                <w:szCs w:val="20"/>
              </w:rPr>
              <w:t xml:space="preserve">ban, Ománban, Ugandában, Hollandiában, Lengyelországban, Portugáliában, Katarban, a Szíriai Arab Köztársaságban, Szlovákiában, a Cseh Köztársaságban, az Egyesült Királyságban, Ruandában, San </w:t>
            </w:r>
            <w:proofErr w:type="spellStart"/>
            <w:r w:rsidRPr="003C1265">
              <w:rPr>
                <w:i/>
                <w:sz w:val="20"/>
                <w:szCs w:val="20"/>
              </w:rPr>
              <w:t>Marinóban</w:t>
            </w:r>
            <w:proofErr w:type="spellEnd"/>
            <w:r w:rsidRPr="003C1265">
              <w:rPr>
                <w:i/>
                <w:sz w:val="20"/>
                <w:szCs w:val="20"/>
              </w:rPr>
              <w:t xml:space="preserve">, Szerbiában, Szudánban, a Dél-afrikai Köztársaságban, Svédországban, Svájcban, Szváziföldön, Tanzániában, Csádban, </w:t>
            </w:r>
            <w:proofErr w:type="spellStart"/>
            <w:r w:rsidRPr="003C1265">
              <w:rPr>
                <w:i/>
                <w:sz w:val="20"/>
                <w:szCs w:val="20"/>
              </w:rPr>
              <w:t>Togóban</w:t>
            </w:r>
            <w:proofErr w:type="spellEnd"/>
            <w:r w:rsidRPr="003C1265">
              <w:rPr>
                <w:i/>
                <w:sz w:val="20"/>
                <w:szCs w:val="20"/>
              </w:rPr>
              <w:t>, Tunéziában, Törökországban, Ukrajnában,</w:t>
            </w:r>
            <w:proofErr w:type="gramEnd"/>
            <w:r w:rsidRPr="003C1265">
              <w:rPr>
                <w:i/>
                <w:sz w:val="20"/>
                <w:szCs w:val="20"/>
              </w:rPr>
              <w:t xml:space="preserve"> Zambiában és </w:t>
            </w:r>
            <w:proofErr w:type="spellStart"/>
            <w:r w:rsidRPr="003C1265">
              <w:rPr>
                <w:i/>
                <w:sz w:val="20"/>
                <w:szCs w:val="20"/>
              </w:rPr>
              <w:t>Zimbabweban</w:t>
            </w:r>
            <w:proofErr w:type="spellEnd"/>
            <w:r w:rsidRPr="003C1265">
              <w:rPr>
                <w:i/>
                <w:sz w:val="20"/>
                <w:szCs w:val="20"/>
              </w:rPr>
              <w:t xml:space="preserve"> a 470</w:t>
            </w:r>
            <w:r w:rsidRPr="00394C3C">
              <w:rPr>
                <w:rFonts w:cs="Arial"/>
                <w:i/>
                <w:sz w:val="20"/>
                <w:szCs w:val="20"/>
              </w:rPr>
              <w:sym w:font="Symbol" w:char="F02D"/>
            </w:r>
            <w:r w:rsidRPr="00394C3C">
              <w:rPr>
                <w:rFonts w:cs="Arial"/>
                <w:i/>
                <w:sz w:val="20"/>
                <w:szCs w:val="20"/>
              </w:rPr>
              <w:t>694</w:t>
            </w:r>
            <w:r w:rsidRPr="00394C3C">
              <w:rPr>
                <w:i/>
                <w:sz w:val="20"/>
                <w:szCs w:val="20"/>
              </w:rPr>
              <w:t> MHz frekvenciasávot másodlagos jelleggel a földi mozgószolgálat számára is felosztották, műsorszórást és műsorgyártást kisegítő alkalmazások céljára. Az ebben a lábjegyzetben felsorolt országok földi mozgószolgálatainak állomásai nem okozhatnak káros zavarást az ebben a lábjegyzetben fel nem sorolt országokban a Táblázat szerint üzemelő, már meglévő vagy tervezett állomásoknak. (WRC</w:t>
            </w:r>
            <w:r w:rsidRPr="00394C3C">
              <w:rPr>
                <w:i/>
                <w:sz w:val="20"/>
                <w:szCs w:val="20"/>
              </w:rPr>
              <w:noBreakHyphen/>
              <w:t>15)</w:t>
            </w:r>
            <w:r w:rsidR="007565F7" w:rsidRPr="00394C3C">
              <w:rPr>
                <w:i/>
                <w:sz w:val="20"/>
                <w:szCs w:val="20"/>
              </w:rPr>
              <w:t>.</w:t>
            </w:r>
          </w:p>
          <w:p w14:paraId="62F87AF2" w14:textId="77777777" w:rsidR="00394C3C" w:rsidRPr="003C1265" w:rsidRDefault="00394C3C" w:rsidP="004A459F">
            <w:pPr>
              <w:keepLines/>
              <w:tabs>
                <w:tab w:val="left" w:pos="2065"/>
              </w:tabs>
              <w:spacing w:after="60"/>
              <w:ind w:right="34"/>
              <w:rPr>
                <w:i/>
                <w:sz w:val="20"/>
                <w:szCs w:val="20"/>
              </w:rPr>
            </w:pPr>
          </w:p>
        </w:tc>
      </w:tr>
    </w:tbl>
    <w:p w14:paraId="0963C09E" w14:textId="08F5E029" w:rsidR="002565DC" w:rsidRDefault="002565DC" w:rsidP="00394C3C">
      <w:pPr>
        <w:pStyle w:val="Behzottbekezdsnmhh"/>
      </w:pPr>
      <w:bookmarkStart w:id="10" w:name="_Toc473880718"/>
      <w:r>
        <w:t>A</w:t>
      </w:r>
      <w:r w:rsidR="003C4096">
        <w:t>z</w:t>
      </w:r>
      <w:r>
        <w:t xml:space="preserve"> </w:t>
      </w:r>
      <w:r w:rsidR="003C4096">
        <w:t xml:space="preserve">RR </w:t>
      </w:r>
      <w:r>
        <w:t>646. Határozatának</w:t>
      </w:r>
      <w:r w:rsidR="00FD4B14">
        <w:rPr>
          <w:rStyle w:val="Lbjegyzet-hivatkozs"/>
        </w:rPr>
        <w:footnoteReference w:id="28"/>
      </w:r>
      <w:r>
        <w:t xml:space="preserve"> </w:t>
      </w:r>
      <w:r w:rsidR="00FD4B14">
        <w:t xml:space="preserve">értelmében az ITU 1. Körzetében lehetőség van a 694-790 MHz </w:t>
      </w:r>
      <w:r w:rsidR="003C4096">
        <w:t>frekvencia</w:t>
      </w:r>
      <w:r w:rsidR="00FD4B14">
        <w:t>sáv bizonyos részeit közrend- és katasztrófavédelmi rendszerek (PPDR</w:t>
      </w:r>
      <w:r w:rsidR="00FD4B14">
        <w:rPr>
          <w:rStyle w:val="Lbjegyzet-hivatkozs"/>
        </w:rPr>
        <w:footnoteReference w:id="29"/>
      </w:r>
      <w:r w:rsidR="00FD4B14">
        <w:t>) céljára felhasználni. A PPDR-</w:t>
      </w:r>
      <w:proofErr w:type="spellStart"/>
      <w:r w:rsidR="00FD4B14">
        <w:t>ra</w:t>
      </w:r>
      <w:proofErr w:type="spellEnd"/>
      <w:r w:rsidR="00FD4B14">
        <w:t xml:space="preserve"> azonosított frekvenciasávokat</w:t>
      </w:r>
      <w:r w:rsidR="003841E3">
        <w:t>, sáv-</w:t>
      </w:r>
      <w:r w:rsidR="00FD4B14">
        <w:t xml:space="preserve"> és </w:t>
      </w:r>
      <w:r w:rsidR="00FD4B14" w:rsidRPr="00CA309E">
        <w:t>csatornaelrendezéseket</w:t>
      </w:r>
      <w:r w:rsidR="003841E3">
        <w:t>,</w:t>
      </w:r>
      <w:r w:rsidR="00FD4B14" w:rsidRPr="00CA309E">
        <w:t xml:space="preserve"> </w:t>
      </w:r>
      <w:r w:rsidR="003841E3">
        <w:t xml:space="preserve">valamint </w:t>
      </w:r>
      <w:r w:rsidR="003C4096">
        <w:t xml:space="preserve">csatornaszámozásokat </w:t>
      </w:r>
      <w:r w:rsidR="00FD4B14" w:rsidRPr="00CA309E">
        <w:t>az ITU-R M.2015-2</w:t>
      </w:r>
      <w:r w:rsidR="00CA309E">
        <w:rPr>
          <w:rStyle w:val="Lbjegyzet-hivatkozs"/>
        </w:rPr>
        <w:footnoteReference w:id="30"/>
      </w:r>
      <w:r w:rsidR="00FD4B14">
        <w:t xml:space="preserve"> ajánlás tartalmazza.</w:t>
      </w:r>
      <w:r w:rsidR="00A538A6">
        <w:t xml:space="preserve"> A lehetséges elrendezéseket</w:t>
      </w:r>
      <w:r w:rsidR="00991707">
        <w:t xml:space="preserve"> a </w:t>
      </w:r>
      <w:r w:rsidR="003C4096">
        <w:t>3.1.1</w:t>
      </w:r>
      <w:proofErr w:type="gramStart"/>
      <w:r w:rsidR="003C4096">
        <w:t>.</w:t>
      </w:r>
      <w:r w:rsidR="00605967">
        <w:t>a</w:t>
      </w:r>
      <w:proofErr w:type="gramEnd"/>
      <w:r w:rsidR="00991707">
        <w:t>.</w:t>
      </w:r>
      <w:r w:rsidR="005F4C13">
        <w:t>és a</w:t>
      </w:r>
      <w:r w:rsidR="00991707">
        <w:t xml:space="preserve"> </w:t>
      </w:r>
      <w:r w:rsidR="003C4096">
        <w:t>3.1.1.</w:t>
      </w:r>
      <w:r w:rsidR="00605967">
        <w:t>b</w:t>
      </w:r>
      <w:r w:rsidR="00991707">
        <w:t xml:space="preserve">. </w:t>
      </w:r>
      <w:r w:rsidR="005F4C13">
        <w:t>táblázat</w:t>
      </w:r>
      <w:r w:rsidR="00991707">
        <w:t xml:space="preserve"> tartalmazz</w:t>
      </w:r>
      <w:r w:rsidR="005F4C13">
        <w:t>a</w:t>
      </w:r>
      <w:r w:rsidR="00A538A6">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789"/>
        <w:gridCol w:w="1515"/>
        <w:gridCol w:w="1379"/>
        <w:gridCol w:w="1515"/>
        <w:gridCol w:w="1652"/>
      </w:tblGrid>
      <w:tr w:rsidR="00A538A6" w:rsidRPr="001F7268" w14:paraId="1B6F6FB7" w14:textId="77777777" w:rsidTr="00A538A6">
        <w:trPr>
          <w:jc w:val="center"/>
        </w:trPr>
        <w:tc>
          <w:tcPr>
            <w:tcW w:w="1504" w:type="dxa"/>
            <w:vMerge w:val="restart"/>
            <w:vAlign w:val="center"/>
          </w:tcPr>
          <w:p w14:paraId="2C28FD60" w14:textId="77777777" w:rsidR="00A538A6" w:rsidRPr="00A138B7" w:rsidRDefault="00A538A6" w:rsidP="00A538A6">
            <w:pPr>
              <w:pStyle w:val="Tablehead"/>
              <w:rPr>
                <w:rFonts w:asciiTheme="majorHAnsi" w:hAnsiTheme="majorHAnsi" w:cstheme="majorHAnsi"/>
                <w:sz w:val="16"/>
                <w:szCs w:val="16"/>
                <w:lang w:val="hu-HU"/>
              </w:rPr>
            </w:pPr>
            <w:r w:rsidRPr="00A138B7">
              <w:rPr>
                <w:rFonts w:asciiTheme="majorHAnsi" w:hAnsiTheme="majorHAnsi" w:cstheme="majorHAnsi"/>
                <w:sz w:val="16"/>
                <w:szCs w:val="16"/>
                <w:lang w:val="hu-HU"/>
              </w:rPr>
              <w:t>Frekvencia-elrendezés</w:t>
            </w:r>
          </w:p>
        </w:tc>
        <w:tc>
          <w:tcPr>
            <w:tcW w:w="6198" w:type="dxa"/>
            <w:gridSpan w:val="4"/>
            <w:vAlign w:val="center"/>
          </w:tcPr>
          <w:p w14:paraId="3B8D06C5" w14:textId="77777777" w:rsidR="00A538A6" w:rsidRPr="00A138B7" w:rsidRDefault="00A538A6" w:rsidP="00A538A6">
            <w:pPr>
              <w:pStyle w:val="Tablehead"/>
              <w:rPr>
                <w:rFonts w:asciiTheme="majorHAnsi" w:hAnsiTheme="majorHAnsi" w:cstheme="majorHAnsi"/>
                <w:bCs/>
                <w:sz w:val="16"/>
                <w:szCs w:val="16"/>
                <w:lang w:val="hu-HU"/>
              </w:rPr>
            </w:pPr>
            <w:r w:rsidRPr="00A138B7">
              <w:rPr>
                <w:rFonts w:asciiTheme="majorHAnsi" w:hAnsiTheme="majorHAnsi" w:cstheme="majorHAnsi"/>
                <w:bCs/>
                <w:sz w:val="16"/>
                <w:szCs w:val="16"/>
                <w:lang w:val="hu-HU"/>
              </w:rPr>
              <w:t>Párosított elrendezés</w:t>
            </w:r>
          </w:p>
        </w:tc>
        <w:tc>
          <w:tcPr>
            <w:tcW w:w="1652" w:type="dxa"/>
            <w:vMerge w:val="restart"/>
            <w:vAlign w:val="center"/>
          </w:tcPr>
          <w:p w14:paraId="2C498491" w14:textId="3B029A74" w:rsidR="00A538A6" w:rsidRPr="00A138B7" w:rsidRDefault="00991707" w:rsidP="00A538A6">
            <w:pPr>
              <w:pStyle w:val="Tablehead"/>
              <w:rPr>
                <w:rFonts w:asciiTheme="majorHAnsi" w:hAnsiTheme="majorHAnsi" w:cstheme="majorHAnsi"/>
                <w:sz w:val="16"/>
                <w:szCs w:val="16"/>
                <w:lang w:val="hu-HU"/>
              </w:rPr>
            </w:pPr>
            <w:r>
              <w:rPr>
                <w:rFonts w:asciiTheme="majorHAnsi" w:hAnsiTheme="majorHAnsi" w:cstheme="majorHAnsi"/>
                <w:sz w:val="16"/>
                <w:szCs w:val="16"/>
                <w:lang w:val="hu-HU"/>
              </w:rPr>
              <w:t>Műszaki feltételeket tartalmazó ECC Határozatok</w:t>
            </w:r>
          </w:p>
        </w:tc>
      </w:tr>
      <w:tr w:rsidR="00A538A6" w:rsidRPr="001F7268" w14:paraId="5DF286AF" w14:textId="77777777" w:rsidTr="00A538A6">
        <w:trPr>
          <w:jc w:val="center"/>
        </w:trPr>
        <w:tc>
          <w:tcPr>
            <w:tcW w:w="1504" w:type="dxa"/>
            <w:vMerge/>
            <w:vAlign w:val="center"/>
          </w:tcPr>
          <w:p w14:paraId="1D1D8C6F" w14:textId="77777777" w:rsidR="00A538A6" w:rsidRPr="00D11323" w:rsidRDefault="00A538A6" w:rsidP="00A538A6">
            <w:pPr>
              <w:pStyle w:val="Tablehead"/>
              <w:rPr>
                <w:rFonts w:asciiTheme="majorHAnsi" w:hAnsiTheme="majorHAnsi" w:cstheme="majorHAnsi"/>
                <w:sz w:val="16"/>
                <w:szCs w:val="16"/>
                <w:lang w:val="hu-HU"/>
              </w:rPr>
            </w:pPr>
          </w:p>
        </w:tc>
        <w:tc>
          <w:tcPr>
            <w:tcW w:w="1789" w:type="dxa"/>
            <w:vAlign w:val="center"/>
          </w:tcPr>
          <w:p w14:paraId="11A146B5" w14:textId="77777777" w:rsidR="00A538A6" w:rsidRPr="00D11323" w:rsidRDefault="00A538A6" w:rsidP="00A538A6">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 xml:space="preserve">Mozgó állomás </w:t>
            </w:r>
            <w:r w:rsidRPr="00D11323">
              <w:rPr>
                <w:rFonts w:asciiTheme="majorHAnsi" w:hAnsiTheme="majorHAnsi" w:cstheme="majorHAnsi"/>
                <w:sz w:val="16"/>
                <w:szCs w:val="16"/>
                <w:lang w:val="hu-HU"/>
              </w:rPr>
              <w:br/>
              <w:t>adó</w:t>
            </w:r>
            <w:r w:rsidRPr="00D11323">
              <w:rPr>
                <w:rFonts w:asciiTheme="majorHAnsi" w:hAnsiTheme="majorHAnsi" w:cstheme="majorHAnsi"/>
                <w:sz w:val="16"/>
                <w:szCs w:val="16"/>
                <w:lang w:val="hu-HU"/>
              </w:rPr>
              <w:br/>
              <w:t>(MHz)</w:t>
            </w:r>
          </w:p>
        </w:tc>
        <w:tc>
          <w:tcPr>
            <w:tcW w:w="1515" w:type="dxa"/>
            <w:vAlign w:val="center"/>
          </w:tcPr>
          <w:p w14:paraId="7322530F" w14:textId="77777777" w:rsidR="00A538A6" w:rsidRPr="00D11323" w:rsidRDefault="00A538A6" w:rsidP="00A538A6">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Duplex rés</w:t>
            </w:r>
            <w:r w:rsidRPr="00D11323">
              <w:rPr>
                <w:rFonts w:asciiTheme="majorHAnsi" w:hAnsiTheme="majorHAnsi" w:cstheme="majorHAnsi"/>
                <w:sz w:val="16"/>
                <w:szCs w:val="16"/>
                <w:lang w:val="hu-HU"/>
              </w:rPr>
              <w:br/>
              <w:t>(MHz)</w:t>
            </w:r>
          </w:p>
        </w:tc>
        <w:tc>
          <w:tcPr>
            <w:tcW w:w="1379" w:type="dxa"/>
            <w:vAlign w:val="center"/>
          </w:tcPr>
          <w:p w14:paraId="06D96754" w14:textId="77777777" w:rsidR="00A538A6" w:rsidRPr="00D11323" w:rsidRDefault="00A538A6" w:rsidP="00A538A6">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Bázisállomás adó</w:t>
            </w:r>
            <w:r w:rsidRPr="00D11323">
              <w:rPr>
                <w:rFonts w:asciiTheme="majorHAnsi" w:hAnsiTheme="majorHAnsi" w:cstheme="majorHAnsi"/>
                <w:sz w:val="16"/>
                <w:szCs w:val="16"/>
                <w:lang w:val="hu-HU"/>
              </w:rPr>
              <w:br/>
              <w:t>(MHz)</w:t>
            </w:r>
          </w:p>
        </w:tc>
        <w:tc>
          <w:tcPr>
            <w:tcW w:w="1515" w:type="dxa"/>
            <w:vAlign w:val="center"/>
          </w:tcPr>
          <w:p w14:paraId="5D5DC52D" w14:textId="77777777" w:rsidR="00A538A6" w:rsidRPr="00D11323" w:rsidRDefault="00A538A6" w:rsidP="00A538A6">
            <w:pPr>
              <w:pStyle w:val="Tablehead"/>
              <w:rPr>
                <w:rFonts w:asciiTheme="majorHAnsi" w:hAnsiTheme="majorHAnsi" w:cstheme="majorHAnsi"/>
                <w:sz w:val="16"/>
                <w:szCs w:val="16"/>
                <w:lang w:val="hu-HU"/>
              </w:rPr>
            </w:pPr>
            <w:r w:rsidRPr="00D11323">
              <w:rPr>
                <w:rFonts w:asciiTheme="majorHAnsi" w:hAnsiTheme="majorHAnsi" w:cstheme="majorHAnsi"/>
                <w:sz w:val="16"/>
                <w:szCs w:val="16"/>
                <w:lang w:val="hu-HU"/>
              </w:rPr>
              <w:t>Duplex távolság</w:t>
            </w:r>
            <w:r w:rsidRPr="00D11323">
              <w:rPr>
                <w:rFonts w:asciiTheme="majorHAnsi" w:hAnsiTheme="majorHAnsi" w:cstheme="majorHAnsi"/>
                <w:sz w:val="16"/>
                <w:szCs w:val="16"/>
                <w:vertAlign w:val="superscript"/>
                <w:lang w:val="hu-HU"/>
              </w:rPr>
              <w:br/>
            </w:r>
            <w:r w:rsidRPr="00D11323">
              <w:rPr>
                <w:rFonts w:asciiTheme="majorHAnsi" w:hAnsiTheme="majorHAnsi" w:cstheme="majorHAnsi"/>
                <w:sz w:val="16"/>
                <w:szCs w:val="16"/>
                <w:lang w:val="hu-HU"/>
              </w:rPr>
              <w:t>(MHz)</w:t>
            </w:r>
          </w:p>
        </w:tc>
        <w:tc>
          <w:tcPr>
            <w:tcW w:w="1652" w:type="dxa"/>
            <w:vMerge/>
            <w:vAlign w:val="center"/>
          </w:tcPr>
          <w:p w14:paraId="71622A02" w14:textId="77777777" w:rsidR="00A538A6" w:rsidRPr="00D11323" w:rsidRDefault="00A538A6" w:rsidP="00A538A6">
            <w:pPr>
              <w:pStyle w:val="Tablehead"/>
              <w:rPr>
                <w:rFonts w:asciiTheme="majorHAnsi" w:hAnsiTheme="majorHAnsi" w:cstheme="majorHAnsi"/>
                <w:sz w:val="16"/>
                <w:szCs w:val="16"/>
                <w:lang w:val="hu-HU"/>
              </w:rPr>
            </w:pPr>
          </w:p>
        </w:tc>
      </w:tr>
      <w:tr w:rsidR="00A538A6" w:rsidRPr="001F7268" w14:paraId="3849CB8B" w14:textId="77777777" w:rsidTr="00723F7F">
        <w:trPr>
          <w:jc w:val="center"/>
        </w:trPr>
        <w:tc>
          <w:tcPr>
            <w:tcW w:w="1504" w:type="dxa"/>
            <w:vAlign w:val="center"/>
          </w:tcPr>
          <w:p w14:paraId="3C25E06F" w14:textId="3DAD07F5" w:rsidR="00A538A6" w:rsidRPr="00A138B7"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a)</w:t>
            </w:r>
          </w:p>
        </w:tc>
        <w:tc>
          <w:tcPr>
            <w:tcW w:w="1789" w:type="dxa"/>
            <w:vAlign w:val="center"/>
          </w:tcPr>
          <w:p w14:paraId="141FDBA4" w14:textId="536C928A" w:rsidR="00A538A6" w:rsidRPr="00A138B7"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698-703</w:t>
            </w:r>
          </w:p>
        </w:tc>
        <w:tc>
          <w:tcPr>
            <w:tcW w:w="1515" w:type="dxa"/>
            <w:vAlign w:val="center"/>
          </w:tcPr>
          <w:p w14:paraId="2539E9D6" w14:textId="32E3F476" w:rsidR="00A538A6" w:rsidRPr="00A138B7"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50</w:t>
            </w:r>
          </w:p>
        </w:tc>
        <w:tc>
          <w:tcPr>
            <w:tcW w:w="1379" w:type="dxa"/>
            <w:vAlign w:val="center"/>
          </w:tcPr>
          <w:p w14:paraId="39CC869E" w14:textId="10D8CA2D" w:rsidR="00A538A6" w:rsidRPr="00A138B7" w:rsidRDefault="00A538A6">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753-758</w:t>
            </w:r>
          </w:p>
        </w:tc>
        <w:tc>
          <w:tcPr>
            <w:tcW w:w="1515" w:type="dxa"/>
            <w:vAlign w:val="center"/>
          </w:tcPr>
          <w:p w14:paraId="76552700" w14:textId="5A65F655" w:rsidR="00A538A6" w:rsidRPr="00A138B7" w:rsidRDefault="00A538A6">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55</w:t>
            </w:r>
          </w:p>
        </w:tc>
        <w:tc>
          <w:tcPr>
            <w:tcW w:w="1652" w:type="dxa"/>
            <w:vAlign w:val="center"/>
          </w:tcPr>
          <w:p w14:paraId="3BC60F68" w14:textId="42218F7D" w:rsidR="00A538A6" w:rsidRPr="00A138B7" w:rsidRDefault="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ECC/DEC/(16</w:t>
            </w:r>
            <w:proofErr w:type="gramStart"/>
            <w:r>
              <w:rPr>
                <w:rFonts w:asciiTheme="majorHAnsi" w:hAnsiTheme="majorHAnsi" w:cstheme="majorHAnsi"/>
                <w:sz w:val="16"/>
                <w:szCs w:val="16"/>
                <w:lang w:val="hu-HU"/>
              </w:rPr>
              <w:t>)02</w:t>
            </w:r>
            <w:proofErr w:type="gramEnd"/>
            <w:r>
              <w:rPr>
                <w:rFonts w:asciiTheme="majorHAnsi" w:hAnsiTheme="majorHAnsi" w:cstheme="majorHAnsi"/>
                <w:sz w:val="16"/>
                <w:szCs w:val="16"/>
                <w:lang w:val="hu-HU"/>
              </w:rPr>
              <w:t xml:space="preserve"> 1. Melléklete</w:t>
            </w:r>
          </w:p>
        </w:tc>
      </w:tr>
      <w:tr w:rsidR="00A538A6" w:rsidRPr="001F7268" w14:paraId="0DA3CB2B" w14:textId="77777777" w:rsidTr="00723F7F">
        <w:trPr>
          <w:jc w:val="center"/>
        </w:trPr>
        <w:tc>
          <w:tcPr>
            <w:tcW w:w="1504" w:type="dxa"/>
            <w:vAlign w:val="center"/>
          </w:tcPr>
          <w:p w14:paraId="02126745" w14:textId="5882AC66" w:rsidR="00A538A6"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b)</w:t>
            </w:r>
          </w:p>
        </w:tc>
        <w:tc>
          <w:tcPr>
            <w:tcW w:w="1789" w:type="dxa"/>
            <w:vAlign w:val="center"/>
          </w:tcPr>
          <w:p w14:paraId="17107864" w14:textId="058B050D" w:rsidR="00A538A6" w:rsidRPr="00A138B7"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703-733</w:t>
            </w:r>
          </w:p>
        </w:tc>
        <w:tc>
          <w:tcPr>
            <w:tcW w:w="1515" w:type="dxa"/>
            <w:vAlign w:val="center"/>
          </w:tcPr>
          <w:p w14:paraId="6DE76241" w14:textId="74850157" w:rsidR="00A538A6" w:rsidRPr="00A138B7"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25</w:t>
            </w:r>
          </w:p>
        </w:tc>
        <w:tc>
          <w:tcPr>
            <w:tcW w:w="1379" w:type="dxa"/>
            <w:vAlign w:val="center"/>
          </w:tcPr>
          <w:p w14:paraId="60B144DB" w14:textId="54F4B719" w:rsidR="00A538A6" w:rsidRPr="00A138B7" w:rsidRDefault="00A538A6">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758-788</w:t>
            </w:r>
          </w:p>
        </w:tc>
        <w:tc>
          <w:tcPr>
            <w:tcW w:w="1515" w:type="dxa"/>
            <w:vAlign w:val="center"/>
          </w:tcPr>
          <w:p w14:paraId="0BAB7F78" w14:textId="46CD5E0E" w:rsidR="00A538A6" w:rsidRPr="00A138B7" w:rsidRDefault="00A538A6">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55</w:t>
            </w:r>
          </w:p>
        </w:tc>
        <w:tc>
          <w:tcPr>
            <w:tcW w:w="1652" w:type="dxa"/>
            <w:vAlign w:val="center"/>
          </w:tcPr>
          <w:p w14:paraId="4D45E660" w14:textId="4478AF2C" w:rsidR="00A538A6" w:rsidRDefault="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ECC/DEC/(15</w:t>
            </w:r>
            <w:proofErr w:type="gramStart"/>
            <w:r>
              <w:rPr>
                <w:rFonts w:asciiTheme="majorHAnsi" w:hAnsiTheme="majorHAnsi" w:cstheme="majorHAnsi"/>
                <w:sz w:val="16"/>
                <w:szCs w:val="16"/>
                <w:lang w:val="hu-HU"/>
              </w:rPr>
              <w:t>)01</w:t>
            </w:r>
            <w:proofErr w:type="gramEnd"/>
          </w:p>
        </w:tc>
      </w:tr>
      <w:tr w:rsidR="00A538A6" w:rsidRPr="001F7268" w14:paraId="70CC54F4" w14:textId="77777777" w:rsidTr="00723F7F">
        <w:trPr>
          <w:jc w:val="center"/>
        </w:trPr>
        <w:tc>
          <w:tcPr>
            <w:tcW w:w="1504" w:type="dxa"/>
            <w:vAlign w:val="center"/>
          </w:tcPr>
          <w:p w14:paraId="5FB5DF60" w14:textId="418A7BC5" w:rsidR="00A538A6"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c)</w:t>
            </w:r>
          </w:p>
        </w:tc>
        <w:tc>
          <w:tcPr>
            <w:tcW w:w="1789" w:type="dxa"/>
            <w:vAlign w:val="center"/>
          </w:tcPr>
          <w:p w14:paraId="5F474CE6" w14:textId="52D3BDE8" w:rsidR="00A538A6"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733-736</w:t>
            </w:r>
          </w:p>
        </w:tc>
        <w:tc>
          <w:tcPr>
            <w:tcW w:w="1515" w:type="dxa"/>
            <w:vAlign w:val="center"/>
          </w:tcPr>
          <w:p w14:paraId="4D5E0A64" w14:textId="53147A0A" w:rsidR="00A538A6" w:rsidRDefault="00A538A6" w:rsidP="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52</w:t>
            </w:r>
          </w:p>
        </w:tc>
        <w:tc>
          <w:tcPr>
            <w:tcW w:w="1379" w:type="dxa"/>
            <w:vAlign w:val="center"/>
          </w:tcPr>
          <w:p w14:paraId="2BC17B51" w14:textId="010A403B" w:rsidR="00A538A6" w:rsidRDefault="00A538A6">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788-791</w:t>
            </w:r>
          </w:p>
        </w:tc>
        <w:tc>
          <w:tcPr>
            <w:tcW w:w="1515" w:type="dxa"/>
            <w:vAlign w:val="center"/>
          </w:tcPr>
          <w:p w14:paraId="38A495DD" w14:textId="0680C714" w:rsidR="00A538A6" w:rsidRDefault="00A538A6">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55</w:t>
            </w:r>
          </w:p>
        </w:tc>
        <w:tc>
          <w:tcPr>
            <w:tcW w:w="1652" w:type="dxa"/>
            <w:vAlign w:val="center"/>
          </w:tcPr>
          <w:p w14:paraId="1D16050C" w14:textId="1B40C5B0" w:rsidR="00A538A6" w:rsidRDefault="00991707">
            <w:pPr>
              <w:pStyle w:val="Tabletext"/>
              <w:jc w:val="center"/>
              <w:rPr>
                <w:rFonts w:asciiTheme="majorHAnsi" w:hAnsiTheme="majorHAnsi" w:cstheme="majorHAnsi"/>
                <w:sz w:val="16"/>
                <w:szCs w:val="16"/>
                <w:lang w:val="hu-HU"/>
              </w:rPr>
            </w:pPr>
            <w:r>
              <w:rPr>
                <w:rFonts w:asciiTheme="majorHAnsi" w:hAnsiTheme="majorHAnsi" w:cstheme="majorHAnsi"/>
                <w:sz w:val="16"/>
                <w:szCs w:val="16"/>
                <w:lang w:val="hu-HU"/>
              </w:rPr>
              <w:t>ECC/DEC/(16</w:t>
            </w:r>
            <w:proofErr w:type="gramStart"/>
            <w:r>
              <w:rPr>
                <w:rFonts w:asciiTheme="majorHAnsi" w:hAnsiTheme="majorHAnsi" w:cstheme="majorHAnsi"/>
                <w:sz w:val="16"/>
                <w:szCs w:val="16"/>
                <w:lang w:val="hu-HU"/>
              </w:rPr>
              <w:t>)02</w:t>
            </w:r>
            <w:proofErr w:type="gramEnd"/>
            <w:r>
              <w:rPr>
                <w:rFonts w:asciiTheme="majorHAnsi" w:hAnsiTheme="majorHAnsi" w:cstheme="majorHAnsi"/>
                <w:sz w:val="16"/>
                <w:szCs w:val="16"/>
                <w:lang w:val="hu-HU"/>
              </w:rPr>
              <w:t xml:space="preserve"> 1. Melléklete</w:t>
            </w:r>
          </w:p>
        </w:tc>
      </w:tr>
    </w:tbl>
    <w:p w14:paraId="1D3235DE" w14:textId="3A63DFDA" w:rsidR="00A538A6" w:rsidRDefault="009C7F65" w:rsidP="00723F7F">
      <w:pPr>
        <w:pStyle w:val="Kpalrs"/>
        <w:jc w:val="center"/>
      </w:pPr>
      <w:r>
        <w:t>3.1.1</w:t>
      </w:r>
      <w:proofErr w:type="gramStart"/>
      <w:r>
        <w:t>.</w:t>
      </w:r>
      <w:r w:rsidR="00605967">
        <w:t>a</w:t>
      </w:r>
      <w:proofErr w:type="gramEnd"/>
      <w:r w:rsidR="00A538A6">
        <w:t xml:space="preserve"> táblázat: Lehetséges PPDR </w:t>
      </w:r>
      <w:r w:rsidR="003841E3">
        <w:t>sávelrendezések</w:t>
      </w:r>
    </w:p>
    <w:p w14:paraId="6E61E0AE" w14:textId="7E65CD6A" w:rsidR="00CA5369" w:rsidRDefault="00CA5369">
      <w:pPr>
        <w:spacing w:after="200"/>
        <w:jc w:val="left"/>
      </w:pPr>
      <w:r>
        <w:br w:type="page"/>
      </w:r>
    </w:p>
    <w:tbl>
      <w:tblPr>
        <w:tblW w:w="9639" w:type="dxa"/>
        <w:jc w:val="center"/>
        <w:tblLayout w:type="fixed"/>
        <w:tblCellMar>
          <w:left w:w="70" w:type="dxa"/>
          <w:right w:w="70" w:type="dxa"/>
        </w:tblCellMar>
        <w:tblLook w:val="04A0" w:firstRow="1" w:lastRow="0" w:firstColumn="1" w:lastColumn="0" w:noHBand="0" w:noVBand="1"/>
      </w:tblPr>
      <w:tblGrid>
        <w:gridCol w:w="970"/>
        <w:gridCol w:w="446"/>
        <w:gridCol w:w="446"/>
        <w:gridCol w:w="446"/>
        <w:gridCol w:w="445"/>
        <w:gridCol w:w="445"/>
        <w:gridCol w:w="445"/>
        <w:gridCol w:w="893"/>
        <w:gridCol w:w="499"/>
        <w:gridCol w:w="906"/>
        <w:gridCol w:w="445"/>
        <w:gridCol w:w="445"/>
        <w:gridCol w:w="445"/>
        <w:gridCol w:w="445"/>
        <w:gridCol w:w="445"/>
        <w:gridCol w:w="445"/>
        <w:gridCol w:w="1028"/>
      </w:tblGrid>
      <w:tr w:rsidR="00991707" w:rsidRPr="00C54ECE" w14:paraId="1A3E709F" w14:textId="77777777" w:rsidTr="007C2EAC">
        <w:trPr>
          <w:trHeight w:val="610"/>
          <w:jc w:val="center"/>
        </w:trPr>
        <w:tc>
          <w:tcPr>
            <w:tcW w:w="970" w:type="dxa"/>
            <w:tcBorders>
              <w:top w:val="single" w:sz="4" w:space="0" w:color="auto"/>
              <w:left w:val="single" w:sz="4" w:space="0" w:color="auto"/>
              <w:bottom w:val="single" w:sz="4" w:space="0" w:color="auto"/>
              <w:right w:val="single" w:sz="4" w:space="0" w:color="auto"/>
            </w:tcBorders>
            <w:vAlign w:val="center"/>
          </w:tcPr>
          <w:p w14:paraId="4B76E0BC"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lastRenderedPageBreak/>
              <w:t>698-703 MHz</w:t>
            </w:r>
          </w:p>
        </w:tc>
        <w:tc>
          <w:tcPr>
            <w:tcW w:w="446" w:type="dxa"/>
            <w:tcBorders>
              <w:top w:val="single" w:sz="4" w:space="0" w:color="auto"/>
              <w:left w:val="nil"/>
              <w:bottom w:val="single" w:sz="4" w:space="0" w:color="auto"/>
              <w:right w:val="single" w:sz="4" w:space="0" w:color="auto"/>
            </w:tcBorders>
            <w:vAlign w:val="center"/>
          </w:tcPr>
          <w:p w14:paraId="2A987340"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703-708</w:t>
            </w:r>
          </w:p>
        </w:tc>
        <w:tc>
          <w:tcPr>
            <w:tcW w:w="446" w:type="dxa"/>
            <w:tcBorders>
              <w:top w:val="single" w:sz="4" w:space="0" w:color="auto"/>
              <w:left w:val="nil"/>
              <w:bottom w:val="single" w:sz="4" w:space="0" w:color="auto"/>
              <w:right w:val="single" w:sz="4" w:space="0" w:color="auto"/>
            </w:tcBorders>
            <w:vAlign w:val="center"/>
          </w:tcPr>
          <w:p w14:paraId="358A27C1"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708-713</w:t>
            </w:r>
          </w:p>
        </w:tc>
        <w:tc>
          <w:tcPr>
            <w:tcW w:w="446" w:type="dxa"/>
            <w:tcBorders>
              <w:top w:val="single" w:sz="4" w:space="0" w:color="auto"/>
              <w:left w:val="nil"/>
              <w:bottom w:val="single" w:sz="4" w:space="0" w:color="auto"/>
              <w:right w:val="single" w:sz="4" w:space="0" w:color="auto"/>
            </w:tcBorders>
            <w:vAlign w:val="center"/>
          </w:tcPr>
          <w:p w14:paraId="1023F839"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713-718</w:t>
            </w:r>
          </w:p>
        </w:tc>
        <w:tc>
          <w:tcPr>
            <w:tcW w:w="445" w:type="dxa"/>
            <w:tcBorders>
              <w:top w:val="single" w:sz="4" w:space="0" w:color="auto"/>
              <w:left w:val="nil"/>
              <w:bottom w:val="single" w:sz="4" w:space="0" w:color="auto"/>
              <w:right w:val="single" w:sz="4" w:space="0" w:color="auto"/>
            </w:tcBorders>
            <w:vAlign w:val="center"/>
          </w:tcPr>
          <w:p w14:paraId="4EF665C4"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718-723</w:t>
            </w:r>
          </w:p>
        </w:tc>
        <w:tc>
          <w:tcPr>
            <w:tcW w:w="445" w:type="dxa"/>
            <w:tcBorders>
              <w:top w:val="single" w:sz="4" w:space="0" w:color="auto"/>
              <w:left w:val="nil"/>
              <w:bottom w:val="single" w:sz="4" w:space="0" w:color="auto"/>
              <w:right w:val="single" w:sz="4" w:space="0" w:color="auto"/>
            </w:tcBorders>
            <w:vAlign w:val="center"/>
          </w:tcPr>
          <w:p w14:paraId="5DAAFFD8"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723-728</w:t>
            </w:r>
          </w:p>
        </w:tc>
        <w:tc>
          <w:tcPr>
            <w:tcW w:w="445" w:type="dxa"/>
            <w:tcBorders>
              <w:top w:val="single" w:sz="4" w:space="0" w:color="auto"/>
              <w:left w:val="nil"/>
              <w:bottom w:val="single" w:sz="4" w:space="0" w:color="auto"/>
              <w:right w:val="single" w:sz="4" w:space="0" w:color="auto"/>
            </w:tcBorders>
            <w:vAlign w:val="center"/>
          </w:tcPr>
          <w:p w14:paraId="0425F40A"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728-733</w:t>
            </w:r>
          </w:p>
        </w:tc>
        <w:tc>
          <w:tcPr>
            <w:tcW w:w="893" w:type="dxa"/>
            <w:tcBorders>
              <w:top w:val="single" w:sz="4" w:space="0" w:color="auto"/>
              <w:left w:val="nil"/>
              <w:bottom w:val="single" w:sz="4" w:space="0" w:color="auto"/>
              <w:right w:val="single" w:sz="4" w:space="0" w:color="auto"/>
            </w:tcBorders>
            <w:vAlign w:val="center"/>
          </w:tcPr>
          <w:p w14:paraId="3F0FCCB2"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733-736 MHz</w:t>
            </w:r>
          </w:p>
        </w:tc>
        <w:tc>
          <w:tcPr>
            <w:tcW w:w="499" w:type="dxa"/>
            <w:tcBorders>
              <w:top w:val="single" w:sz="4" w:space="0" w:color="auto"/>
              <w:left w:val="nil"/>
              <w:bottom w:val="single" w:sz="4" w:space="0" w:color="auto"/>
              <w:right w:val="single" w:sz="4" w:space="0" w:color="auto"/>
            </w:tcBorders>
            <w:vAlign w:val="center"/>
          </w:tcPr>
          <w:p w14:paraId="5C2C90D2"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736-753</w:t>
            </w:r>
          </w:p>
        </w:tc>
        <w:tc>
          <w:tcPr>
            <w:tcW w:w="906" w:type="dxa"/>
            <w:tcBorders>
              <w:top w:val="single" w:sz="4" w:space="0" w:color="auto"/>
              <w:left w:val="nil"/>
              <w:bottom w:val="single" w:sz="4" w:space="0" w:color="auto"/>
              <w:right w:val="single" w:sz="4" w:space="0" w:color="auto"/>
            </w:tcBorders>
            <w:vAlign w:val="center"/>
          </w:tcPr>
          <w:p w14:paraId="34BC9F0F"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753-758 MHz</w:t>
            </w:r>
          </w:p>
        </w:tc>
        <w:tc>
          <w:tcPr>
            <w:tcW w:w="445" w:type="dxa"/>
            <w:tcBorders>
              <w:top w:val="single" w:sz="4" w:space="0" w:color="auto"/>
              <w:left w:val="nil"/>
              <w:bottom w:val="single" w:sz="4" w:space="0" w:color="auto"/>
              <w:right w:val="single" w:sz="4" w:space="0" w:color="auto"/>
            </w:tcBorders>
            <w:vAlign w:val="center"/>
          </w:tcPr>
          <w:p w14:paraId="432EC2F6"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758-763</w:t>
            </w:r>
          </w:p>
        </w:tc>
        <w:tc>
          <w:tcPr>
            <w:tcW w:w="445" w:type="dxa"/>
            <w:tcBorders>
              <w:top w:val="single" w:sz="4" w:space="0" w:color="auto"/>
              <w:left w:val="nil"/>
              <w:bottom w:val="single" w:sz="4" w:space="0" w:color="auto"/>
              <w:right w:val="single" w:sz="4" w:space="0" w:color="auto"/>
            </w:tcBorders>
            <w:vAlign w:val="center"/>
          </w:tcPr>
          <w:p w14:paraId="73FA4044"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763-768</w:t>
            </w:r>
          </w:p>
        </w:tc>
        <w:tc>
          <w:tcPr>
            <w:tcW w:w="445" w:type="dxa"/>
            <w:tcBorders>
              <w:top w:val="single" w:sz="4" w:space="0" w:color="auto"/>
              <w:left w:val="nil"/>
              <w:bottom w:val="single" w:sz="4" w:space="0" w:color="auto"/>
              <w:right w:val="single" w:sz="4" w:space="0" w:color="auto"/>
            </w:tcBorders>
            <w:vAlign w:val="center"/>
          </w:tcPr>
          <w:p w14:paraId="628055EE"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768-773</w:t>
            </w:r>
          </w:p>
        </w:tc>
        <w:tc>
          <w:tcPr>
            <w:tcW w:w="445" w:type="dxa"/>
            <w:tcBorders>
              <w:top w:val="single" w:sz="4" w:space="0" w:color="auto"/>
              <w:left w:val="nil"/>
              <w:bottom w:val="single" w:sz="4" w:space="0" w:color="auto"/>
              <w:right w:val="single" w:sz="4" w:space="0" w:color="auto"/>
            </w:tcBorders>
            <w:vAlign w:val="center"/>
          </w:tcPr>
          <w:p w14:paraId="706D7495"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773-778</w:t>
            </w:r>
          </w:p>
        </w:tc>
        <w:tc>
          <w:tcPr>
            <w:tcW w:w="445" w:type="dxa"/>
            <w:tcBorders>
              <w:top w:val="single" w:sz="4" w:space="0" w:color="auto"/>
              <w:left w:val="nil"/>
              <w:bottom w:val="single" w:sz="4" w:space="0" w:color="auto"/>
              <w:right w:val="single" w:sz="4" w:space="0" w:color="auto"/>
            </w:tcBorders>
            <w:vAlign w:val="center"/>
          </w:tcPr>
          <w:p w14:paraId="321E7243"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778-783</w:t>
            </w:r>
          </w:p>
        </w:tc>
        <w:tc>
          <w:tcPr>
            <w:tcW w:w="445" w:type="dxa"/>
            <w:tcBorders>
              <w:top w:val="single" w:sz="4" w:space="0" w:color="auto"/>
              <w:left w:val="nil"/>
              <w:bottom w:val="single" w:sz="4" w:space="0" w:color="auto"/>
              <w:right w:val="single" w:sz="4" w:space="0" w:color="auto"/>
            </w:tcBorders>
            <w:vAlign w:val="center"/>
          </w:tcPr>
          <w:p w14:paraId="5512512D"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783-788</w:t>
            </w:r>
          </w:p>
        </w:tc>
        <w:tc>
          <w:tcPr>
            <w:tcW w:w="1028" w:type="dxa"/>
            <w:tcBorders>
              <w:top w:val="single" w:sz="4" w:space="0" w:color="auto"/>
              <w:left w:val="nil"/>
              <w:bottom w:val="single" w:sz="4" w:space="0" w:color="auto"/>
              <w:right w:val="single" w:sz="4" w:space="0" w:color="auto"/>
            </w:tcBorders>
            <w:vAlign w:val="center"/>
          </w:tcPr>
          <w:p w14:paraId="3AC10736"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788-791 MHz</w:t>
            </w:r>
          </w:p>
        </w:tc>
      </w:tr>
      <w:tr w:rsidR="00991707" w:rsidRPr="00C54ECE" w14:paraId="222C7208" w14:textId="77777777" w:rsidTr="007C2EAC">
        <w:trPr>
          <w:trHeight w:val="724"/>
          <w:jc w:val="center"/>
        </w:trPr>
        <w:tc>
          <w:tcPr>
            <w:tcW w:w="970" w:type="dxa"/>
            <w:tcBorders>
              <w:top w:val="nil"/>
              <w:left w:val="single" w:sz="4" w:space="0" w:color="auto"/>
              <w:bottom w:val="single" w:sz="4" w:space="0" w:color="auto"/>
              <w:right w:val="single" w:sz="4" w:space="0" w:color="auto"/>
            </w:tcBorders>
            <w:shd w:val="clear" w:color="auto" w:fill="auto"/>
            <w:vAlign w:val="center"/>
          </w:tcPr>
          <w:p w14:paraId="68733A9B"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PPDR a)</w:t>
            </w:r>
          </w:p>
          <w:p w14:paraId="279C4B04" w14:textId="77777777" w:rsidR="00991707" w:rsidRPr="00391CF1" w:rsidRDefault="00991707" w:rsidP="007C2EAC">
            <w:pPr>
              <w:pStyle w:val="Tabletext"/>
              <w:jc w:val="center"/>
              <w:rPr>
                <w:rFonts w:asciiTheme="majorHAnsi" w:hAnsiTheme="majorHAnsi" w:cstheme="majorHAnsi"/>
                <w:sz w:val="16"/>
                <w:szCs w:val="16"/>
                <w:lang w:val="hu-HU"/>
              </w:rPr>
            </w:pPr>
            <w:proofErr w:type="spellStart"/>
            <w:r w:rsidRPr="00391CF1">
              <w:rPr>
                <w:rFonts w:asciiTheme="majorHAnsi" w:hAnsiTheme="majorHAnsi" w:cstheme="majorHAnsi"/>
                <w:sz w:val="16"/>
                <w:szCs w:val="16"/>
                <w:lang w:val="hu-HU"/>
              </w:rPr>
              <w:t>uplink</w:t>
            </w:r>
            <w:proofErr w:type="spellEnd"/>
          </w:p>
        </w:tc>
        <w:tc>
          <w:tcPr>
            <w:tcW w:w="2673" w:type="dxa"/>
            <w:gridSpan w:val="6"/>
            <w:tcBorders>
              <w:top w:val="single" w:sz="4" w:space="0" w:color="auto"/>
              <w:left w:val="nil"/>
              <w:bottom w:val="single" w:sz="4" w:space="0" w:color="auto"/>
              <w:right w:val="single" w:sz="4" w:space="0" w:color="auto"/>
            </w:tcBorders>
            <w:shd w:val="clear" w:color="auto" w:fill="auto"/>
            <w:vAlign w:val="center"/>
          </w:tcPr>
          <w:p w14:paraId="31F691D9"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PPDR b)</w:t>
            </w:r>
          </w:p>
          <w:p w14:paraId="5B4610EA" w14:textId="77777777" w:rsidR="00991707" w:rsidRPr="00391CF1" w:rsidRDefault="00991707" w:rsidP="007C2EAC">
            <w:pPr>
              <w:pStyle w:val="Tabletext"/>
              <w:jc w:val="center"/>
              <w:rPr>
                <w:rFonts w:asciiTheme="majorHAnsi" w:hAnsiTheme="majorHAnsi" w:cstheme="majorHAnsi"/>
                <w:sz w:val="16"/>
                <w:szCs w:val="16"/>
                <w:lang w:val="hu-HU"/>
              </w:rPr>
            </w:pPr>
            <w:proofErr w:type="spellStart"/>
            <w:r w:rsidRPr="00391CF1">
              <w:rPr>
                <w:rFonts w:asciiTheme="majorHAnsi" w:hAnsiTheme="majorHAnsi" w:cstheme="majorHAnsi"/>
                <w:sz w:val="16"/>
                <w:szCs w:val="16"/>
                <w:lang w:val="hu-HU"/>
              </w:rPr>
              <w:t>uplink</w:t>
            </w:r>
            <w:proofErr w:type="spellEnd"/>
            <w:r w:rsidRPr="00391CF1">
              <w:rPr>
                <w:rFonts w:asciiTheme="majorHAnsi" w:hAnsiTheme="majorHAnsi" w:cstheme="majorHAnsi"/>
                <w:sz w:val="16"/>
                <w:szCs w:val="16"/>
                <w:lang w:val="hu-HU"/>
              </w:rPr>
              <w:t xml:space="preserve"> (MFCN)</w:t>
            </w:r>
          </w:p>
        </w:tc>
        <w:tc>
          <w:tcPr>
            <w:tcW w:w="893" w:type="dxa"/>
            <w:tcBorders>
              <w:top w:val="nil"/>
              <w:left w:val="nil"/>
              <w:bottom w:val="single" w:sz="4" w:space="0" w:color="auto"/>
              <w:right w:val="single" w:sz="4" w:space="0" w:color="auto"/>
            </w:tcBorders>
            <w:shd w:val="clear" w:color="auto" w:fill="auto"/>
            <w:vAlign w:val="center"/>
          </w:tcPr>
          <w:p w14:paraId="2A03CE1B"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PPDR c)</w:t>
            </w:r>
          </w:p>
          <w:p w14:paraId="6F06A744" w14:textId="77777777" w:rsidR="00991707" w:rsidRPr="00391CF1" w:rsidRDefault="00991707" w:rsidP="007C2EAC">
            <w:pPr>
              <w:pStyle w:val="Tabletext"/>
              <w:jc w:val="center"/>
              <w:rPr>
                <w:rFonts w:asciiTheme="majorHAnsi" w:hAnsiTheme="majorHAnsi" w:cstheme="majorHAnsi"/>
                <w:sz w:val="16"/>
                <w:szCs w:val="16"/>
                <w:lang w:val="hu-HU"/>
              </w:rPr>
            </w:pPr>
            <w:proofErr w:type="spellStart"/>
            <w:r w:rsidRPr="00391CF1">
              <w:rPr>
                <w:rFonts w:asciiTheme="majorHAnsi" w:hAnsiTheme="majorHAnsi" w:cstheme="majorHAnsi"/>
                <w:sz w:val="16"/>
                <w:szCs w:val="16"/>
                <w:lang w:val="hu-HU"/>
              </w:rPr>
              <w:t>uplink</w:t>
            </w:r>
            <w:proofErr w:type="spellEnd"/>
          </w:p>
        </w:tc>
        <w:tc>
          <w:tcPr>
            <w:tcW w:w="499" w:type="dxa"/>
            <w:tcBorders>
              <w:top w:val="single" w:sz="4" w:space="0" w:color="auto"/>
              <w:left w:val="nil"/>
              <w:bottom w:val="single" w:sz="4" w:space="0" w:color="auto"/>
              <w:right w:val="single" w:sz="4" w:space="0" w:color="auto"/>
            </w:tcBorders>
            <w:shd w:val="thinReverseDiagStripe" w:color="auto" w:fill="auto"/>
            <w:vAlign w:val="center"/>
          </w:tcPr>
          <w:p w14:paraId="6D4BC427" w14:textId="77777777" w:rsidR="00991707" w:rsidRPr="007157A4" w:rsidRDefault="00991707" w:rsidP="007C2EAC">
            <w:pPr>
              <w:pStyle w:val="Tabletext"/>
              <w:jc w:val="center"/>
              <w:rPr>
                <w:sz w:val="16"/>
                <w:szCs w:val="16"/>
                <w:lang w:val="en-GB"/>
              </w:rPr>
            </w:pPr>
          </w:p>
        </w:tc>
        <w:tc>
          <w:tcPr>
            <w:tcW w:w="906" w:type="dxa"/>
            <w:tcBorders>
              <w:top w:val="single" w:sz="4" w:space="0" w:color="auto"/>
              <w:left w:val="nil"/>
              <w:bottom w:val="single" w:sz="4" w:space="0" w:color="auto"/>
              <w:right w:val="single" w:sz="4" w:space="0" w:color="auto"/>
            </w:tcBorders>
            <w:shd w:val="clear" w:color="auto" w:fill="auto"/>
            <w:vAlign w:val="center"/>
          </w:tcPr>
          <w:p w14:paraId="0EB0EE1A"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PPDR a)</w:t>
            </w:r>
          </w:p>
          <w:p w14:paraId="34AB1E82"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downlink</w:t>
            </w:r>
          </w:p>
        </w:tc>
        <w:tc>
          <w:tcPr>
            <w:tcW w:w="2670" w:type="dxa"/>
            <w:gridSpan w:val="6"/>
            <w:tcBorders>
              <w:top w:val="single" w:sz="4" w:space="0" w:color="auto"/>
              <w:left w:val="nil"/>
              <w:bottom w:val="single" w:sz="4" w:space="0" w:color="auto"/>
              <w:right w:val="single" w:sz="4" w:space="0" w:color="auto"/>
            </w:tcBorders>
            <w:shd w:val="clear" w:color="auto" w:fill="auto"/>
            <w:vAlign w:val="center"/>
          </w:tcPr>
          <w:p w14:paraId="23BE2A82"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PPDR b)</w:t>
            </w:r>
          </w:p>
          <w:p w14:paraId="5171896E"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downlink (MFCN)</w:t>
            </w:r>
          </w:p>
        </w:tc>
        <w:tc>
          <w:tcPr>
            <w:tcW w:w="1028" w:type="dxa"/>
            <w:tcBorders>
              <w:top w:val="single" w:sz="4" w:space="0" w:color="auto"/>
              <w:left w:val="nil"/>
              <w:bottom w:val="single" w:sz="4" w:space="0" w:color="auto"/>
              <w:right w:val="single" w:sz="4" w:space="0" w:color="auto"/>
            </w:tcBorders>
            <w:shd w:val="clear" w:color="auto" w:fill="auto"/>
            <w:vAlign w:val="center"/>
          </w:tcPr>
          <w:p w14:paraId="0BB21063"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PPDR c)</w:t>
            </w:r>
          </w:p>
          <w:p w14:paraId="492B6E1F"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downlink</w:t>
            </w:r>
          </w:p>
        </w:tc>
      </w:tr>
      <w:tr w:rsidR="00991707" w:rsidRPr="00C54ECE" w14:paraId="58D69682" w14:textId="77777777" w:rsidTr="007C2EAC">
        <w:trPr>
          <w:trHeight w:val="381"/>
          <w:jc w:val="center"/>
        </w:trPr>
        <w:tc>
          <w:tcPr>
            <w:tcW w:w="970" w:type="dxa"/>
            <w:tcBorders>
              <w:top w:val="nil"/>
              <w:left w:val="single" w:sz="4" w:space="0" w:color="auto"/>
              <w:bottom w:val="single" w:sz="4" w:space="0" w:color="auto"/>
              <w:right w:val="single" w:sz="4" w:space="0" w:color="auto"/>
            </w:tcBorders>
            <w:vAlign w:val="center"/>
          </w:tcPr>
          <w:p w14:paraId="1E1F5D6C"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5 MHz</w:t>
            </w:r>
          </w:p>
        </w:tc>
        <w:tc>
          <w:tcPr>
            <w:tcW w:w="2673" w:type="dxa"/>
            <w:gridSpan w:val="6"/>
            <w:tcBorders>
              <w:top w:val="single" w:sz="4" w:space="0" w:color="auto"/>
              <w:left w:val="nil"/>
              <w:bottom w:val="single" w:sz="4" w:space="0" w:color="auto"/>
              <w:right w:val="single" w:sz="4" w:space="0" w:color="auto"/>
            </w:tcBorders>
            <w:vAlign w:val="center"/>
          </w:tcPr>
          <w:p w14:paraId="344FBAC6" w14:textId="3C0E4C4C"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30 MHz (6 darab 5 MHz-es blokk)</w:t>
            </w:r>
          </w:p>
        </w:tc>
        <w:tc>
          <w:tcPr>
            <w:tcW w:w="893" w:type="dxa"/>
            <w:tcBorders>
              <w:top w:val="nil"/>
              <w:left w:val="nil"/>
              <w:bottom w:val="single" w:sz="4" w:space="0" w:color="auto"/>
              <w:right w:val="single" w:sz="4" w:space="0" w:color="auto"/>
            </w:tcBorders>
            <w:vAlign w:val="center"/>
          </w:tcPr>
          <w:p w14:paraId="71BCFCCB"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3 MHz</w:t>
            </w:r>
          </w:p>
        </w:tc>
        <w:tc>
          <w:tcPr>
            <w:tcW w:w="499" w:type="dxa"/>
            <w:tcBorders>
              <w:top w:val="single" w:sz="4" w:space="0" w:color="auto"/>
              <w:left w:val="nil"/>
              <w:bottom w:val="single" w:sz="4" w:space="0" w:color="auto"/>
              <w:right w:val="single" w:sz="4" w:space="0" w:color="auto"/>
            </w:tcBorders>
            <w:vAlign w:val="center"/>
          </w:tcPr>
          <w:p w14:paraId="7A3AE0CB" w14:textId="77777777" w:rsidR="00991707" w:rsidRPr="00723F7F" w:rsidRDefault="00991707" w:rsidP="007C2EAC">
            <w:pPr>
              <w:pStyle w:val="Tabletext"/>
              <w:jc w:val="center"/>
              <w:rPr>
                <w:sz w:val="16"/>
                <w:szCs w:val="16"/>
                <w:lang w:val="hu-HU"/>
              </w:rPr>
            </w:pPr>
          </w:p>
        </w:tc>
        <w:tc>
          <w:tcPr>
            <w:tcW w:w="906" w:type="dxa"/>
            <w:tcBorders>
              <w:top w:val="single" w:sz="4" w:space="0" w:color="auto"/>
              <w:left w:val="nil"/>
              <w:bottom w:val="single" w:sz="4" w:space="0" w:color="auto"/>
              <w:right w:val="single" w:sz="4" w:space="0" w:color="auto"/>
            </w:tcBorders>
            <w:vAlign w:val="center"/>
          </w:tcPr>
          <w:p w14:paraId="3FCEBF10"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5 MHz</w:t>
            </w:r>
          </w:p>
        </w:tc>
        <w:tc>
          <w:tcPr>
            <w:tcW w:w="2670" w:type="dxa"/>
            <w:gridSpan w:val="6"/>
            <w:tcBorders>
              <w:top w:val="single" w:sz="4" w:space="0" w:color="auto"/>
              <w:left w:val="nil"/>
              <w:bottom w:val="single" w:sz="4" w:space="0" w:color="auto"/>
              <w:right w:val="single" w:sz="4" w:space="0" w:color="auto"/>
            </w:tcBorders>
            <w:vAlign w:val="center"/>
          </w:tcPr>
          <w:p w14:paraId="79849144" w14:textId="6A38C575" w:rsidR="00991707" w:rsidRPr="00391CF1" w:rsidRDefault="00991707" w:rsidP="00991707">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30 MHz (6 darab 5 MHz-es blokk)</w:t>
            </w:r>
          </w:p>
        </w:tc>
        <w:tc>
          <w:tcPr>
            <w:tcW w:w="1028" w:type="dxa"/>
            <w:tcBorders>
              <w:top w:val="single" w:sz="4" w:space="0" w:color="auto"/>
              <w:left w:val="nil"/>
              <w:bottom w:val="single" w:sz="4" w:space="0" w:color="auto"/>
              <w:right w:val="single" w:sz="4" w:space="0" w:color="auto"/>
            </w:tcBorders>
            <w:vAlign w:val="center"/>
          </w:tcPr>
          <w:p w14:paraId="6DC5D057" w14:textId="77777777" w:rsidR="00991707" w:rsidRPr="00391CF1" w:rsidRDefault="00991707" w:rsidP="007C2EAC">
            <w:pPr>
              <w:pStyle w:val="Tabletext"/>
              <w:jc w:val="center"/>
              <w:rPr>
                <w:rFonts w:asciiTheme="majorHAnsi" w:hAnsiTheme="majorHAnsi" w:cstheme="majorHAnsi"/>
                <w:sz w:val="16"/>
                <w:szCs w:val="16"/>
                <w:lang w:val="hu-HU"/>
              </w:rPr>
            </w:pPr>
            <w:r w:rsidRPr="00391CF1">
              <w:rPr>
                <w:rFonts w:asciiTheme="majorHAnsi" w:hAnsiTheme="majorHAnsi" w:cstheme="majorHAnsi"/>
                <w:sz w:val="16"/>
                <w:szCs w:val="16"/>
                <w:lang w:val="hu-HU"/>
              </w:rPr>
              <w:t>3 MHz</w:t>
            </w:r>
          </w:p>
        </w:tc>
      </w:tr>
    </w:tbl>
    <w:p w14:paraId="03F9C4F6" w14:textId="6551CDD5" w:rsidR="00991707" w:rsidRDefault="009C7F65" w:rsidP="00723F7F">
      <w:pPr>
        <w:pStyle w:val="Kpalrs"/>
        <w:jc w:val="center"/>
      </w:pPr>
      <w:r>
        <w:t>3.1.1</w:t>
      </w:r>
      <w:proofErr w:type="gramStart"/>
      <w:r>
        <w:t>.</w:t>
      </w:r>
      <w:r w:rsidR="00605967">
        <w:t>b</w:t>
      </w:r>
      <w:proofErr w:type="gramEnd"/>
      <w:r w:rsidR="00605967">
        <w:t xml:space="preserve"> </w:t>
      </w:r>
      <w:r w:rsidR="00991707">
        <w:t>táblázat: Részletes PPDR csatornaelrendezések</w:t>
      </w:r>
    </w:p>
    <w:p w14:paraId="63CA02F6" w14:textId="743FA61A" w:rsidR="00991707" w:rsidRPr="00991707" w:rsidRDefault="00991707" w:rsidP="00723F7F">
      <w:pPr>
        <w:pStyle w:val="Kpalrs"/>
        <w:jc w:val="center"/>
      </w:pPr>
    </w:p>
    <w:p w14:paraId="770B27A8" w14:textId="0BF5D64A" w:rsidR="00394C3C" w:rsidRDefault="00394C3C" w:rsidP="00394C3C">
      <w:pPr>
        <w:pStyle w:val="Behzottbekezdsnmhh"/>
      </w:pPr>
      <w:r w:rsidRPr="00331D8D">
        <w:t>Az ITU 1</w:t>
      </w:r>
      <w:r>
        <w:t>.</w:t>
      </w:r>
      <w:r w:rsidRPr="00331D8D">
        <w:t xml:space="preserve"> </w:t>
      </w:r>
      <w:r>
        <w:t>Körzetben</w:t>
      </w:r>
      <w:r w:rsidRPr="00331D8D">
        <w:t xml:space="preserve"> az Európai Unió álláspontját tükröző döntés született a WRC-15 értekezleten a műsorszórásra fennmaradó 470-694 MHz-es </w:t>
      </w:r>
      <w:r w:rsidR="00686F5C">
        <w:t>frekvencia</w:t>
      </w:r>
      <w:r w:rsidRPr="00331D8D">
        <w:t>sáv kapcsán. Ennek megfelelően a WRC-23</w:t>
      </w:r>
      <w:r w:rsidR="00686F5C">
        <w:t>-</w:t>
      </w:r>
      <w:r w:rsidR="00605967">
        <w:t>értekezletet</w:t>
      </w:r>
      <w:r w:rsidR="004407F3">
        <w:t xml:space="preserve"> </w:t>
      </w:r>
      <w:r w:rsidRPr="00331D8D">
        <w:t xml:space="preserve">megelőzően nem várható a </w:t>
      </w:r>
      <w:r w:rsidR="00686F5C">
        <w:t xml:space="preserve">Nemzetközi </w:t>
      </w:r>
      <w:r w:rsidRPr="00331D8D">
        <w:t xml:space="preserve">Rádiószabályzat e </w:t>
      </w:r>
      <w:r w:rsidR="00686F5C">
        <w:t>frekvencia</w:t>
      </w:r>
      <w:r w:rsidRPr="00331D8D">
        <w:t xml:space="preserve">sávot érintő módosítása, tehát a 694 MHz alatti </w:t>
      </w:r>
      <w:r w:rsidR="00686F5C">
        <w:t>frekvencia</w:t>
      </w:r>
      <w:r w:rsidRPr="00331D8D">
        <w:t xml:space="preserve">sáv elsődlegesen továbbra is műsorszórási célú marad. A WRC-15 úgy döntött, hogy a 470-694 MHz </w:t>
      </w:r>
      <w:r w:rsidR="00686F5C">
        <w:t>frekvencia</w:t>
      </w:r>
      <w:r w:rsidRPr="00331D8D">
        <w:t>sáv IMT céljára történő felhasználásával kapcsolatos felülvizsgálatát csak a 2023-ban megrendezésre kerülő világértekezleten (WRC-23) tűzi napirendre.</w:t>
      </w:r>
    </w:p>
    <w:p w14:paraId="4EEDC0E1" w14:textId="77777777" w:rsidR="00185310" w:rsidRDefault="00185310" w:rsidP="00394C3C">
      <w:pPr>
        <w:pStyle w:val="Behzottbekezdsnmhh"/>
      </w:pPr>
    </w:p>
    <w:p w14:paraId="01FD51A5" w14:textId="77777777" w:rsidR="001E50C0" w:rsidRDefault="001E50C0" w:rsidP="001E50C0">
      <w:pPr>
        <w:pStyle w:val="Cmsor3szmozottnmhh"/>
      </w:pPr>
      <w:bookmarkStart w:id="11" w:name="_Toc96001032"/>
      <w:r>
        <w:t>CEPT</w:t>
      </w:r>
      <w:bookmarkEnd w:id="10"/>
      <w:bookmarkEnd w:id="11"/>
    </w:p>
    <w:p w14:paraId="228DC3E6" w14:textId="54C53629" w:rsidR="00883FBF" w:rsidRDefault="00E92416" w:rsidP="00A65A32">
      <w:pPr>
        <w:pStyle w:val="Behzottbekezdsnmhh"/>
      </w:pPr>
      <w:r w:rsidRPr="00E92416">
        <w:t>A</w:t>
      </w:r>
      <w:r w:rsidR="00FA33C1">
        <w:t xml:space="preserve">z </w:t>
      </w:r>
      <w:r w:rsidR="00D47085" w:rsidRPr="00E92416">
        <w:t xml:space="preserve">Európai Bizottság </w:t>
      </w:r>
      <w:r w:rsidR="00686F5C">
        <w:t>mandátumával</w:t>
      </w:r>
      <w:r w:rsidR="00D47085" w:rsidRPr="00F5633E">
        <w:rPr>
          <w:vertAlign w:val="superscript"/>
        </w:rPr>
        <w:footnoteReference w:id="31"/>
      </w:r>
      <w:r w:rsidR="00D47085" w:rsidRPr="00E92416">
        <w:t xml:space="preserve"> </w:t>
      </w:r>
      <w:r w:rsidR="00686F5C">
        <w:t xml:space="preserve">kapcsolatban </w:t>
      </w:r>
      <w:r w:rsidR="00D47085">
        <w:t>elvégzett vizsgálatok alapján</w:t>
      </w:r>
      <w:r w:rsidR="003032A5">
        <w:t xml:space="preserve"> </w:t>
      </w:r>
      <w:r w:rsidR="00883FBF">
        <w:t>két jelentés került kidolgozásra a CEPT-en belül:</w:t>
      </w:r>
    </w:p>
    <w:p w14:paraId="33A11B95" w14:textId="2CBBAB45" w:rsidR="00B63FBC" w:rsidRDefault="00A65A32" w:rsidP="00723F7F">
      <w:pPr>
        <w:pStyle w:val="Behzottbekezdsnmhh"/>
        <w:numPr>
          <w:ilvl w:val="0"/>
          <w:numId w:val="24"/>
        </w:numPr>
      </w:pPr>
      <w:r w:rsidRPr="00915776">
        <w:t xml:space="preserve">CEPT </w:t>
      </w:r>
      <w:r w:rsidR="00605967">
        <w:t xml:space="preserve">53. </w:t>
      </w:r>
      <w:r>
        <w:t>Jelentés</w:t>
      </w:r>
      <w:r w:rsidR="00E8411E" w:rsidRPr="00F5633E">
        <w:rPr>
          <w:vertAlign w:val="superscript"/>
        </w:rPr>
        <w:footnoteReference w:id="32"/>
      </w:r>
      <w:r>
        <w:t xml:space="preserve"> </w:t>
      </w:r>
      <w:r w:rsidR="00883FBF">
        <w:t>(</w:t>
      </w:r>
      <w:proofErr w:type="spellStart"/>
      <w:r w:rsidRPr="00E92416">
        <w:t>Report</w:t>
      </w:r>
      <w:proofErr w:type="spellEnd"/>
      <w:r w:rsidRPr="00E92416">
        <w:t xml:space="preserve"> </w:t>
      </w:r>
      <w:r>
        <w:t>A</w:t>
      </w:r>
      <w:r w:rsidRPr="00E92416">
        <w:t>)</w:t>
      </w:r>
      <w:r w:rsidR="00883FBF">
        <w:t xml:space="preserve">: </w:t>
      </w:r>
      <w:r w:rsidR="00FB6EB6" w:rsidRPr="00E13018">
        <w:rPr>
          <w:rFonts w:cs="Arial"/>
          <w:lang w:eastAsia="hu-HU"/>
        </w:rPr>
        <w:t xml:space="preserve">A CEPT </w:t>
      </w:r>
      <w:r w:rsidR="00B676F5">
        <w:rPr>
          <w:rFonts w:cs="Arial"/>
          <w:lang w:eastAsia="hu-HU"/>
        </w:rPr>
        <w:t xml:space="preserve">„A” </w:t>
      </w:r>
      <w:r w:rsidR="00FB6EB6" w:rsidRPr="00E13018">
        <w:rPr>
          <w:rFonts w:cs="Arial"/>
          <w:lang w:eastAsia="hu-HU"/>
        </w:rPr>
        <w:t>jelentése az Európai Bizottságnak „</w:t>
      </w:r>
      <w:r w:rsidR="00B676F5">
        <w:rPr>
          <w:rFonts w:cs="Arial"/>
          <w:lang w:eastAsia="hu-HU"/>
        </w:rPr>
        <w:t>Az EU spektrumpolitikai célkitűzéseit támogató s</w:t>
      </w:r>
      <w:r w:rsidR="00FB6EB6" w:rsidRPr="00E13018">
        <w:rPr>
          <w:rFonts w:cs="Arial"/>
          <w:lang w:eastAsia="hu-HU"/>
        </w:rPr>
        <w:t xml:space="preserve">zélessávú </w:t>
      </w:r>
      <w:r w:rsidR="000C3435">
        <w:rPr>
          <w:rFonts w:cs="Arial"/>
          <w:lang w:eastAsia="hu-HU"/>
        </w:rPr>
        <w:t xml:space="preserve">vezetéknélküli és egyéb </w:t>
      </w:r>
      <w:r w:rsidR="00B676F5">
        <w:rPr>
          <w:rFonts w:cs="Arial"/>
          <w:lang w:eastAsia="hu-HU"/>
        </w:rPr>
        <w:t>felhasználásoknak</w:t>
      </w:r>
      <w:r w:rsidR="00FB6EB6" w:rsidRPr="00E13018">
        <w:rPr>
          <w:rFonts w:cs="Arial"/>
          <w:lang w:eastAsia="hu-HU"/>
        </w:rPr>
        <w:t xml:space="preserve"> az EU-n belül a </w:t>
      </w:r>
      <w:r w:rsidR="000C3435">
        <w:rPr>
          <w:rFonts w:cs="Arial"/>
          <w:lang w:eastAsia="hu-HU"/>
        </w:rPr>
        <w:t>694-790</w:t>
      </w:r>
      <w:r w:rsidR="00FB6EB6" w:rsidRPr="00E13018">
        <w:rPr>
          <w:rFonts w:cs="Arial"/>
          <w:lang w:eastAsia="hu-HU"/>
        </w:rPr>
        <w:t xml:space="preserve"> MHz frekvenciasávban való nyújtására vonatkozó harmonizált műszaki feltételek kidolgozása” című megbízatásra válaszul</w:t>
      </w:r>
      <w:r w:rsidR="00B676F5">
        <w:rPr>
          <w:rFonts w:cs="Arial"/>
          <w:lang w:eastAsia="hu-HU"/>
        </w:rPr>
        <w:t xml:space="preserve"> (</w:t>
      </w:r>
      <w:r w:rsidR="00E92416" w:rsidRPr="00E92416">
        <w:t>2014 november</w:t>
      </w:r>
      <w:r w:rsidR="00B676F5">
        <w:t xml:space="preserve"> 28.)</w:t>
      </w:r>
      <w:r w:rsidR="00FB6EB6">
        <w:t>;</w:t>
      </w:r>
      <w:r w:rsidR="00E92416" w:rsidRPr="00E92416">
        <w:t xml:space="preserve"> </w:t>
      </w:r>
    </w:p>
    <w:p w14:paraId="46ABF27A" w14:textId="36A650E1" w:rsidR="00B63FBC" w:rsidRDefault="00FA33C1" w:rsidP="00723F7F">
      <w:pPr>
        <w:pStyle w:val="Behzottbekezdsnmhh"/>
        <w:numPr>
          <w:ilvl w:val="0"/>
          <w:numId w:val="24"/>
        </w:numPr>
      </w:pPr>
      <w:r w:rsidRPr="00915776">
        <w:t xml:space="preserve">CEPT </w:t>
      </w:r>
      <w:r w:rsidR="00605967">
        <w:t xml:space="preserve">60. </w:t>
      </w:r>
      <w:r>
        <w:t>Jelentés</w:t>
      </w:r>
      <w:r w:rsidR="00E8411E" w:rsidRPr="00F5633E">
        <w:rPr>
          <w:vertAlign w:val="superscript"/>
        </w:rPr>
        <w:footnoteReference w:id="33"/>
      </w:r>
      <w:r>
        <w:t xml:space="preserve"> </w:t>
      </w:r>
      <w:r w:rsidR="00B63FBC">
        <w:t>–</w:t>
      </w:r>
      <w:r>
        <w:t xml:space="preserve"> </w:t>
      </w:r>
      <w:r w:rsidR="00B63FBC">
        <w:t>(</w:t>
      </w:r>
      <w:proofErr w:type="spellStart"/>
      <w:r w:rsidR="00E92416" w:rsidRPr="00E92416">
        <w:t>Report</w:t>
      </w:r>
      <w:proofErr w:type="spellEnd"/>
      <w:r w:rsidR="00E92416" w:rsidRPr="00E92416">
        <w:t xml:space="preserve"> B)</w:t>
      </w:r>
      <w:r w:rsidR="00FB6EB6">
        <w:t xml:space="preserve">: </w:t>
      </w:r>
      <w:r w:rsidR="00FB6EB6" w:rsidRPr="00E13018">
        <w:rPr>
          <w:rFonts w:cs="Arial"/>
          <w:lang w:eastAsia="hu-HU"/>
        </w:rPr>
        <w:t xml:space="preserve">A CEPT </w:t>
      </w:r>
      <w:r w:rsidR="00B676F5">
        <w:rPr>
          <w:rFonts w:cs="Arial"/>
          <w:lang w:eastAsia="hu-HU"/>
        </w:rPr>
        <w:t xml:space="preserve">„B” </w:t>
      </w:r>
      <w:r w:rsidR="00FB6EB6" w:rsidRPr="00E13018">
        <w:rPr>
          <w:rFonts w:cs="Arial"/>
          <w:lang w:eastAsia="hu-HU"/>
        </w:rPr>
        <w:t xml:space="preserve">jelentése az Európai Bizottságnak </w:t>
      </w:r>
      <w:r w:rsidR="00B676F5" w:rsidRPr="00E13018">
        <w:rPr>
          <w:rFonts w:cs="Arial"/>
          <w:lang w:eastAsia="hu-HU"/>
        </w:rPr>
        <w:t>„</w:t>
      </w:r>
      <w:r w:rsidR="00B676F5">
        <w:rPr>
          <w:rFonts w:cs="Arial"/>
          <w:lang w:eastAsia="hu-HU"/>
        </w:rPr>
        <w:t>Az EU spektrumpolitikai célkitűzéseit támogató s</w:t>
      </w:r>
      <w:r w:rsidR="00B676F5" w:rsidRPr="00E13018">
        <w:rPr>
          <w:rFonts w:cs="Arial"/>
          <w:lang w:eastAsia="hu-HU"/>
        </w:rPr>
        <w:t xml:space="preserve">zélessávú </w:t>
      </w:r>
      <w:r w:rsidR="00B676F5">
        <w:rPr>
          <w:rFonts w:cs="Arial"/>
          <w:lang w:eastAsia="hu-HU"/>
        </w:rPr>
        <w:t>vezetéknélküli és egyéb felhasználásoknak</w:t>
      </w:r>
      <w:r w:rsidR="00B676F5" w:rsidRPr="00E13018">
        <w:rPr>
          <w:rFonts w:cs="Arial"/>
          <w:lang w:eastAsia="hu-HU"/>
        </w:rPr>
        <w:t xml:space="preserve"> az EU-n belül a </w:t>
      </w:r>
      <w:r w:rsidR="00B676F5">
        <w:rPr>
          <w:rFonts w:cs="Arial"/>
          <w:lang w:eastAsia="hu-HU"/>
        </w:rPr>
        <w:t>694-790</w:t>
      </w:r>
      <w:r w:rsidR="00B676F5" w:rsidRPr="00E13018">
        <w:rPr>
          <w:rFonts w:cs="Arial"/>
          <w:lang w:eastAsia="hu-HU"/>
        </w:rPr>
        <w:t xml:space="preserve"> MHz frekvenciasávban való nyújtására vonatkozó harmonizált műszaki feltételek kidolgozása” című megbízatásra válaszul</w:t>
      </w:r>
      <w:r w:rsidR="00FB6EB6">
        <w:t xml:space="preserve"> </w:t>
      </w:r>
      <w:r w:rsidR="00B676F5">
        <w:t>(2016. március 1.)</w:t>
      </w:r>
      <w:r w:rsidR="00E92416" w:rsidRPr="00E92416">
        <w:t xml:space="preserve">. </w:t>
      </w:r>
    </w:p>
    <w:p w14:paraId="4D8219DF" w14:textId="6224ED6E" w:rsidR="00A65A32" w:rsidRDefault="00166901" w:rsidP="00A65A32">
      <w:pPr>
        <w:pStyle w:val="Behzottbekezdsnmhh"/>
      </w:pPr>
      <w:r>
        <w:t xml:space="preserve">Ezek a </w:t>
      </w:r>
      <w:r w:rsidR="00B63FBC">
        <w:t xml:space="preserve">CEPT </w:t>
      </w:r>
      <w:r>
        <w:t xml:space="preserve">jelentések alapozzák meg a </w:t>
      </w:r>
      <w:r w:rsidRPr="00A65A32">
        <w:t xml:space="preserve">vezeték nélküli szélessávú elektronikus hírközlési szolgálatok számára a 700 MHz-es </w:t>
      </w:r>
      <w:r w:rsidR="00686F5C">
        <w:t>frekvencia</w:t>
      </w:r>
      <w:r w:rsidRPr="00A65A32">
        <w:t xml:space="preserve">sáv használatának </w:t>
      </w:r>
      <w:r>
        <w:t>harmonizált műszaki feltételeit</w:t>
      </w:r>
      <w:r w:rsidR="00280A1B">
        <w:t xml:space="preserve">, továbbá </w:t>
      </w:r>
      <w:r>
        <w:t xml:space="preserve">vizsgálják </w:t>
      </w:r>
      <w:r w:rsidRPr="00915776">
        <w:t xml:space="preserve">a PMSE eszközök 700 MHz-es </w:t>
      </w:r>
      <w:r w:rsidR="00686F5C">
        <w:t>frekvencia</w:t>
      </w:r>
      <w:r w:rsidRPr="00915776">
        <w:t>sávon belüli és 694 MHz alatti használatának műszaki feltételei</w:t>
      </w:r>
      <w:r>
        <w:t>t</w:t>
      </w:r>
      <w:r w:rsidRPr="00915776">
        <w:t xml:space="preserve"> is.</w:t>
      </w:r>
    </w:p>
    <w:p w14:paraId="13275AE7" w14:textId="11BEE767" w:rsidR="00915776" w:rsidRPr="00915776" w:rsidRDefault="00A65A32" w:rsidP="00A65A32">
      <w:pPr>
        <w:pStyle w:val="Behzottbekezdsnmhh"/>
      </w:pPr>
      <w:r>
        <w:t>A</w:t>
      </w:r>
      <w:r w:rsidR="00FA33C1">
        <w:t xml:space="preserve"> </w:t>
      </w:r>
      <w:r w:rsidR="00B63FBC">
        <w:t xml:space="preserve">700 MHz-es </w:t>
      </w:r>
      <w:r w:rsidR="00686F5C">
        <w:t>frekvencia</w:t>
      </w:r>
      <w:r w:rsidR="00B63FBC">
        <w:t>sáv MFCN használ</w:t>
      </w:r>
      <w:r w:rsidR="00F16E48">
        <w:t>atával</w:t>
      </w:r>
      <w:r w:rsidR="00F86EB0">
        <w:t xml:space="preserve"> </w:t>
      </w:r>
      <w:r w:rsidR="00B63FBC">
        <w:t xml:space="preserve">kapcsolatban </w:t>
      </w:r>
      <w:r w:rsidR="00166901">
        <w:t xml:space="preserve">további </w:t>
      </w:r>
      <w:r w:rsidR="00B676F5">
        <w:t xml:space="preserve">CEPT </w:t>
      </w:r>
      <w:r w:rsidR="00E92416">
        <w:t>dokumentumok kerültek elfogadásra</w:t>
      </w:r>
      <w:r w:rsidR="00FA33C1">
        <w:t xml:space="preserve"> </w:t>
      </w:r>
      <w:r w:rsidR="00B676F5">
        <w:t xml:space="preserve">az </w:t>
      </w:r>
      <w:r w:rsidR="00B63FBC">
        <w:t>ECC</w:t>
      </w:r>
      <w:r w:rsidR="00B63FBC" w:rsidRPr="00F5633E">
        <w:rPr>
          <w:vertAlign w:val="superscript"/>
        </w:rPr>
        <w:footnoteReference w:id="34"/>
      </w:r>
      <w:r w:rsidR="00B63FBC">
        <w:t xml:space="preserve"> jóváhagyásával</w:t>
      </w:r>
      <w:r w:rsidR="002F01C8">
        <w:t>:</w:t>
      </w:r>
    </w:p>
    <w:p w14:paraId="67D7100E" w14:textId="74D4FA21" w:rsidR="00915776" w:rsidRPr="001F173A" w:rsidRDefault="00915776" w:rsidP="001E2064">
      <w:pPr>
        <w:pStyle w:val="Listaszerbekezds"/>
        <w:numPr>
          <w:ilvl w:val="0"/>
          <w:numId w:val="8"/>
        </w:numPr>
        <w:ind w:left="714" w:hanging="357"/>
        <w:contextualSpacing w:val="0"/>
        <w:rPr>
          <w:sz w:val="20"/>
          <w:szCs w:val="20"/>
        </w:rPr>
      </w:pPr>
      <w:bookmarkStart w:id="12" w:name="_Toc442791682"/>
      <w:bookmarkStart w:id="13" w:name="_Toc441837710"/>
      <w:r w:rsidRPr="001F173A">
        <w:rPr>
          <w:sz w:val="20"/>
          <w:szCs w:val="20"/>
        </w:rPr>
        <w:lastRenderedPageBreak/>
        <w:t>ECC/DEC/</w:t>
      </w:r>
      <w:proofErr w:type="gramStart"/>
      <w:r w:rsidRPr="001F173A">
        <w:rPr>
          <w:sz w:val="20"/>
          <w:szCs w:val="20"/>
        </w:rPr>
        <w:t>15(</w:t>
      </w:r>
      <w:proofErr w:type="gramEnd"/>
      <w:r w:rsidRPr="001F173A">
        <w:rPr>
          <w:sz w:val="20"/>
          <w:szCs w:val="20"/>
        </w:rPr>
        <w:t>01)</w:t>
      </w:r>
      <w:r w:rsidR="00BC30A3" w:rsidRPr="00F5633E">
        <w:rPr>
          <w:vertAlign w:val="superscript"/>
        </w:rPr>
        <w:footnoteReference w:id="35"/>
      </w:r>
      <w:r w:rsidRPr="001F173A">
        <w:rPr>
          <w:sz w:val="20"/>
          <w:szCs w:val="20"/>
        </w:rPr>
        <w:t xml:space="preserve"> </w:t>
      </w:r>
      <w:r w:rsidR="006E5791">
        <w:rPr>
          <w:sz w:val="20"/>
          <w:szCs w:val="20"/>
        </w:rPr>
        <w:t>H</w:t>
      </w:r>
      <w:r w:rsidRPr="001F173A">
        <w:rPr>
          <w:sz w:val="20"/>
          <w:szCs w:val="20"/>
        </w:rPr>
        <w:t xml:space="preserve">atározat tartalmazza a 700 MHz-es sáv MFCN célú </w:t>
      </w:r>
      <w:r w:rsidR="00F879EF" w:rsidRPr="001F173A">
        <w:rPr>
          <w:sz w:val="20"/>
          <w:szCs w:val="20"/>
        </w:rPr>
        <w:t>használ</w:t>
      </w:r>
      <w:r w:rsidR="00F879EF">
        <w:rPr>
          <w:sz w:val="20"/>
          <w:szCs w:val="20"/>
        </w:rPr>
        <w:t>atá</w:t>
      </w:r>
      <w:r w:rsidR="00F879EF" w:rsidRPr="001F173A">
        <w:rPr>
          <w:sz w:val="20"/>
          <w:szCs w:val="20"/>
        </w:rPr>
        <w:t xml:space="preserve">hoz </w:t>
      </w:r>
      <w:r w:rsidRPr="001F173A">
        <w:rPr>
          <w:sz w:val="20"/>
          <w:szCs w:val="20"/>
        </w:rPr>
        <w:t>szükséges harmonizált műszaki feltételeket</w:t>
      </w:r>
      <w:r w:rsidR="002F01C8" w:rsidRPr="001F173A">
        <w:rPr>
          <w:sz w:val="20"/>
          <w:szCs w:val="20"/>
        </w:rPr>
        <w:t xml:space="preserve">, </w:t>
      </w:r>
      <w:r w:rsidR="001F173A" w:rsidRPr="001F173A">
        <w:rPr>
          <w:sz w:val="20"/>
          <w:szCs w:val="20"/>
        </w:rPr>
        <w:t>így például a 700 MHz-es sáv javasolt csatornaelrendezését és a különböző rádiós szolgálatok együttélését biztosító maximálisan kisugározható teljesítményértéke</w:t>
      </w:r>
      <w:r w:rsidR="00657448">
        <w:rPr>
          <w:sz w:val="20"/>
          <w:szCs w:val="20"/>
        </w:rPr>
        <w:t>ke</w:t>
      </w:r>
      <w:r w:rsidR="001F173A">
        <w:rPr>
          <w:sz w:val="20"/>
          <w:szCs w:val="20"/>
        </w:rPr>
        <w:t>t</w:t>
      </w:r>
      <w:r w:rsidRPr="001F173A">
        <w:rPr>
          <w:sz w:val="20"/>
          <w:szCs w:val="20"/>
        </w:rPr>
        <w:t>;</w:t>
      </w:r>
      <w:bookmarkEnd w:id="12"/>
    </w:p>
    <w:p w14:paraId="408FD582" w14:textId="77777777" w:rsidR="00915776" w:rsidRDefault="00EE2091" w:rsidP="001E2064">
      <w:pPr>
        <w:pStyle w:val="Listaszerbekezds"/>
        <w:numPr>
          <w:ilvl w:val="0"/>
          <w:numId w:val="8"/>
        </w:numPr>
        <w:ind w:left="714" w:hanging="357"/>
        <w:contextualSpacing w:val="0"/>
        <w:rPr>
          <w:sz w:val="20"/>
          <w:szCs w:val="20"/>
        </w:rPr>
      </w:pPr>
      <w:bookmarkStart w:id="14" w:name="_Toc442791683"/>
      <w:r w:rsidRPr="001F173A">
        <w:rPr>
          <w:sz w:val="20"/>
          <w:szCs w:val="20"/>
        </w:rPr>
        <w:t>ECC 199. Jelentés</w:t>
      </w:r>
      <w:r w:rsidR="008B3873" w:rsidRPr="00F5633E">
        <w:rPr>
          <w:vertAlign w:val="superscript"/>
        </w:rPr>
        <w:footnoteReference w:id="36"/>
      </w:r>
      <w:r w:rsidRPr="001F173A">
        <w:rPr>
          <w:sz w:val="20"/>
          <w:szCs w:val="20"/>
        </w:rPr>
        <w:t xml:space="preserve"> </w:t>
      </w:r>
      <w:r w:rsidR="00915776" w:rsidRPr="001F173A">
        <w:rPr>
          <w:sz w:val="20"/>
          <w:szCs w:val="20"/>
        </w:rPr>
        <w:t xml:space="preserve">a szélessávú PPDR </w:t>
      </w:r>
      <w:r w:rsidR="00BC30A3">
        <w:rPr>
          <w:sz w:val="20"/>
          <w:szCs w:val="20"/>
        </w:rPr>
        <w:t xml:space="preserve">(BB-PPDR) </w:t>
      </w:r>
      <w:r w:rsidR="00915776" w:rsidRPr="001F173A">
        <w:rPr>
          <w:sz w:val="20"/>
          <w:szCs w:val="20"/>
        </w:rPr>
        <w:t xml:space="preserve">rendszerek számára szükséges spektrumigények vizsgálatát </w:t>
      </w:r>
      <w:r w:rsidRPr="001F173A">
        <w:rPr>
          <w:sz w:val="20"/>
          <w:szCs w:val="20"/>
        </w:rPr>
        <w:t xml:space="preserve">tartalmazza, figyelembe véve </w:t>
      </w:r>
      <w:r w:rsidR="00915776" w:rsidRPr="001F173A">
        <w:rPr>
          <w:sz w:val="20"/>
          <w:szCs w:val="20"/>
        </w:rPr>
        <w:t>a különféle felhasználói követelményeket</w:t>
      </w:r>
      <w:r w:rsidRPr="001F173A">
        <w:rPr>
          <w:sz w:val="20"/>
          <w:szCs w:val="20"/>
        </w:rPr>
        <w:t>.</w:t>
      </w:r>
      <w:r w:rsidR="00915776" w:rsidRPr="001F173A">
        <w:rPr>
          <w:sz w:val="20"/>
          <w:szCs w:val="20"/>
        </w:rPr>
        <w:t xml:space="preserve"> Ennek megfelelően az országos kiterjedésű</w:t>
      </w:r>
      <w:r w:rsidR="002E7F47">
        <w:rPr>
          <w:sz w:val="20"/>
          <w:szCs w:val="20"/>
        </w:rPr>
        <w:t xml:space="preserve"> BB-PPDR hálózatok </w:t>
      </w:r>
      <w:r w:rsidR="00915776" w:rsidRPr="001F173A">
        <w:rPr>
          <w:sz w:val="20"/>
          <w:szCs w:val="20"/>
        </w:rPr>
        <w:t>(BB</w:t>
      </w:r>
      <w:r w:rsidR="00EF48FA">
        <w:rPr>
          <w:sz w:val="20"/>
          <w:szCs w:val="20"/>
        </w:rPr>
        <w:t>-</w:t>
      </w:r>
      <w:r w:rsidR="00915776" w:rsidRPr="001F173A">
        <w:rPr>
          <w:sz w:val="20"/>
          <w:szCs w:val="20"/>
        </w:rPr>
        <w:t>PPDR WAN</w:t>
      </w:r>
      <w:r w:rsidR="00EF48FA" w:rsidRPr="00F5633E">
        <w:rPr>
          <w:vertAlign w:val="superscript"/>
        </w:rPr>
        <w:footnoteReference w:id="37"/>
      </w:r>
      <w:r w:rsidR="00915776" w:rsidRPr="001F173A">
        <w:rPr>
          <w:sz w:val="20"/>
          <w:szCs w:val="20"/>
        </w:rPr>
        <w:t>) minimális spektrumigénye 2x10 MHz</w:t>
      </w:r>
      <w:r w:rsidR="00EF48FA">
        <w:rPr>
          <w:sz w:val="20"/>
          <w:szCs w:val="20"/>
        </w:rPr>
        <w:t>, mely részben vagy egészben, nemzeti döntéstől függően a 700 MHz-es sávban teljesíthető</w:t>
      </w:r>
      <w:r w:rsidR="00915776" w:rsidRPr="001F173A">
        <w:rPr>
          <w:sz w:val="20"/>
          <w:szCs w:val="20"/>
        </w:rPr>
        <w:t xml:space="preserve">; </w:t>
      </w:r>
      <w:bookmarkEnd w:id="13"/>
      <w:bookmarkEnd w:id="14"/>
    </w:p>
    <w:p w14:paraId="68FEAFB2" w14:textId="77777777" w:rsidR="00F5233D" w:rsidRPr="00F5233D" w:rsidRDefault="00F5233D" w:rsidP="001E2064">
      <w:pPr>
        <w:pStyle w:val="Listaszerbekezds"/>
        <w:numPr>
          <w:ilvl w:val="0"/>
          <w:numId w:val="8"/>
        </w:numPr>
        <w:contextualSpacing w:val="0"/>
        <w:rPr>
          <w:sz w:val="20"/>
          <w:szCs w:val="20"/>
        </w:rPr>
      </w:pPr>
      <w:r w:rsidRPr="00F5233D">
        <w:rPr>
          <w:sz w:val="20"/>
          <w:szCs w:val="20"/>
        </w:rPr>
        <w:t>ECC 218. Jelentés</w:t>
      </w:r>
      <w:r w:rsidRPr="00F5633E">
        <w:rPr>
          <w:vertAlign w:val="superscript"/>
        </w:rPr>
        <w:footnoteReference w:id="38"/>
      </w:r>
      <w:r w:rsidRPr="00F5233D">
        <w:rPr>
          <w:sz w:val="20"/>
          <w:szCs w:val="20"/>
        </w:rPr>
        <w:t xml:space="preserve"> </w:t>
      </w:r>
      <w:r>
        <w:rPr>
          <w:sz w:val="20"/>
          <w:szCs w:val="20"/>
        </w:rPr>
        <w:t xml:space="preserve">a BB-PPDR </w:t>
      </w:r>
      <w:r w:rsidR="0016646D">
        <w:rPr>
          <w:sz w:val="20"/>
          <w:szCs w:val="20"/>
        </w:rPr>
        <w:t xml:space="preserve">számára kijelölhető </w:t>
      </w:r>
      <w:r>
        <w:rPr>
          <w:sz w:val="20"/>
          <w:szCs w:val="20"/>
        </w:rPr>
        <w:t>frekvenciasáv</w:t>
      </w:r>
      <w:r w:rsidR="0016646D">
        <w:rPr>
          <w:sz w:val="20"/>
          <w:szCs w:val="20"/>
        </w:rPr>
        <w:t xml:space="preserve"> opciókat </w:t>
      </w:r>
      <w:r>
        <w:rPr>
          <w:sz w:val="20"/>
          <w:szCs w:val="20"/>
        </w:rPr>
        <w:t>és</w:t>
      </w:r>
      <w:r w:rsidR="0016646D">
        <w:rPr>
          <w:sz w:val="20"/>
          <w:szCs w:val="20"/>
        </w:rPr>
        <w:t xml:space="preserve"> a</w:t>
      </w:r>
      <w:r>
        <w:rPr>
          <w:sz w:val="20"/>
          <w:szCs w:val="20"/>
        </w:rPr>
        <w:t xml:space="preserve"> harmonizált műszaki </w:t>
      </w:r>
      <w:r w:rsidR="0016646D">
        <w:rPr>
          <w:sz w:val="20"/>
          <w:szCs w:val="20"/>
        </w:rPr>
        <w:t>feltételeket tartalmazza a 700 MHz-es és 400 MHz-es sávokra</w:t>
      </w:r>
      <w:r>
        <w:rPr>
          <w:sz w:val="20"/>
          <w:szCs w:val="20"/>
        </w:rPr>
        <w:t>;</w:t>
      </w:r>
    </w:p>
    <w:p w14:paraId="0DA726D8" w14:textId="77777777" w:rsidR="00657448" w:rsidRPr="008E6B8C" w:rsidRDefault="00657448" w:rsidP="001E2064">
      <w:pPr>
        <w:pStyle w:val="Listaszerbekezds"/>
        <w:numPr>
          <w:ilvl w:val="0"/>
          <w:numId w:val="8"/>
        </w:numPr>
        <w:contextualSpacing w:val="0"/>
        <w:rPr>
          <w:sz w:val="20"/>
          <w:szCs w:val="20"/>
        </w:rPr>
      </w:pPr>
      <w:r w:rsidRPr="008E6B8C">
        <w:rPr>
          <w:sz w:val="20"/>
          <w:szCs w:val="20"/>
        </w:rPr>
        <w:t>ECC</w:t>
      </w:r>
      <w:r w:rsidR="008E6B8C" w:rsidRPr="008E6B8C">
        <w:rPr>
          <w:sz w:val="20"/>
          <w:szCs w:val="20"/>
        </w:rPr>
        <w:t xml:space="preserve"> 239. Jelentés</w:t>
      </w:r>
      <w:r w:rsidR="008E6B8C" w:rsidRPr="00F5633E">
        <w:rPr>
          <w:vertAlign w:val="superscript"/>
        </w:rPr>
        <w:footnoteReference w:id="39"/>
      </w:r>
      <w:r w:rsidR="008E6B8C" w:rsidRPr="008E6B8C">
        <w:rPr>
          <w:sz w:val="20"/>
          <w:szCs w:val="20"/>
        </w:rPr>
        <w:t xml:space="preserve"> a szélessávú PPDR (BB-PPDR) összeférhetőségi vizsgálatait tartalmazza a 700 MHz sávra; </w:t>
      </w:r>
    </w:p>
    <w:p w14:paraId="6089E483" w14:textId="77777777" w:rsidR="002F01C8" w:rsidRPr="001C5208" w:rsidRDefault="002F01C8" w:rsidP="001E2064">
      <w:pPr>
        <w:pStyle w:val="Listaszerbekezds"/>
        <w:numPr>
          <w:ilvl w:val="0"/>
          <w:numId w:val="8"/>
        </w:numPr>
        <w:ind w:left="714" w:hanging="357"/>
        <w:contextualSpacing w:val="0"/>
        <w:rPr>
          <w:sz w:val="20"/>
          <w:szCs w:val="20"/>
        </w:rPr>
      </w:pPr>
      <w:r w:rsidRPr="001C5208">
        <w:rPr>
          <w:sz w:val="20"/>
          <w:szCs w:val="20"/>
        </w:rPr>
        <w:t>ECC/REC/</w:t>
      </w:r>
      <w:proofErr w:type="gramStart"/>
      <w:r w:rsidRPr="001C5208">
        <w:rPr>
          <w:sz w:val="20"/>
          <w:szCs w:val="20"/>
        </w:rPr>
        <w:t>16(</w:t>
      </w:r>
      <w:proofErr w:type="gramEnd"/>
      <w:r w:rsidRPr="001C5208">
        <w:rPr>
          <w:sz w:val="20"/>
          <w:szCs w:val="20"/>
        </w:rPr>
        <w:t>02)</w:t>
      </w:r>
      <w:r w:rsidR="00EE2091" w:rsidRPr="001C5208">
        <w:rPr>
          <w:sz w:val="20"/>
          <w:szCs w:val="20"/>
        </w:rPr>
        <w:t xml:space="preserve"> </w:t>
      </w:r>
      <w:r w:rsidR="008B3873" w:rsidRPr="001C5208">
        <w:rPr>
          <w:sz w:val="20"/>
          <w:szCs w:val="20"/>
        </w:rPr>
        <w:t>H</w:t>
      </w:r>
      <w:r w:rsidR="00EE2091" w:rsidRPr="001C5208">
        <w:rPr>
          <w:sz w:val="20"/>
          <w:szCs w:val="20"/>
        </w:rPr>
        <w:t>atározat</w:t>
      </w:r>
      <w:r w:rsidR="001C5208" w:rsidRPr="001C5208">
        <w:rPr>
          <w:vertAlign w:val="superscript"/>
        </w:rPr>
        <w:footnoteReference w:id="40"/>
      </w:r>
      <w:r w:rsidR="00EE2091" w:rsidRPr="001C5208">
        <w:rPr>
          <w:sz w:val="20"/>
          <w:szCs w:val="20"/>
        </w:rPr>
        <w:t xml:space="preserve"> a</w:t>
      </w:r>
      <w:r w:rsidR="008E6B8C" w:rsidRPr="001C5208">
        <w:rPr>
          <w:sz w:val="20"/>
          <w:szCs w:val="20"/>
        </w:rPr>
        <w:t xml:space="preserve"> BB-</w:t>
      </w:r>
      <w:r w:rsidR="00EE2091" w:rsidRPr="001C5208">
        <w:rPr>
          <w:sz w:val="20"/>
          <w:szCs w:val="20"/>
        </w:rPr>
        <w:t>PPDR célú felhasználásához szükséges harmonizált műszaki feltételeket és frekvenciasávokat tartalmazza (a 700 MH</w:t>
      </w:r>
      <w:r w:rsidR="008E6B8C" w:rsidRPr="001C5208">
        <w:rPr>
          <w:sz w:val="20"/>
          <w:szCs w:val="20"/>
        </w:rPr>
        <w:t>z</w:t>
      </w:r>
      <w:r w:rsidR="00EE2091" w:rsidRPr="001C5208">
        <w:rPr>
          <w:sz w:val="20"/>
          <w:szCs w:val="20"/>
        </w:rPr>
        <w:t xml:space="preserve"> sávban és a 450 MHz sávban);</w:t>
      </w:r>
      <w:r w:rsidRPr="001C5208">
        <w:rPr>
          <w:sz w:val="20"/>
          <w:szCs w:val="20"/>
        </w:rPr>
        <w:t xml:space="preserve"> </w:t>
      </w:r>
    </w:p>
    <w:p w14:paraId="251070B3" w14:textId="77777777" w:rsidR="00B81BDE" w:rsidRDefault="006E5791" w:rsidP="001E2064">
      <w:pPr>
        <w:pStyle w:val="Listaszerbekezds"/>
        <w:numPr>
          <w:ilvl w:val="0"/>
          <w:numId w:val="8"/>
        </w:numPr>
        <w:contextualSpacing w:val="0"/>
        <w:rPr>
          <w:sz w:val="20"/>
          <w:szCs w:val="20"/>
        </w:rPr>
      </w:pPr>
      <w:r w:rsidRPr="001C5208">
        <w:rPr>
          <w:sz w:val="20"/>
          <w:szCs w:val="20"/>
        </w:rPr>
        <w:t>ECC 242. Jelentés</w:t>
      </w:r>
      <w:r w:rsidRPr="001C5208">
        <w:rPr>
          <w:vertAlign w:val="superscript"/>
        </w:rPr>
        <w:footnoteReference w:id="41"/>
      </w:r>
      <w:r w:rsidRPr="001C5208">
        <w:rPr>
          <w:sz w:val="20"/>
          <w:szCs w:val="20"/>
        </w:rPr>
        <w:t xml:space="preserve"> a 733-736 MHz/788-791 MHz sávban üzemeltethető M2M alkalmazások összeférhetőségi vizsgálatait</w:t>
      </w:r>
      <w:r w:rsidR="000B30FD">
        <w:rPr>
          <w:sz w:val="20"/>
          <w:szCs w:val="20"/>
        </w:rPr>
        <w:t xml:space="preserve"> és a sávmegosztás műszaki feltételeit</w:t>
      </w:r>
      <w:r w:rsidRPr="001C5208">
        <w:rPr>
          <w:sz w:val="20"/>
          <w:szCs w:val="20"/>
        </w:rPr>
        <w:t xml:space="preserve"> tartalmazza</w:t>
      </w:r>
      <w:r w:rsidR="008E6B8C" w:rsidRPr="001C5208">
        <w:rPr>
          <w:sz w:val="20"/>
          <w:szCs w:val="20"/>
        </w:rPr>
        <w:t>;</w:t>
      </w:r>
    </w:p>
    <w:p w14:paraId="02C04737" w14:textId="5500054A" w:rsidR="00B81BDE" w:rsidRPr="00E004EB" w:rsidRDefault="00B81BDE" w:rsidP="00B81BDE">
      <w:pPr>
        <w:pStyle w:val="Listaszerbekezds"/>
        <w:numPr>
          <w:ilvl w:val="0"/>
          <w:numId w:val="8"/>
        </w:numPr>
        <w:ind w:left="714" w:hanging="357"/>
        <w:contextualSpacing w:val="0"/>
        <w:rPr>
          <w:sz w:val="20"/>
          <w:szCs w:val="20"/>
        </w:rPr>
      </w:pPr>
      <w:r w:rsidRPr="00E004EB">
        <w:rPr>
          <w:sz w:val="20"/>
          <w:szCs w:val="20"/>
        </w:rPr>
        <w:t>266. ECC Jelentés</w:t>
      </w:r>
      <w:r w:rsidRPr="00E004EB">
        <w:rPr>
          <w:sz w:val="20"/>
          <w:szCs w:val="20"/>
          <w:vertAlign w:val="superscript"/>
        </w:rPr>
        <w:footnoteReference w:id="42"/>
      </w:r>
      <w:r w:rsidRPr="00E004EB">
        <w:rPr>
          <w:sz w:val="20"/>
          <w:szCs w:val="20"/>
        </w:rPr>
        <w:t xml:space="preserve"> a harmonizált MFCN sávokban – köztük a 700 MHz-es sávban – a keskenysávú és szélessávú, cellás rendszereken alapuló M2M alkalmazások megvalósíthat</w:t>
      </w:r>
      <w:r w:rsidR="00F879EF">
        <w:rPr>
          <w:sz w:val="20"/>
          <w:szCs w:val="20"/>
        </w:rPr>
        <w:t>óságának</w:t>
      </w:r>
      <w:r w:rsidRPr="00E004EB">
        <w:rPr>
          <w:sz w:val="20"/>
          <w:szCs w:val="20"/>
        </w:rPr>
        <w:t xml:space="preserve"> lehetőségét vizsgálja az adott sávokban az MFCN-re elfogadott műszaki szabályozási feltételek mellett.</w:t>
      </w:r>
      <w:r w:rsidR="0006062E">
        <w:rPr>
          <w:sz w:val="20"/>
          <w:szCs w:val="20"/>
        </w:rPr>
        <w:t xml:space="preserve"> </w:t>
      </w:r>
      <w:r w:rsidR="0006062E" w:rsidRPr="00280A1B">
        <w:rPr>
          <w:sz w:val="20"/>
          <w:szCs w:val="20"/>
        </w:rPr>
        <w:t xml:space="preserve">A 700 MHz-es sávban az LTE MTC és </w:t>
      </w:r>
      <w:proofErr w:type="spellStart"/>
      <w:r w:rsidR="0006062E" w:rsidRPr="00280A1B">
        <w:rPr>
          <w:sz w:val="20"/>
          <w:szCs w:val="20"/>
        </w:rPr>
        <w:t>eMTC</w:t>
      </w:r>
      <w:proofErr w:type="spellEnd"/>
      <w:r w:rsidR="0006062E" w:rsidRPr="00280A1B">
        <w:rPr>
          <w:sz w:val="20"/>
          <w:szCs w:val="20"/>
        </w:rPr>
        <w:t>, valamint az NB-</w:t>
      </w:r>
      <w:proofErr w:type="spellStart"/>
      <w:r w:rsidR="0006062E" w:rsidRPr="00280A1B">
        <w:rPr>
          <w:sz w:val="20"/>
          <w:szCs w:val="20"/>
        </w:rPr>
        <w:t>IoT</w:t>
      </w:r>
      <w:proofErr w:type="spellEnd"/>
      <w:r w:rsidR="0006062E" w:rsidRPr="00280A1B">
        <w:rPr>
          <w:sz w:val="20"/>
          <w:szCs w:val="20"/>
        </w:rPr>
        <w:t xml:space="preserve"> bevezetésére van lehetőség az MFCN rendszereken belül</w:t>
      </w:r>
      <w:r w:rsidR="003032A5">
        <w:rPr>
          <w:sz w:val="20"/>
          <w:szCs w:val="20"/>
        </w:rPr>
        <w:t>;</w:t>
      </w:r>
    </w:p>
    <w:p w14:paraId="2578C7B3" w14:textId="77777777" w:rsidR="001C5208" w:rsidRPr="001C5208" w:rsidRDefault="001C5208" w:rsidP="001E2064">
      <w:pPr>
        <w:pStyle w:val="Listaszerbekezds"/>
        <w:numPr>
          <w:ilvl w:val="0"/>
          <w:numId w:val="8"/>
        </w:numPr>
        <w:contextualSpacing w:val="0"/>
        <w:rPr>
          <w:sz w:val="20"/>
          <w:szCs w:val="20"/>
        </w:rPr>
      </w:pPr>
      <w:r w:rsidRPr="001C5208">
        <w:rPr>
          <w:sz w:val="20"/>
          <w:szCs w:val="20"/>
        </w:rPr>
        <w:lastRenderedPageBreak/>
        <w:t>ECC 221. Jelentés</w:t>
      </w:r>
      <w:r w:rsidRPr="001C5208">
        <w:rPr>
          <w:vertAlign w:val="superscript"/>
        </w:rPr>
        <w:footnoteReference w:id="43"/>
      </w:r>
      <w:r w:rsidRPr="001C5208">
        <w:rPr>
          <w:sz w:val="20"/>
          <w:szCs w:val="20"/>
        </w:rPr>
        <w:t xml:space="preserve"> </w:t>
      </w:r>
      <w:r>
        <w:rPr>
          <w:sz w:val="20"/>
          <w:szCs w:val="20"/>
        </w:rPr>
        <w:t xml:space="preserve">a </w:t>
      </w:r>
      <w:r w:rsidR="0024314F">
        <w:rPr>
          <w:sz w:val="20"/>
          <w:szCs w:val="20"/>
        </w:rPr>
        <w:t xml:space="preserve">szomszédos sávokban üzemelő </w:t>
      </w:r>
      <w:r>
        <w:rPr>
          <w:sz w:val="20"/>
          <w:szCs w:val="20"/>
        </w:rPr>
        <w:t xml:space="preserve">PMSE és MFCN közötti </w:t>
      </w:r>
      <w:r w:rsidR="00F5233D">
        <w:rPr>
          <w:sz w:val="20"/>
          <w:szCs w:val="20"/>
        </w:rPr>
        <w:t>összeférhetőségi vizsgálatokat tartalmazza;</w:t>
      </w:r>
    </w:p>
    <w:p w14:paraId="2591D2C8" w14:textId="77777777" w:rsidR="006A0915" w:rsidRPr="00A663FF" w:rsidRDefault="00EE2091" w:rsidP="001E2064">
      <w:pPr>
        <w:pStyle w:val="Behzottbekezdsnmhh"/>
        <w:numPr>
          <w:ilvl w:val="0"/>
          <w:numId w:val="8"/>
        </w:numPr>
      </w:pPr>
      <w:r w:rsidRPr="00A663FF">
        <w:t>a</w:t>
      </w:r>
      <w:r w:rsidR="006A0915" w:rsidRPr="00A663FF">
        <w:t>z ECC/REC/(15</w:t>
      </w:r>
      <w:proofErr w:type="gramStart"/>
      <w:r w:rsidR="006A0915" w:rsidRPr="00A663FF">
        <w:t>)01</w:t>
      </w:r>
      <w:proofErr w:type="gramEnd"/>
      <w:r w:rsidR="006A0915" w:rsidRPr="00A663FF">
        <w:t xml:space="preserve"> </w:t>
      </w:r>
      <w:r w:rsidR="006E5791" w:rsidRPr="00A663FF">
        <w:t>A</w:t>
      </w:r>
      <w:r w:rsidR="006A0915" w:rsidRPr="00A663FF">
        <w:t>jánlás</w:t>
      </w:r>
      <w:r w:rsidR="008B3873" w:rsidRPr="00A663FF">
        <w:rPr>
          <w:vertAlign w:val="superscript"/>
        </w:rPr>
        <w:footnoteReference w:id="44"/>
      </w:r>
      <w:r w:rsidR="006A0915" w:rsidRPr="00A663FF">
        <w:t xml:space="preserve"> a </w:t>
      </w:r>
      <w:r w:rsidR="00F5233D" w:rsidRPr="00A663FF">
        <w:t xml:space="preserve">700 MHz </w:t>
      </w:r>
      <w:r w:rsidR="006A0915" w:rsidRPr="00A663FF">
        <w:t>sávban (</w:t>
      </w:r>
      <w:r w:rsidR="00F5233D" w:rsidRPr="00A663FF">
        <w:t>valamint az 1452-1492 MHz és 3400-3800 MHz sávokban</w:t>
      </w:r>
      <w:r w:rsidR="006A0915" w:rsidRPr="00A663FF">
        <w:t>) működő MFCN rendszerekre vonatkozó koordinációs előírásokat</w:t>
      </w:r>
      <w:r w:rsidR="006E5791" w:rsidRPr="00A663FF">
        <w:t xml:space="preserve"> tartalmazza</w:t>
      </w:r>
      <w:r w:rsidRPr="00A663FF">
        <w:t>;</w:t>
      </w:r>
    </w:p>
    <w:p w14:paraId="66500856" w14:textId="77777777" w:rsidR="00B81BDE" w:rsidRDefault="00EE2091" w:rsidP="001E2064">
      <w:pPr>
        <w:pStyle w:val="Listaszerbekezds"/>
        <w:numPr>
          <w:ilvl w:val="0"/>
          <w:numId w:val="8"/>
        </w:numPr>
        <w:ind w:left="714" w:hanging="357"/>
        <w:contextualSpacing w:val="0"/>
        <w:rPr>
          <w:sz w:val="20"/>
          <w:szCs w:val="20"/>
        </w:rPr>
      </w:pPr>
      <w:r w:rsidRPr="001C5208">
        <w:rPr>
          <w:sz w:val="20"/>
          <w:szCs w:val="20"/>
        </w:rPr>
        <w:t>a</w:t>
      </w:r>
      <w:r w:rsidR="002F01C8" w:rsidRPr="001C5208">
        <w:rPr>
          <w:sz w:val="20"/>
          <w:szCs w:val="20"/>
        </w:rPr>
        <w:t>z ECC/REC/(1</w:t>
      </w:r>
      <w:r w:rsidRPr="001C5208">
        <w:rPr>
          <w:sz w:val="20"/>
          <w:szCs w:val="20"/>
        </w:rPr>
        <w:t>6</w:t>
      </w:r>
      <w:proofErr w:type="gramStart"/>
      <w:r w:rsidR="002F01C8" w:rsidRPr="001C5208">
        <w:rPr>
          <w:sz w:val="20"/>
          <w:szCs w:val="20"/>
        </w:rPr>
        <w:t>)0</w:t>
      </w:r>
      <w:r w:rsidR="00C251BD">
        <w:rPr>
          <w:sz w:val="20"/>
          <w:szCs w:val="20"/>
        </w:rPr>
        <w:t>3</w:t>
      </w:r>
      <w:proofErr w:type="gramEnd"/>
      <w:r w:rsidR="008B3873" w:rsidRPr="001C5208">
        <w:rPr>
          <w:vertAlign w:val="superscript"/>
        </w:rPr>
        <w:footnoteReference w:id="45"/>
      </w:r>
      <w:r w:rsidRPr="001C5208">
        <w:rPr>
          <w:sz w:val="20"/>
          <w:szCs w:val="20"/>
        </w:rPr>
        <w:t xml:space="preserve"> </w:t>
      </w:r>
      <w:r w:rsidR="006E5791" w:rsidRPr="001C5208">
        <w:rPr>
          <w:sz w:val="20"/>
          <w:szCs w:val="20"/>
        </w:rPr>
        <w:t>A</w:t>
      </w:r>
      <w:r w:rsidR="002F01C8" w:rsidRPr="001C5208">
        <w:rPr>
          <w:sz w:val="20"/>
          <w:szCs w:val="20"/>
        </w:rPr>
        <w:t>jánlás</w:t>
      </w:r>
      <w:r w:rsidRPr="001C5208">
        <w:rPr>
          <w:sz w:val="20"/>
          <w:szCs w:val="20"/>
        </w:rPr>
        <w:t xml:space="preserve"> a</w:t>
      </w:r>
      <w:r w:rsidR="002F01C8" w:rsidRPr="001C5208">
        <w:rPr>
          <w:sz w:val="20"/>
          <w:szCs w:val="20"/>
        </w:rPr>
        <w:t xml:space="preserve"> PPDR</w:t>
      </w:r>
      <w:r w:rsidR="00C806B3" w:rsidRPr="001C5208">
        <w:rPr>
          <w:sz w:val="20"/>
          <w:szCs w:val="20"/>
        </w:rPr>
        <w:t xml:space="preserve"> rendszerekre vonatkozó koordinációs </w:t>
      </w:r>
      <w:r w:rsidR="009256E7" w:rsidRPr="001C5208">
        <w:rPr>
          <w:sz w:val="20"/>
          <w:szCs w:val="20"/>
        </w:rPr>
        <w:t>előírásokat</w:t>
      </w:r>
      <w:r w:rsidR="00C806B3" w:rsidRPr="001C5208">
        <w:rPr>
          <w:sz w:val="20"/>
          <w:szCs w:val="20"/>
        </w:rPr>
        <w:t xml:space="preserve"> tartalmazza</w:t>
      </w:r>
      <w:r w:rsidR="00B81BDE">
        <w:rPr>
          <w:sz w:val="20"/>
          <w:szCs w:val="20"/>
        </w:rPr>
        <w:t>.</w:t>
      </w:r>
    </w:p>
    <w:p w14:paraId="275CC899" w14:textId="1EC17E9C" w:rsidR="00F36014" w:rsidRDefault="00F36014" w:rsidP="00F36014">
      <w:pPr>
        <w:pStyle w:val="Behzottbekezdsnmhh"/>
      </w:pPr>
      <w:r>
        <w:t xml:space="preserve">A 700 MHz-es sávra elfogadott CEPT szabályozás </w:t>
      </w:r>
      <w:r w:rsidR="00125D55">
        <w:t xml:space="preserve">rugalmas </w:t>
      </w:r>
      <w:r>
        <w:t xml:space="preserve">harmonizációt biztosít, mely </w:t>
      </w:r>
      <w:r w:rsidRPr="00DE30AB">
        <w:t>a 694-790 MHz sávban</w:t>
      </w:r>
      <w:r>
        <w:t xml:space="preserve"> egy</w:t>
      </w:r>
      <w:r w:rsidRPr="00DE30AB">
        <w:t xml:space="preserve"> </w:t>
      </w:r>
      <w:r>
        <w:t xml:space="preserve">harmonizált MFCN </w:t>
      </w:r>
      <w:r w:rsidR="00125D55">
        <w:t>célú FDD frekvenciaelrendezés mellett</w:t>
      </w:r>
      <w:r>
        <w:t>, a nemzeti</w:t>
      </w:r>
      <w:r w:rsidRPr="00C806B3">
        <w:t xml:space="preserve"> igényekhez igazítva a védősáv és/vagy a duplex rés egyes sávrészeit</w:t>
      </w:r>
      <w:r>
        <w:t xml:space="preserve"> kiegészítő lemenő irányú </w:t>
      </w:r>
      <w:r w:rsidR="00125D55">
        <w:t xml:space="preserve">összeköttetésekre alkalmas MFCN használatra </w:t>
      </w:r>
      <w:r>
        <w:t>(</w:t>
      </w:r>
      <w:r w:rsidR="00125D55">
        <w:t xml:space="preserve">MFCN </w:t>
      </w:r>
      <w:r>
        <w:t>SDL),</w:t>
      </w:r>
      <w:r w:rsidR="00125D55">
        <w:t xml:space="preserve"> valamint</w:t>
      </w:r>
      <w:r w:rsidRPr="00C806B3">
        <w:t xml:space="preserve"> PMSE, PPDR vagy M2M alkalmazás számára </w:t>
      </w:r>
      <w:r>
        <w:t>teszi lehetővé</w:t>
      </w:r>
      <w:r w:rsidRPr="00C806B3">
        <w:t>.</w:t>
      </w:r>
    </w:p>
    <w:p w14:paraId="2D886B00" w14:textId="5D918ED9" w:rsidR="00F36014" w:rsidRDefault="00F36014" w:rsidP="00F36014">
      <w:pPr>
        <w:pStyle w:val="Behzottbekezdsnmhh"/>
      </w:pPr>
      <w:r w:rsidRPr="00B230CA">
        <w:t>Az</w:t>
      </w:r>
      <w:r w:rsidRPr="003142B5">
        <w:rPr>
          <w:b/>
        </w:rPr>
        <w:t xml:space="preserve"> </w:t>
      </w:r>
      <w:r w:rsidRPr="000A21A7">
        <w:t>MFCN</w:t>
      </w:r>
      <w:r>
        <w:t xml:space="preserve"> célú harmonizált </w:t>
      </w:r>
      <w:r w:rsidR="00605967">
        <w:t>frekvenciaelrendezést</w:t>
      </w:r>
      <w:r>
        <w:t xml:space="preserve">, valamint az </w:t>
      </w:r>
      <w:r w:rsidRPr="00E527B2">
        <w:t xml:space="preserve">MFCN célú </w:t>
      </w:r>
      <w:r w:rsidR="00A26032">
        <w:t>használathoz</w:t>
      </w:r>
      <w:r w:rsidR="00A26032" w:rsidRPr="00E527B2">
        <w:t xml:space="preserve"> </w:t>
      </w:r>
      <w:r w:rsidRPr="00E527B2">
        <w:t>szükséges harmonizált műszaki feltételeket</w:t>
      </w:r>
      <w:r>
        <w:t xml:space="preserve"> a</w:t>
      </w:r>
      <w:r w:rsidR="00C1440B">
        <w:t>z</w:t>
      </w:r>
      <w:r w:rsidRPr="0066129F">
        <w:t xml:space="preserve"> ECC/DEC/</w:t>
      </w:r>
      <w:proofErr w:type="gramStart"/>
      <w:r w:rsidRPr="0066129F">
        <w:t>15(</w:t>
      </w:r>
      <w:proofErr w:type="gramEnd"/>
      <w:r w:rsidRPr="0066129F">
        <w:t>01) Határozat</w:t>
      </w:r>
      <w:r w:rsidRPr="00E527B2">
        <w:t xml:space="preserve"> tartalmazza. </w:t>
      </w:r>
    </w:p>
    <w:p w14:paraId="657DBB89" w14:textId="77777777" w:rsidR="00F36014" w:rsidRPr="00E527B2" w:rsidRDefault="00E004EB" w:rsidP="00F36014">
      <w:pPr>
        <w:pStyle w:val="Behzottbekezdsnmhh"/>
      </w:pPr>
      <w:r>
        <w:rPr>
          <w:noProof/>
          <w:lang w:eastAsia="hu-HU"/>
        </w:rPr>
        <w:drawing>
          <wp:inline distT="0" distB="0" distL="0" distR="0" wp14:anchorId="2AA192A4" wp14:editId="1383552E">
            <wp:extent cx="5760720" cy="1242664"/>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242664"/>
                    </a:xfrm>
                    <a:prstGeom prst="rect">
                      <a:avLst/>
                    </a:prstGeom>
                  </pic:spPr>
                </pic:pic>
              </a:graphicData>
            </a:graphic>
          </wp:inline>
        </w:drawing>
      </w:r>
    </w:p>
    <w:p w14:paraId="23905D20" w14:textId="32CDFE9A" w:rsidR="00F36014" w:rsidRPr="009E2CCE" w:rsidRDefault="009C7F65" w:rsidP="00840181">
      <w:pPr>
        <w:pStyle w:val="Kpalrs"/>
        <w:jc w:val="center"/>
        <w:rPr>
          <w:b w:val="0"/>
          <w:bCs w:val="0"/>
        </w:rPr>
      </w:pPr>
      <w:r>
        <w:rPr>
          <w:noProof/>
        </w:rPr>
        <w:t>3.1.2.</w:t>
      </w:r>
      <w:r w:rsidR="00AD5296">
        <w:rPr>
          <w:noProof/>
        </w:rPr>
        <w:t>a</w:t>
      </w:r>
      <w:r w:rsidR="00F36014" w:rsidRPr="00840181">
        <w:rPr>
          <w:noProof/>
        </w:rPr>
        <w:t xml:space="preserve"> ábra: MFCN frekvenciaelrendezés (forrás</w:t>
      </w:r>
      <w:r w:rsidR="00880924" w:rsidRPr="00840181">
        <w:rPr>
          <w:noProof/>
        </w:rPr>
        <w:t>:</w:t>
      </w:r>
      <w:r w:rsidR="00F36014" w:rsidRPr="00840181">
        <w:rPr>
          <w:noProof/>
        </w:rPr>
        <w:t xml:space="preserve"> ECC/DEC/(15)01)</w:t>
      </w:r>
    </w:p>
    <w:p w14:paraId="74514CBE" w14:textId="77777777" w:rsidR="00F36014" w:rsidRDefault="00F36014" w:rsidP="00F36014">
      <w:pPr>
        <w:pStyle w:val="Behzottbekezdsnmhh"/>
      </w:pPr>
    </w:p>
    <w:p w14:paraId="237773A8" w14:textId="007B4C42" w:rsidR="003F2A29" w:rsidRDefault="003F2A29" w:rsidP="00F36014">
      <w:pPr>
        <w:pStyle w:val="Behzottbekezdsnmhh"/>
      </w:pPr>
      <w:r>
        <w:t xml:space="preserve">Tekintettel arra, hogy az </w:t>
      </w:r>
      <w:r w:rsidRPr="00702B1D">
        <w:t>ECC/DEC/</w:t>
      </w:r>
      <w:proofErr w:type="gramStart"/>
      <w:r w:rsidRPr="00702B1D">
        <w:t>15(</w:t>
      </w:r>
      <w:proofErr w:type="gramEnd"/>
      <w:r w:rsidRPr="00702B1D">
        <w:t xml:space="preserve">01) </w:t>
      </w:r>
      <w:r>
        <w:t>H</w:t>
      </w:r>
      <w:r w:rsidRPr="00702B1D">
        <w:t>atározat</w:t>
      </w:r>
      <w:r>
        <w:t xml:space="preserve">ban szereplő frekvenciaelrendezésben a </w:t>
      </w:r>
      <w:r w:rsidRPr="00125D55">
        <w:t>790-791 MHz</w:t>
      </w:r>
      <w:r>
        <w:t xml:space="preserve"> frekvenciatartomány </w:t>
      </w:r>
      <w:proofErr w:type="spellStart"/>
      <w:r>
        <w:t>átlapolódik</w:t>
      </w:r>
      <w:proofErr w:type="spellEnd"/>
      <w:r>
        <w:t xml:space="preserve"> a 790-862 MHz sávval</w:t>
      </w:r>
      <w:r w:rsidR="005856A9">
        <w:t xml:space="preserve"> (vagyis a 800 MHz-es sávval), </w:t>
      </w:r>
      <w:r w:rsidRPr="00590B17">
        <w:t>a 790–791 MHz</w:t>
      </w:r>
      <w:r w:rsidRPr="00CC28C0">
        <w:t xml:space="preserve"> frekvencia</w:t>
      </w:r>
      <w:r>
        <w:t>tartományra vonatkozó műszaki feltételeket</w:t>
      </w:r>
      <w:r w:rsidRPr="00CC28C0">
        <w:t xml:space="preserve"> úgy kell alkalmazni, hogy a 800 MHz-es sávra vonatkozó </w:t>
      </w:r>
      <w:r>
        <w:t xml:space="preserve">ECC </w:t>
      </w:r>
      <w:r w:rsidRPr="00CC28C0">
        <w:t>határozat rendelkezései is teljesüljenek.</w:t>
      </w:r>
    </w:p>
    <w:p w14:paraId="6DFA1719" w14:textId="2A8E6730" w:rsidR="00F36014" w:rsidRDefault="00F36014" w:rsidP="00F36014">
      <w:pPr>
        <w:pStyle w:val="Behzottbekezdsnmhh"/>
      </w:pPr>
      <w:r w:rsidRPr="00702B1D">
        <w:t>Az ECC/DEC/</w:t>
      </w:r>
      <w:proofErr w:type="gramStart"/>
      <w:r w:rsidRPr="00702B1D">
        <w:t>15(</w:t>
      </w:r>
      <w:proofErr w:type="gramEnd"/>
      <w:r w:rsidRPr="00702B1D">
        <w:t xml:space="preserve">01) </w:t>
      </w:r>
      <w:r w:rsidR="003F2A29">
        <w:t>H</w:t>
      </w:r>
      <w:r w:rsidR="003F2A29" w:rsidRPr="00702B1D">
        <w:t>atározat</w:t>
      </w:r>
      <w:r w:rsidR="003F2A29">
        <w:t xml:space="preserve"> </w:t>
      </w:r>
      <w:r w:rsidR="00E8411E">
        <w:t xml:space="preserve">szerinti </w:t>
      </w:r>
      <w:r w:rsidR="00AD5296">
        <w:t xml:space="preserve">rugalmas </w:t>
      </w:r>
      <w:r>
        <w:t xml:space="preserve">harmonizációnak megfelelően </w:t>
      </w:r>
      <w:r w:rsidRPr="00DE30AB">
        <w:t>a 694-790 MHz sáv</w:t>
      </w:r>
      <w:r>
        <w:t xml:space="preserve"> </w:t>
      </w:r>
      <w:r w:rsidRPr="00DE30AB">
        <w:t xml:space="preserve">egy </w:t>
      </w:r>
      <w:r w:rsidR="00F16E48">
        <w:t xml:space="preserve">olyan </w:t>
      </w:r>
      <w:r>
        <w:t xml:space="preserve">harmonizált MFCN csatornaelrendezést tartalmaz, amely egy </w:t>
      </w:r>
      <w:r w:rsidRPr="00DE30AB">
        <w:t xml:space="preserve">párosított 2x30 MHz FDD </w:t>
      </w:r>
      <w:r>
        <w:t>frekvencia</w:t>
      </w:r>
      <w:r w:rsidRPr="00DE30AB">
        <w:t xml:space="preserve">elrendezést </w:t>
      </w:r>
      <w:r>
        <w:t>és</w:t>
      </w:r>
      <w:r w:rsidRPr="00DE30AB">
        <w:t xml:space="preserve"> egy opcionális</w:t>
      </w:r>
      <w:r>
        <w:t xml:space="preserve">, legfeljebb 4 darab 5 MHz-es frekvenciablokkból álló SDL célú </w:t>
      </w:r>
      <w:proofErr w:type="spellStart"/>
      <w:r w:rsidRPr="00DE30AB">
        <w:t>párosítatlan</w:t>
      </w:r>
      <w:proofErr w:type="spellEnd"/>
      <w:r w:rsidRPr="00DE30AB">
        <w:t xml:space="preserve"> elrendezést </w:t>
      </w:r>
      <w:r>
        <w:t>foglal magában</w:t>
      </w:r>
      <w:r w:rsidRPr="00DE30AB">
        <w:t xml:space="preserve">. </w:t>
      </w:r>
      <w:r>
        <w:t>A harmonizált MFCN felhasználás feltételei:</w:t>
      </w:r>
    </w:p>
    <w:p w14:paraId="2E550083" w14:textId="60EDBB56" w:rsidR="00F36014" w:rsidRPr="00C806B3" w:rsidRDefault="00A663FF" w:rsidP="00723F7F">
      <w:pPr>
        <w:pStyle w:val="Felsorolsbekezdsnmhh"/>
        <w:numPr>
          <w:ilvl w:val="0"/>
          <w:numId w:val="13"/>
        </w:numPr>
      </w:pPr>
      <w:r>
        <w:t xml:space="preserve">a </w:t>
      </w:r>
      <w:r w:rsidR="00F36014" w:rsidRPr="00C806B3">
        <w:t xml:space="preserve">frekvenciablokkok mérete 5 MHz vagy 5 MHz többszöröse lehet, ez nem zárja ki az 5 MHz-es blokkon belül kisebb </w:t>
      </w:r>
      <w:r w:rsidR="00F07EDE">
        <w:t>csatorna</w:t>
      </w:r>
      <w:r w:rsidR="00F36014" w:rsidRPr="00C806B3">
        <w:t>sávszélesség alkalmazását</w:t>
      </w:r>
      <w:r>
        <w:t>;</w:t>
      </w:r>
    </w:p>
    <w:p w14:paraId="0E0160C2" w14:textId="4B8A4E3F" w:rsidR="00F36014" w:rsidRPr="00C806B3" w:rsidRDefault="00F36014" w:rsidP="00723F7F">
      <w:pPr>
        <w:pStyle w:val="Felsorolsbekezdsnmhh"/>
        <w:numPr>
          <w:ilvl w:val="0"/>
          <w:numId w:val="13"/>
        </w:numPr>
      </w:pPr>
      <w:r w:rsidRPr="00C806B3">
        <w:t>FDD elrendezés esetén a végfelhasználói berendezések adási sávja a 703-733 MHz frekvenciatartományban, a bázisállomások adási sávja a 758-788 MHz frekvenciatartományban található</w:t>
      </w:r>
      <w:r w:rsidR="00A663FF">
        <w:t>;</w:t>
      </w:r>
    </w:p>
    <w:p w14:paraId="65E9AAAC" w14:textId="6E46B8A0" w:rsidR="00F36014" w:rsidRPr="00C806B3" w:rsidRDefault="00F36014" w:rsidP="00723F7F">
      <w:pPr>
        <w:pStyle w:val="Felsorolsbekezdsnmhh"/>
        <w:numPr>
          <w:ilvl w:val="0"/>
          <w:numId w:val="13"/>
        </w:numPr>
      </w:pPr>
      <w:r w:rsidRPr="00C806B3">
        <w:lastRenderedPageBreak/>
        <w:t>az SDL célú felhasználás a következő frekvenciablokk</w:t>
      </w:r>
      <w:r>
        <w:t>o</w:t>
      </w:r>
      <w:r w:rsidRPr="00C806B3">
        <w:t>t tartalmazza: 738-743 MHz, 743-748 MHz, 748-753 MHz és 753-758 MHz; az SDL-re felhasználható folytonos blokkokról, a nemzeti igényektől függően, nemzeti hatáskörben lehet dönteni</w:t>
      </w:r>
      <w:r w:rsidR="00A663FF">
        <w:t>;</w:t>
      </w:r>
    </w:p>
    <w:p w14:paraId="50456B2A" w14:textId="77777777" w:rsidR="00F36014" w:rsidRPr="00C806B3" w:rsidRDefault="00F36014" w:rsidP="00723F7F">
      <w:pPr>
        <w:pStyle w:val="Felsorolsbekezdsnmhh"/>
        <w:numPr>
          <w:ilvl w:val="0"/>
          <w:numId w:val="13"/>
        </w:numPr>
      </w:pPr>
      <w:r w:rsidRPr="00C806B3">
        <w:t xml:space="preserve">MFCN (FDD és SDL) mellett egyéb nem-MFCN </w:t>
      </w:r>
      <w:r>
        <w:t>opciókról (mint pl. PPDR, PMSE, M2M)</w:t>
      </w:r>
      <w:r w:rsidRPr="00C806B3">
        <w:t xml:space="preserve"> is születhet döntés nemzeti hatáskörben a flexibilis harmonizáció keretén belül.</w:t>
      </w:r>
      <w:r>
        <w:t xml:space="preserve"> </w:t>
      </w:r>
    </w:p>
    <w:p w14:paraId="122D0C91" w14:textId="5E90DF07" w:rsidR="00F36014" w:rsidRDefault="00F36014" w:rsidP="00F36014">
      <w:pPr>
        <w:pStyle w:val="Behzottbekezdsnmhh"/>
      </w:pPr>
      <w:r w:rsidRPr="00C806B3">
        <w:t xml:space="preserve">A CEPT által meghatározott </w:t>
      </w:r>
      <w:r w:rsidR="0066129F">
        <w:t xml:space="preserve">blokkszéli maszk </w:t>
      </w:r>
      <w:r w:rsidRPr="00C806B3">
        <w:t>(</w:t>
      </w:r>
      <w:proofErr w:type="spellStart"/>
      <w:r w:rsidRPr="00C806B3">
        <w:t>block</w:t>
      </w:r>
      <w:proofErr w:type="spellEnd"/>
      <w:r w:rsidRPr="00C806B3">
        <w:t xml:space="preserve"> </w:t>
      </w:r>
      <w:proofErr w:type="spellStart"/>
      <w:r w:rsidRPr="00C806B3">
        <w:t>edge</w:t>
      </w:r>
      <w:proofErr w:type="spellEnd"/>
      <w:r w:rsidRPr="00C806B3">
        <w:t xml:space="preserve"> </w:t>
      </w:r>
      <w:proofErr w:type="spellStart"/>
      <w:r w:rsidRPr="00C806B3">
        <w:t>mask</w:t>
      </w:r>
      <w:proofErr w:type="spellEnd"/>
      <w:r w:rsidR="0066129F">
        <w:t>, a továbbiakban: BEM</w:t>
      </w:r>
      <w:r w:rsidRPr="00C806B3">
        <w:t>) alkalmazásának köszönhetően lehetőség van arra, hogy több</w:t>
      </w:r>
      <w:r w:rsidR="003B10EE">
        <w:t>féle</w:t>
      </w:r>
      <w:r w:rsidRPr="00C806B3">
        <w:t xml:space="preserve"> </w:t>
      </w:r>
      <w:r w:rsidR="003B10EE">
        <w:t>rádióalkalmazás</w:t>
      </w:r>
      <w:r w:rsidR="003B10EE" w:rsidRPr="00C806B3">
        <w:t xml:space="preserve"> </w:t>
      </w:r>
      <w:r w:rsidRPr="00C806B3">
        <w:t xml:space="preserve">használja a </w:t>
      </w:r>
      <w:r w:rsidR="003B10EE">
        <w:t>frekvencia</w:t>
      </w:r>
      <w:r w:rsidRPr="00C806B3">
        <w:t>sáv egyes részeit, például a duplex résben PPDR és PMSE is működhessen egymás mellett zavartalanul,</w:t>
      </w:r>
      <w:r w:rsidR="003B10EE">
        <w:t xml:space="preserve"> biztosítva ezáltal</w:t>
      </w:r>
      <w:r w:rsidRPr="00C806B3">
        <w:t xml:space="preserve"> a </w:t>
      </w:r>
      <w:r w:rsidR="003B10EE">
        <w:t>frekvencia</w:t>
      </w:r>
      <w:r w:rsidRPr="00C806B3">
        <w:t>sáv felhasználása során a technológia</w:t>
      </w:r>
      <w:r w:rsidR="004407F3">
        <w:t xml:space="preserve"> </w:t>
      </w:r>
      <w:r w:rsidRPr="00C806B3">
        <w:t>semlegességet. A megfelelő BEM-</w:t>
      </w:r>
      <w:proofErr w:type="spellStart"/>
      <w:r w:rsidRPr="00C806B3">
        <w:t>ek</w:t>
      </w:r>
      <w:proofErr w:type="spellEnd"/>
      <w:r w:rsidRPr="00C806B3">
        <w:t xml:space="preserve"> használata lehetővé teszi azt is, hogy az egyes országokban az igényektől függően az adott sávrészeket különböző szolgálatok használják. </w:t>
      </w:r>
      <w:r w:rsidRPr="00E527B2">
        <w:t>A BEM biztosítja a különböző MFCN hálózatok, valamint az MFCN és más szolgálatok (például a 694 MHz alatti műsorszórás) zavartalan működéshez szükséges legkevésbé korlátozó műszaki feltételeket. Külön feltételeket határoztak meg a bázisállomásokra, a mobil terminálokra, valamint PMSE eszközökre. Ezek alkalmazása megkönnyíti a koordinációt az országok között abban az esetben, ha eltérő módon használnák (például: PPDR és SDL) a sáv egyes részeit. Abban az esetben, ha a földfelszíni műsorszórás okoz zavart az MFCN-</w:t>
      </w:r>
      <w:proofErr w:type="spellStart"/>
      <w:r w:rsidRPr="00E527B2">
        <w:t>nek</w:t>
      </w:r>
      <w:proofErr w:type="spellEnd"/>
      <w:r w:rsidRPr="00E527B2">
        <w:t xml:space="preserve">, akkor nemzeti szinten megfelelő zavarcsökkentő módszereket alkalmazva eseti elbírálást kell végezni. </w:t>
      </w:r>
    </w:p>
    <w:p w14:paraId="5D8C3F00" w14:textId="6FC30FEA" w:rsidR="00F36014" w:rsidRPr="009E2CCE" w:rsidRDefault="00F36014" w:rsidP="00723F7F">
      <w:pPr>
        <w:pStyle w:val="Behzottbekezdsnmhh"/>
        <w:rPr>
          <w:b/>
          <w:sz w:val="18"/>
          <w:szCs w:val="18"/>
        </w:rPr>
      </w:pPr>
      <w:r w:rsidRPr="00657448">
        <w:t>A</w:t>
      </w:r>
      <w:r>
        <w:rPr>
          <w:b/>
        </w:rPr>
        <w:t xml:space="preserve"> </w:t>
      </w:r>
      <w:r w:rsidRPr="000A21A7">
        <w:t>PMSE számára</w:t>
      </w:r>
      <w:r w:rsidRPr="00C806B3">
        <w:t xml:space="preserve"> a védősáv és a duplex rés is használható a határozatban közzétett műszaki feltételekkel. </w:t>
      </w:r>
    </w:p>
    <w:p w14:paraId="6859C6CD" w14:textId="1630FFC3" w:rsidR="00F36014" w:rsidRDefault="00F36014" w:rsidP="00F36014">
      <w:pPr>
        <w:pStyle w:val="Behzottbekezdsnmhh"/>
      </w:pPr>
      <w:r w:rsidRPr="00915776">
        <w:t xml:space="preserve">A PMSE eszközök jelenlegi spektrumfelhasználásával és a jövőbeni igényekkel a </w:t>
      </w:r>
      <w:r>
        <w:t xml:space="preserve">CEPT </w:t>
      </w:r>
      <w:r w:rsidR="009B4331">
        <w:t xml:space="preserve">204. </w:t>
      </w:r>
      <w:r w:rsidR="00125D55">
        <w:t xml:space="preserve">Jelentés </w:t>
      </w:r>
      <w:r>
        <w:t xml:space="preserve">foglakozik. A szomszédos sávokban üzemelő PMSE és MFCN alkalmazások zavarmentes működésének összeférhetőségi feltételeit az </w:t>
      </w:r>
      <w:r w:rsidRPr="001C5208">
        <w:t>ECC 221. Jelentés</w:t>
      </w:r>
      <w:r>
        <w:t xml:space="preserve"> tartalmazza</w:t>
      </w:r>
    </w:p>
    <w:p w14:paraId="572CA493" w14:textId="327B99B5" w:rsidR="00F36014" w:rsidRDefault="00F36014" w:rsidP="00F36014">
      <w:pPr>
        <w:pStyle w:val="Behzottbekezdsnmhh"/>
      </w:pPr>
      <w:r w:rsidRPr="0066129F">
        <w:t>A szélessávú PPDR (BB-PPDR) bevezetéséhez felhasználható frekvenciasávokat az ECC/DEC/(16</w:t>
      </w:r>
      <w:proofErr w:type="gramStart"/>
      <w:r w:rsidRPr="0066129F">
        <w:t>)02</w:t>
      </w:r>
      <w:proofErr w:type="gramEnd"/>
      <w:r w:rsidRPr="0066129F">
        <w:t xml:space="preserve"> </w:t>
      </w:r>
      <w:r w:rsidR="00145338" w:rsidRPr="0066129F">
        <w:t>H</w:t>
      </w:r>
      <w:r w:rsidRPr="0066129F">
        <w:t>atározat</w:t>
      </w:r>
      <w:r>
        <w:rPr>
          <w:b/>
        </w:rPr>
        <w:t xml:space="preserve"> </w:t>
      </w:r>
      <w:r w:rsidRPr="00B230CA">
        <w:t>tartalmazza</w:t>
      </w:r>
      <w:r>
        <w:t>.</w:t>
      </w:r>
      <w:r w:rsidRPr="00C806B3">
        <w:t xml:space="preserve">  </w:t>
      </w:r>
    </w:p>
    <w:p w14:paraId="1DD8127E" w14:textId="77777777" w:rsidR="00F36014" w:rsidRDefault="00F36014" w:rsidP="00F36014">
      <w:pPr>
        <w:pStyle w:val="ECCParagraph"/>
        <w:keepNext/>
        <w:spacing w:after="0"/>
        <w:rPr>
          <w:rFonts w:asciiTheme="minorHAnsi" w:eastAsiaTheme="minorHAnsi" w:hAnsiTheme="minorHAnsi" w:cstheme="minorHAnsi"/>
          <w:szCs w:val="20"/>
          <w:lang w:val="hu-HU"/>
        </w:rPr>
      </w:pPr>
    </w:p>
    <w:p w14:paraId="054A40D2" w14:textId="09A2A2AC" w:rsidR="00F36014" w:rsidRDefault="00F36014" w:rsidP="00F36014">
      <w:pPr>
        <w:pStyle w:val="ECCParagraph"/>
        <w:keepNext/>
        <w:spacing w:after="0"/>
        <w:rPr>
          <w:rFonts w:asciiTheme="minorHAnsi" w:eastAsiaTheme="minorHAnsi" w:hAnsiTheme="minorHAnsi" w:cstheme="minorHAnsi"/>
          <w:szCs w:val="20"/>
          <w:lang w:val="hu-HU"/>
        </w:rPr>
      </w:pPr>
      <w:r w:rsidRPr="00330014">
        <w:rPr>
          <w:rFonts w:asciiTheme="minorHAnsi" w:eastAsiaTheme="minorHAnsi" w:hAnsiTheme="minorHAnsi" w:cstheme="minorHAnsi"/>
          <w:szCs w:val="20"/>
          <w:lang w:val="hu-HU"/>
        </w:rPr>
        <w:t>A</w:t>
      </w:r>
      <w:r>
        <w:rPr>
          <w:rFonts w:asciiTheme="minorHAnsi" w:eastAsiaTheme="minorHAnsi" w:hAnsiTheme="minorHAnsi" w:cstheme="minorHAnsi"/>
          <w:szCs w:val="20"/>
          <w:lang w:val="hu-HU"/>
        </w:rPr>
        <w:t xml:space="preserve"> különböző </w:t>
      </w:r>
      <w:r w:rsidR="003F2A29">
        <w:rPr>
          <w:rFonts w:asciiTheme="minorHAnsi" w:eastAsiaTheme="minorHAnsi" w:hAnsiTheme="minorHAnsi" w:cstheme="minorHAnsi"/>
          <w:szCs w:val="20"/>
          <w:lang w:val="hu-HU"/>
        </w:rPr>
        <w:t xml:space="preserve">sávelrendezési lehetőségek alapján </w:t>
      </w:r>
      <w:r>
        <w:rPr>
          <w:rFonts w:asciiTheme="minorHAnsi" w:eastAsiaTheme="minorHAnsi" w:hAnsiTheme="minorHAnsi" w:cstheme="minorHAnsi"/>
          <w:szCs w:val="20"/>
          <w:lang w:val="hu-HU"/>
        </w:rPr>
        <w:t>a</w:t>
      </w:r>
      <w:r w:rsidRPr="00330014">
        <w:rPr>
          <w:rFonts w:asciiTheme="minorHAnsi" w:eastAsiaTheme="minorHAnsi" w:hAnsiTheme="minorHAnsi" w:cstheme="minorHAnsi"/>
          <w:szCs w:val="20"/>
          <w:lang w:val="hu-HU"/>
        </w:rPr>
        <w:t>z ECC/DEC/(16</w:t>
      </w:r>
      <w:proofErr w:type="gramStart"/>
      <w:r w:rsidRPr="00330014">
        <w:rPr>
          <w:rFonts w:asciiTheme="minorHAnsi" w:eastAsiaTheme="minorHAnsi" w:hAnsiTheme="minorHAnsi" w:cstheme="minorHAnsi"/>
          <w:szCs w:val="20"/>
          <w:lang w:val="hu-HU"/>
        </w:rPr>
        <w:t>)02</w:t>
      </w:r>
      <w:proofErr w:type="gramEnd"/>
      <w:r w:rsidRPr="00330014">
        <w:rPr>
          <w:rFonts w:asciiTheme="minorHAnsi" w:eastAsiaTheme="minorHAnsi" w:hAnsiTheme="minorHAnsi" w:cstheme="minorHAnsi"/>
          <w:szCs w:val="20"/>
          <w:lang w:val="hu-HU"/>
        </w:rPr>
        <w:t xml:space="preserve"> Határozat a 700 MHz </w:t>
      </w:r>
      <w:r w:rsidR="0079125F">
        <w:rPr>
          <w:rFonts w:asciiTheme="minorHAnsi" w:eastAsiaTheme="minorHAnsi" w:hAnsiTheme="minorHAnsi" w:cstheme="minorHAnsi"/>
          <w:szCs w:val="20"/>
          <w:lang w:val="hu-HU"/>
        </w:rPr>
        <w:t>frekvencia</w:t>
      </w:r>
      <w:r w:rsidRPr="00330014">
        <w:rPr>
          <w:rFonts w:asciiTheme="minorHAnsi" w:eastAsiaTheme="minorHAnsi" w:hAnsiTheme="minorHAnsi" w:cstheme="minorHAnsi"/>
          <w:szCs w:val="20"/>
          <w:lang w:val="hu-HU"/>
        </w:rPr>
        <w:t>sávban az alábbi sávokat azonosította BB-PPDR céljára:</w:t>
      </w:r>
    </w:p>
    <w:p w14:paraId="0CA571FD" w14:textId="77777777" w:rsidR="00F36014" w:rsidRPr="00330014" w:rsidRDefault="00F36014" w:rsidP="00F36014">
      <w:pPr>
        <w:pStyle w:val="ECCParagraph"/>
        <w:keepNext/>
        <w:spacing w:after="0"/>
        <w:rPr>
          <w:rFonts w:asciiTheme="minorHAnsi" w:eastAsiaTheme="minorHAnsi" w:hAnsiTheme="minorHAnsi" w:cstheme="minorHAnsi"/>
          <w:szCs w:val="20"/>
          <w:lang w:val="hu-HU"/>
        </w:rPr>
      </w:pPr>
    </w:p>
    <w:p w14:paraId="4212A524" w14:textId="7CD7C8C3" w:rsidR="00F36014" w:rsidRPr="00330014" w:rsidRDefault="00F36014" w:rsidP="00723F7F">
      <w:pPr>
        <w:pStyle w:val="Felsorolsbekezdsnmhh"/>
        <w:numPr>
          <w:ilvl w:val="0"/>
          <w:numId w:val="15"/>
        </w:numPr>
      </w:pPr>
      <w:r w:rsidRPr="00330014">
        <w:t>698-703 MHz (</w:t>
      </w:r>
      <w:proofErr w:type="spellStart"/>
      <w:r w:rsidRPr="00330014">
        <w:t>uplink</w:t>
      </w:r>
      <w:proofErr w:type="spellEnd"/>
      <w:r w:rsidRPr="00330014">
        <w:t>) / 753-758 MHz (downlink)</w:t>
      </w:r>
      <w:r w:rsidR="00A663FF">
        <w:t>;</w:t>
      </w:r>
    </w:p>
    <w:p w14:paraId="605632B0" w14:textId="77777777" w:rsidR="00F36014" w:rsidRDefault="00F36014" w:rsidP="00723F7F">
      <w:pPr>
        <w:pStyle w:val="Felsorolsbekezdsnmhh"/>
        <w:numPr>
          <w:ilvl w:val="0"/>
          <w:numId w:val="15"/>
        </w:numPr>
      </w:pPr>
      <w:r w:rsidRPr="00330014">
        <w:t>733-736 MHz (</w:t>
      </w:r>
      <w:proofErr w:type="spellStart"/>
      <w:r w:rsidRPr="00330014">
        <w:t>uplink</w:t>
      </w:r>
      <w:proofErr w:type="spellEnd"/>
      <w:r w:rsidRPr="00330014">
        <w:t>) / 788-791 MHz (downlink);</w:t>
      </w:r>
    </w:p>
    <w:p w14:paraId="65E37742" w14:textId="77777777" w:rsidR="00F36014" w:rsidRPr="00330014" w:rsidRDefault="00F36014" w:rsidP="00723F7F">
      <w:pPr>
        <w:pStyle w:val="Felsorolsbekezdsnmhh"/>
        <w:numPr>
          <w:ilvl w:val="0"/>
          <w:numId w:val="15"/>
        </w:numPr>
      </w:pPr>
      <w:r w:rsidRPr="00330014">
        <w:t>703-733 MHz (</w:t>
      </w:r>
      <w:proofErr w:type="spellStart"/>
      <w:r w:rsidRPr="00330014">
        <w:t>uplink</w:t>
      </w:r>
      <w:proofErr w:type="spellEnd"/>
      <w:r w:rsidRPr="00330014">
        <w:t>) / 758-788 MHz (downlink)</w:t>
      </w:r>
      <w:r>
        <w:t>.</w:t>
      </w:r>
    </w:p>
    <w:p w14:paraId="6262F957" w14:textId="77777777" w:rsidR="00F36014" w:rsidRPr="00A1007E" w:rsidRDefault="00F36014" w:rsidP="00F36014">
      <w:pPr>
        <w:pStyle w:val="Behzottbekezdsnmhh"/>
      </w:pPr>
      <w:r w:rsidRPr="00A1007E">
        <w:t>Amennyiben a PPDR az MFCN-re kijelölt 703-733 MHz (</w:t>
      </w:r>
      <w:proofErr w:type="spellStart"/>
      <w:r w:rsidRPr="00A1007E">
        <w:t>uplink</w:t>
      </w:r>
      <w:proofErr w:type="spellEnd"/>
      <w:r w:rsidRPr="00A1007E">
        <w:t>) / 758-788 MHz (downlink) sávrészen belül kerül kijelölésre, akkor az ECC/DEC/(15</w:t>
      </w:r>
      <w:proofErr w:type="gramStart"/>
      <w:r w:rsidRPr="00A1007E">
        <w:t>)01</w:t>
      </w:r>
      <w:proofErr w:type="gramEnd"/>
      <w:r w:rsidRPr="00A1007E">
        <w:t xml:space="preserve"> határozatban szereplő</w:t>
      </w:r>
      <w:r>
        <w:t xml:space="preserve">, az </w:t>
      </w:r>
      <w:r w:rsidRPr="00A1007E">
        <w:t>MFCN-re előírt legkevésbé korlátozó műszaki feltételeket kell teljesítenie.</w:t>
      </w:r>
    </w:p>
    <w:p w14:paraId="0A045AB2" w14:textId="29612EDD" w:rsidR="00F36014" w:rsidRPr="00A1007E" w:rsidRDefault="00F36014" w:rsidP="00F36014">
      <w:pPr>
        <w:pStyle w:val="Behzottbekezdsnmhh"/>
      </w:pPr>
      <w:r w:rsidRPr="00A1007E">
        <w:t>Amennyiben a BB-PPDR a dedikált 698-703 MHz (</w:t>
      </w:r>
      <w:proofErr w:type="spellStart"/>
      <w:r w:rsidRPr="00A1007E">
        <w:t>uplink</w:t>
      </w:r>
      <w:proofErr w:type="spellEnd"/>
      <w:r w:rsidRPr="00A1007E">
        <w:t>) / 753-758 MHz (downlink) és/vagy 733-736 MHz (</w:t>
      </w:r>
      <w:proofErr w:type="spellStart"/>
      <w:r w:rsidRPr="00A1007E">
        <w:t>uplink</w:t>
      </w:r>
      <w:proofErr w:type="spellEnd"/>
      <w:r w:rsidRPr="00A1007E">
        <w:t>) / 788-791 MHz (downlink) sávokban valósul meg, a műszaki feltételeket a</w:t>
      </w:r>
      <w:r>
        <w:t>z</w:t>
      </w:r>
      <w:r w:rsidRPr="00A1007E">
        <w:t xml:space="preserve"> ECC/DEC/(16</w:t>
      </w:r>
      <w:proofErr w:type="gramStart"/>
      <w:r w:rsidRPr="00A1007E">
        <w:t>)02</w:t>
      </w:r>
      <w:proofErr w:type="gramEnd"/>
      <w:r w:rsidRPr="00A1007E">
        <w:t xml:space="preserve"> Határozat 1. melléklete tartalmazza.</w:t>
      </w:r>
    </w:p>
    <w:p w14:paraId="64181B34" w14:textId="4350042B" w:rsidR="00F36014" w:rsidRDefault="00F36014" w:rsidP="00F36014">
      <w:pPr>
        <w:pStyle w:val="Behzottbekezdsnmhh"/>
      </w:pPr>
      <w:r>
        <w:t xml:space="preserve">Az </w:t>
      </w:r>
      <w:r w:rsidRPr="0066129F">
        <w:t>M2M</w:t>
      </w:r>
      <w:r>
        <w:t xml:space="preserve"> rendszerek a 700 MHz-es </w:t>
      </w:r>
      <w:r w:rsidR="0079125F">
        <w:t>frekvencia</w:t>
      </w:r>
      <w:r>
        <w:t xml:space="preserve">sávban megvalósíthatók az MFCN hálózatokon belül, vagy az </w:t>
      </w:r>
      <w:r w:rsidRPr="00702B1D">
        <w:t>ECC/DEC/</w:t>
      </w:r>
      <w:proofErr w:type="gramStart"/>
      <w:r w:rsidRPr="00702B1D">
        <w:t>15(</w:t>
      </w:r>
      <w:proofErr w:type="gramEnd"/>
      <w:r w:rsidRPr="00702B1D">
        <w:t>01) határozat</w:t>
      </w:r>
      <w:r>
        <w:t>ban biztosított</w:t>
      </w:r>
      <w:r w:rsidRPr="00E527B2">
        <w:t xml:space="preserve"> </w:t>
      </w:r>
      <w:r>
        <w:t>flexibilis harmonizációnak megfelelően nemzeti opcióként 2x3 MHz dedikált sáv is kijelölhető az M2M számára a 733-736 MHz / 788-791 MHz sávrészekben (a duplex sávrészeket elválasztó sávrészben illetve a védősávban).</w:t>
      </w:r>
    </w:p>
    <w:p w14:paraId="0BD8911B" w14:textId="0664A2ED" w:rsidR="00F36014" w:rsidRDefault="00F36014" w:rsidP="00F36014">
      <w:pPr>
        <w:pStyle w:val="Behzottbekezdsnmhh"/>
      </w:pPr>
      <w:r>
        <w:t xml:space="preserve">A 733-736 MHz / 788-791 MHz sávrészekre vonatkozó </w:t>
      </w:r>
      <w:r w:rsidR="0079125F">
        <w:t xml:space="preserve">összeférhetőségi </w:t>
      </w:r>
      <w:r>
        <w:t xml:space="preserve">vizsgálatok eredményeit az M2M (LTE alapú vagy keskeny sávú M2M) és egyéb alkalmazások közötti zavartatások elkerülésére </w:t>
      </w:r>
      <w:proofErr w:type="gramStart"/>
      <w:r>
        <w:t>a</w:t>
      </w:r>
      <w:proofErr w:type="gramEnd"/>
      <w:r>
        <w:t xml:space="preserve">  ECC </w:t>
      </w:r>
      <w:r w:rsidR="00AD5296">
        <w:t xml:space="preserve">242. </w:t>
      </w:r>
      <w:r>
        <w:t>Jelentés tartalmazza.</w:t>
      </w:r>
    </w:p>
    <w:p w14:paraId="0E436BEA" w14:textId="18DBC98B" w:rsidR="00F36014" w:rsidRDefault="00F36014" w:rsidP="00F36014">
      <w:pPr>
        <w:pStyle w:val="Behzottbekezdsnmhh"/>
      </w:pPr>
      <w:r>
        <w:t xml:space="preserve">A 700 MHz-es </w:t>
      </w:r>
      <w:r w:rsidR="0079125F">
        <w:t>frekvencia</w:t>
      </w:r>
      <w:r>
        <w:t xml:space="preserve">sáv lehetséges felhasználásait és a felmerülő </w:t>
      </w:r>
      <w:r w:rsidR="0079125F">
        <w:t xml:space="preserve">összeférhetőségi </w:t>
      </w:r>
      <w:r>
        <w:t xml:space="preserve">eseteket a szomszédos sávokban </w:t>
      </w:r>
      <w:r w:rsidR="0079125F">
        <w:t xml:space="preserve">üzemelő </w:t>
      </w:r>
      <w:r>
        <w:t xml:space="preserve">M2M illetve MFCN/SDL, PMSE, PPDR </w:t>
      </w:r>
      <w:r w:rsidR="0079125F">
        <w:t xml:space="preserve">alkalmazások </w:t>
      </w:r>
      <w:r>
        <w:t>eseté</w:t>
      </w:r>
      <w:r w:rsidR="0079125F">
        <w:t>re</w:t>
      </w:r>
      <w:r>
        <w:t xml:space="preserve"> a </w:t>
      </w:r>
      <w:r w:rsidR="00AD5296">
        <w:t>3.1.2</w:t>
      </w:r>
      <w:proofErr w:type="gramStart"/>
      <w:r w:rsidR="00AD5296">
        <w:t>.b</w:t>
      </w:r>
      <w:proofErr w:type="gramEnd"/>
      <w:r>
        <w:t>. ábra foglalja össze.</w:t>
      </w:r>
    </w:p>
    <w:p w14:paraId="4B8F9ED6" w14:textId="77777777" w:rsidR="00F36014" w:rsidRDefault="00F36014" w:rsidP="00F36014">
      <w:pPr>
        <w:pStyle w:val="Behzottbekezdsnmhh"/>
        <w:ind w:firstLine="0"/>
        <w:jc w:val="left"/>
      </w:pPr>
      <w:r>
        <w:rPr>
          <w:noProof/>
          <w:lang w:eastAsia="hu-HU"/>
        </w:rPr>
        <w:lastRenderedPageBreak/>
        <w:drawing>
          <wp:inline distT="0" distB="0" distL="0" distR="0" wp14:anchorId="52F4B544" wp14:editId="10DAE2A0">
            <wp:extent cx="5915771" cy="2398542"/>
            <wp:effectExtent l="0" t="0" r="8890" b="190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18551" cy="2399669"/>
                    </a:xfrm>
                    <a:prstGeom prst="rect">
                      <a:avLst/>
                    </a:prstGeom>
                  </pic:spPr>
                </pic:pic>
              </a:graphicData>
            </a:graphic>
          </wp:inline>
        </w:drawing>
      </w:r>
    </w:p>
    <w:p w14:paraId="5FCD65BC" w14:textId="7B7B3442" w:rsidR="00F36014" w:rsidRPr="00C27DD7" w:rsidRDefault="009C7F65" w:rsidP="00840181">
      <w:pPr>
        <w:pStyle w:val="Kpalrs"/>
        <w:jc w:val="center"/>
        <w:rPr>
          <w:b w:val="0"/>
        </w:rPr>
      </w:pPr>
      <w:r>
        <w:rPr>
          <w:noProof/>
        </w:rPr>
        <w:t>3.1.2.</w:t>
      </w:r>
      <w:r w:rsidR="00AD5296">
        <w:rPr>
          <w:noProof/>
        </w:rPr>
        <w:t>b</w:t>
      </w:r>
      <w:r w:rsidR="00FB6EB6" w:rsidRPr="00840181">
        <w:rPr>
          <w:noProof/>
        </w:rPr>
        <w:t xml:space="preserve"> </w:t>
      </w:r>
      <w:r w:rsidR="003F5CCD" w:rsidRPr="00840181">
        <w:rPr>
          <w:noProof/>
        </w:rPr>
        <w:t xml:space="preserve">ábra: </w:t>
      </w:r>
      <w:r w:rsidR="00E004EB" w:rsidRPr="00840181">
        <w:rPr>
          <w:noProof/>
        </w:rPr>
        <w:t>A</w:t>
      </w:r>
      <w:r w:rsidR="00F36014" w:rsidRPr="00840181">
        <w:rPr>
          <w:noProof/>
        </w:rPr>
        <w:t xml:space="preserve"> 700 MHz-es </w:t>
      </w:r>
      <w:r w:rsidR="0079125F">
        <w:rPr>
          <w:noProof/>
        </w:rPr>
        <w:t>frekvencia</w:t>
      </w:r>
      <w:r w:rsidR="00F36014" w:rsidRPr="00840181">
        <w:rPr>
          <w:noProof/>
        </w:rPr>
        <w:t>sáv felhasználási lehetőségei (forrás: ECC 242</w:t>
      </w:r>
      <w:r w:rsidR="00145338" w:rsidRPr="00840181">
        <w:rPr>
          <w:noProof/>
        </w:rPr>
        <w:t>. Jelentés</w:t>
      </w:r>
      <w:r w:rsidR="00F36014" w:rsidRPr="00840181">
        <w:rPr>
          <w:noProof/>
        </w:rPr>
        <w:t>)</w:t>
      </w:r>
    </w:p>
    <w:p w14:paraId="65C4D003" w14:textId="386E59CB" w:rsidR="00B57D14" w:rsidRDefault="00B57D14" w:rsidP="00B57D14">
      <w:pPr>
        <w:pStyle w:val="Behzottbekezdsnmhh"/>
      </w:pPr>
    </w:p>
    <w:p w14:paraId="4A6CE073" w14:textId="77777777" w:rsidR="00C251BD" w:rsidRPr="00840181" w:rsidRDefault="00C251BD" w:rsidP="00840181">
      <w:pPr>
        <w:rPr>
          <w:sz w:val="20"/>
          <w:szCs w:val="20"/>
        </w:rPr>
      </w:pPr>
    </w:p>
    <w:p w14:paraId="4604A52A" w14:textId="77777777" w:rsidR="00A57A5F" w:rsidRDefault="00A57A5F" w:rsidP="00A57A5F">
      <w:pPr>
        <w:pStyle w:val="Cmsor3szmozottnmhh"/>
        <w:keepNext/>
      </w:pPr>
      <w:bookmarkStart w:id="15" w:name="_Toc96001033"/>
      <w:bookmarkEnd w:id="2"/>
      <w:bookmarkEnd w:id="8"/>
      <w:r>
        <w:t>EU</w:t>
      </w:r>
      <w:bookmarkEnd w:id="15"/>
    </w:p>
    <w:p w14:paraId="3B4125FB" w14:textId="77777777" w:rsidR="00A57A5F" w:rsidRPr="00915776" w:rsidRDefault="00A57A5F" w:rsidP="00A57A5F">
      <w:pPr>
        <w:pStyle w:val="Behzottbekezdsnmhh"/>
      </w:pPr>
    </w:p>
    <w:p w14:paraId="4D5AF356" w14:textId="62CF0C65" w:rsidR="00A57A5F" w:rsidRPr="00915776" w:rsidRDefault="00A57A5F" w:rsidP="00A57A5F">
      <w:pPr>
        <w:pStyle w:val="Behzottbekezdsnmhh"/>
      </w:pPr>
      <w:r w:rsidRPr="00915776">
        <w:t xml:space="preserve">Az Európai Bizottság Egységes Digitális Piac (Digital </w:t>
      </w:r>
      <w:proofErr w:type="spellStart"/>
      <w:r w:rsidRPr="0084499F">
        <w:t>Single</w:t>
      </w:r>
      <w:proofErr w:type="spellEnd"/>
      <w:r w:rsidRPr="00915776">
        <w:t xml:space="preserve"> Market) stratégiáj</w:t>
      </w:r>
      <w:r w:rsidR="00807137">
        <w:t xml:space="preserve">ának megalkotása </w:t>
      </w:r>
      <w:r w:rsidR="007C0BBE">
        <w:t>ó</w:t>
      </w:r>
      <w:r w:rsidR="00807137">
        <w:t>ta</w:t>
      </w:r>
      <w:r w:rsidRPr="00915776">
        <w:t xml:space="preserve"> kiemel</w:t>
      </w:r>
      <w:r w:rsidR="00807137">
        <w:t>ten kezeli</w:t>
      </w:r>
      <w:r w:rsidRPr="00915776">
        <w:t xml:space="preserve"> a 700 MHz-es frekvenciasáv</w:t>
      </w:r>
      <w:r w:rsidR="00807137">
        <w:t>ot</w:t>
      </w:r>
      <w:r w:rsidRPr="00915776">
        <w:t xml:space="preserve"> a vezeték</w:t>
      </w:r>
      <w:r>
        <w:t xml:space="preserve"> </w:t>
      </w:r>
      <w:r w:rsidRPr="00915776">
        <w:t>nélküli szélessávú elektronikus hírközlési szolgáltatások céljára</w:t>
      </w:r>
      <w:r w:rsidR="00807137">
        <w:t xml:space="preserve"> való </w:t>
      </w:r>
      <w:proofErr w:type="spellStart"/>
      <w:r w:rsidR="00807137">
        <w:t>alkalmassága</w:t>
      </w:r>
      <w:proofErr w:type="spellEnd"/>
      <w:r w:rsidR="00807137">
        <w:t xml:space="preserve"> miatt</w:t>
      </w:r>
      <w:r w:rsidRPr="00915776">
        <w:t>, különös tekintettel a vidéki területekre.</w:t>
      </w:r>
      <w:r>
        <w:t xml:space="preserve"> </w:t>
      </w:r>
    </w:p>
    <w:p w14:paraId="75839D12" w14:textId="123FCAD6" w:rsidR="00A57A5F" w:rsidRDefault="00A57A5F" w:rsidP="00552284">
      <w:pPr>
        <w:pStyle w:val="Behzottbekezdsnmhh"/>
      </w:pPr>
      <w:r w:rsidRPr="00915776">
        <w:t xml:space="preserve">Az </w:t>
      </w:r>
      <w:proofErr w:type="gramStart"/>
      <w:r w:rsidR="00552284">
        <w:t>EU</w:t>
      </w:r>
      <w:proofErr w:type="gramEnd"/>
      <w:r w:rsidR="00552284">
        <w:t xml:space="preserve"> </w:t>
      </w:r>
      <w:r w:rsidRPr="002C1BEA">
        <w:rPr>
          <w:rStyle w:val="Lbjegyzet-hivatkozs"/>
          <w:szCs w:val="18"/>
          <w:vertAlign w:val="baseline"/>
        </w:rPr>
        <w:t>rádióspektrum-politikai program</w:t>
      </w:r>
      <w:r w:rsidR="00552284">
        <w:rPr>
          <w:szCs w:val="18"/>
        </w:rPr>
        <w:t>ja</w:t>
      </w:r>
      <w:r>
        <w:rPr>
          <w:rStyle w:val="Lbjegyzet-hivatkozs"/>
          <w:szCs w:val="18"/>
        </w:rPr>
        <w:footnoteReference w:id="46"/>
      </w:r>
      <w:r w:rsidRPr="002C1BEA">
        <w:rPr>
          <w:rStyle w:val="Lbjegyzet-hivatkozs"/>
          <w:szCs w:val="18"/>
          <w:vertAlign w:val="baseline"/>
        </w:rPr>
        <w:t xml:space="preserve"> </w:t>
      </w:r>
      <w:r w:rsidR="00447CA4">
        <w:rPr>
          <w:rStyle w:val="Lbjegyzet-hivatkozs"/>
          <w:szCs w:val="18"/>
          <w:vertAlign w:val="baseline"/>
        </w:rPr>
        <w:t>hangsúlyozza</w:t>
      </w:r>
      <w:r w:rsidR="00125D55">
        <w:rPr>
          <w:szCs w:val="18"/>
        </w:rPr>
        <w:t>,</w:t>
      </w:r>
      <w:r w:rsidR="00447CA4" w:rsidRPr="00915776">
        <w:t xml:space="preserve"> </w:t>
      </w:r>
      <w:r w:rsidRPr="00915776">
        <w:t>hogy a tagállamok között a biztonsági és a készenléti szolgálatok együttműködését összehangolt műszaki megoldások</w:t>
      </w:r>
      <w:r w:rsidR="00125D55">
        <w:t>kal kell</w:t>
      </w:r>
      <w:r w:rsidRPr="00915776">
        <w:t xml:space="preserve"> garantá</w:t>
      </w:r>
      <w:r w:rsidR="007C0BBE">
        <w:t>l</w:t>
      </w:r>
      <w:r w:rsidR="00125D55">
        <w:t>ni</w:t>
      </w:r>
      <w:r w:rsidRPr="00915776">
        <w:t xml:space="preserve"> a </w:t>
      </w:r>
      <w:r>
        <w:t>BB-</w:t>
      </w:r>
      <w:r w:rsidRPr="00915776">
        <w:t>PPDR rádióalkalmazások álta</w:t>
      </w:r>
      <w:r w:rsidR="00552284">
        <w:t>l, továbbá</w:t>
      </w:r>
      <w:r w:rsidRPr="00915776">
        <w:t xml:space="preserve"> a tagállamoknak célul kell kitűzni, hogy biztosítsák a szükséges </w:t>
      </w:r>
      <w:r w:rsidR="009B4331">
        <w:t>spektrummennyiséget</w:t>
      </w:r>
      <w:r w:rsidR="009B4331" w:rsidRPr="00915776">
        <w:t xml:space="preserve"> </w:t>
      </w:r>
      <w:r w:rsidRPr="00915776">
        <w:t>a PMSE számára</w:t>
      </w:r>
      <w:r>
        <w:t xml:space="preserve"> is</w:t>
      </w:r>
      <w:r w:rsidRPr="00915776">
        <w:t>, összhangban az Európai Unió belső piac integrációjának javításához és a kultúrához való hozzáférésével kapcsolatos célkitűzéseivel</w:t>
      </w:r>
      <w:r w:rsidR="00125D55">
        <w:t xml:space="preserve">. </w:t>
      </w:r>
      <w:r>
        <w:t>Fontos célkitűzés továbbá</w:t>
      </w:r>
      <w:r w:rsidRPr="00915776">
        <w:t>, hogy a rádiófrekvenciás azonosítás (RFID) és más, a „</w:t>
      </w:r>
      <w:r>
        <w:t>dolgok</w:t>
      </w:r>
      <w:r w:rsidRPr="00915776">
        <w:t xml:space="preserve"> internete” (Internet of </w:t>
      </w:r>
      <w:proofErr w:type="spellStart"/>
      <w:r w:rsidRPr="00915776">
        <w:t>Things</w:t>
      </w:r>
      <w:proofErr w:type="spellEnd"/>
      <w:r w:rsidRPr="00915776">
        <w:t xml:space="preserve"> - </w:t>
      </w:r>
      <w:proofErr w:type="spellStart"/>
      <w:r w:rsidRPr="00915776">
        <w:t>IoT</w:t>
      </w:r>
      <w:proofErr w:type="spellEnd"/>
      <w:r w:rsidRPr="00915776">
        <w:t>) céljait szolgáló vezeték nélküli kommunikációs technológiák (beleértve a gép-gép kommunikációt is - M2M) számára</w:t>
      </w:r>
      <w:r>
        <w:t xml:space="preserve"> is</w:t>
      </w:r>
      <w:r w:rsidRPr="00915776">
        <w:t xml:space="preserve"> legyen elérhető spektrum, valamint egymással együttműködve ösztönzik a szabványok kidolgozását és a tagállamokon átívelő </w:t>
      </w:r>
      <w:proofErr w:type="spellStart"/>
      <w:r w:rsidRPr="00915776">
        <w:t>IoT</w:t>
      </w:r>
      <w:proofErr w:type="spellEnd"/>
      <w:r w:rsidRPr="00915776">
        <w:t xml:space="preserve">-kommunikáció számára történő </w:t>
      </w:r>
      <w:r w:rsidR="00552284" w:rsidRPr="00915776">
        <w:t>spektrum</w:t>
      </w:r>
      <w:r w:rsidR="00552284">
        <w:t>használat</w:t>
      </w:r>
      <w:r w:rsidR="00552284" w:rsidRPr="00915776">
        <w:t xml:space="preserve"> </w:t>
      </w:r>
      <w:r w:rsidRPr="00915776">
        <w:t>harmonizálását.</w:t>
      </w:r>
    </w:p>
    <w:p w14:paraId="552DC256" w14:textId="77777777" w:rsidR="00A57A5F" w:rsidRDefault="00A57A5F" w:rsidP="00A57A5F">
      <w:pPr>
        <w:pStyle w:val="Behzottbekezdsnmhh"/>
      </w:pPr>
      <w:r>
        <w:t>A fenti célkitűzések figyelembevételével került elfogadásra a 700 MHz-es frekvenciasáv vezeték nélküli szélessávú elektronikus szolgáltatások felhasználására vonatkozó bizottsági határozat, valamint az UHF sáv jövőjére vonatkozó parlamenti tanácsi határozat:</w:t>
      </w:r>
    </w:p>
    <w:p w14:paraId="57852E63" w14:textId="77777777" w:rsidR="00A57A5F" w:rsidRDefault="00A57A5F" w:rsidP="00A57A5F">
      <w:pPr>
        <w:pStyle w:val="Irodalomjegyzkfelsorolsnmhh"/>
        <w:numPr>
          <w:ilvl w:val="0"/>
          <w:numId w:val="14"/>
        </w:numPr>
      </w:pPr>
      <w:r w:rsidRPr="009244B1">
        <w:rPr>
          <w:rFonts w:cs="Arial"/>
          <w:b/>
        </w:rPr>
        <w:t>(EU) 2016/687</w:t>
      </w:r>
      <w:r w:rsidRPr="0097060E">
        <w:rPr>
          <w:sz w:val="22"/>
          <w:vertAlign w:val="superscript"/>
        </w:rPr>
        <w:footnoteReference w:id="47"/>
      </w:r>
      <w:r>
        <w:rPr>
          <w:rFonts w:cs="Arial"/>
        </w:rPr>
        <w:t xml:space="preserve">: </w:t>
      </w:r>
      <w:r w:rsidRPr="00550E6B">
        <w:rPr>
          <w:rFonts w:cs="Arial"/>
          <w:szCs w:val="24"/>
          <w:lang w:eastAsia="hu-HU"/>
        </w:rPr>
        <w:t>A Bizottság (EU) 2016/687 végrehajtási határozata (2016. április 28.) a 694–790 MHz frekvenciasávnak az Unión belül vezeték nélküli szélessávú elektronikus hírközlési szolgáltatások nyújtására alkalmas földfelszíni rendszerek számára és a rugalmas nemzeti használat érdekében történő harmonizálásáró</w:t>
      </w:r>
      <w:r>
        <w:rPr>
          <w:rFonts w:cs="Arial"/>
          <w:szCs w:val="24"/>
          <w:lang w:eastAsia="hu-HU"/>
        </w:rPr>
        <w:t xml:space="preserve">l; </w:t>
      </w:r>
    </w:p>
    <w:p w14:paraId="2B51814E" w14:textId="77777777" w:rsidR="00A57A5F" w:rsidRPr="009244B1" w:rsidRDefault="00A57A5F" w:rsidP="00A57A5F">
      <w:pPr>
        <w:pStyle w:val="Irodalomjegyzkfelsorolsnmhh"/>
        <w:numPr>
          <w:ilvl w:val="0"/>
          <w:numId w:val="14"/>
        </w:numPr>
      </w:pPr>
      <w:r w:rsidRPr="009244B1">
        <w:rPr>
          <w:rFonts w:cs="Arial"/>
          <w:b/>
        </w:rPr>
        <w:lastRenderedPageBreak/>
        <w:t>(EU) 201</w:t>
      </w:r>
      <w:r>
        <w:rPr>
          <w:rFonts w:cs="Arial"/>
          <w:b/>
        </w:rPr>
        <w:t>7</w:t>
      </w:r>
      <w:r w:rsidRPr="009244B1">
        <w:rPr>
          <w:rFonts w:cs="Arial"/>
          <w:b/>
        </w:rPr>
        <w:t>/</w:t>
      </w:r>
      <w:r>
        <w:rPr>
          <w:rFonts w:cs="Arial"/>
          <w:b/>
        </w:rPr>
        <w:t>899</w:t>
      </w:r>
      <w:r w:rsidRPr="0097060E">
        <w:rPr>
          <w:sz w:val="22"/>
          <w:vertAlign w:val="superscript"/>
        </w:rPr>
        <w:footnoteReference w:id="48"/>
      </w:r>
      <w:r>
        <w:rPr>
          <w:rFonts w:cs="Arial"/>
          <w:b/>
        </w:rPr>
        <w:t xml:space="preserve">: </w:t>
      </w:r>
      <w:r w:rsidRPr="009244B1">
        <w:rPr>
          <w:rFonts w:cs="Arial"/>
        </w:rPr>
        <w:t xml:space="preserve">Az Európai Parlament és a Tanács (EU) </w:t>
      </w:r>
      <w:r>
        <w:rPr>
          <w:rFonts w:cs="Arial"/>
        </w:rPr>
        <w:t>2017</w:t>
      </w:r>
      <w:r w:rsidRPr="009244B1">
        <w:rPr>
          <w:rFonts w:cs="Arial"/>
        </w:rPr>
        <w:t>/</w:t>
      </w:r>
      <w:r>
        <w:rPr>
          <w:rFonts w:cs="Arial"/>
        </w:rPr>
        <w:t>899</w:t>
      </w:r>
      <w:r w:rsidRPr="009244B1">
        <w:rPr>
          <w:rFonts w:cs="Arial"/>
        </w:rPr>
        <w:t xml:space="preserve"> határozata (</w:t>
      </w:r>
      <w:r>
        <w:rPr>
          <w:rFonts w:cs="Arial"/>
        </w:rPr>
        <w:t>2017. május 17</w:t>
      </w:r>
      <w:r w:rsidRPr="009244B1">
        <w:rPr>
          <w:rFonts w:cs="Arial"/>
        </w:rPr>
        <w:t>) a 470–790 MHz frekvenciasáv Unión belüli használatáról</w:t>
      </w:r>
      <w:r>
        <w:rPr>
          <w:rFonts w:cs="Arial"/>
        </w:rPr>
        <w:t xml:space="preserve">. </w:t>
      </w:r>
    </w:p>
    <w:p w14:paraId="70DA520B" w14:textId="77777777" w:rsidR="00A57A5F" w:rsidRPr="00E527B2" w:rsidRDefault="00A57A5F" w:rsidP="00A57A5F">
      <w:pPr>
        <w:pStyle w:val="Behzottbekezdsnmhh"/>
      </w:pPr>
      <w:r w:rsidRPr="00C04FB9">
        <w:t xml:space="preserve">Az </w:t>
      </w:r>
      <w:r w:rsidRPr="00C04FB9">
        <w:rPr>
          <w:b/>
          <w:lang w:eastAsia="hu-HU"/>
        </w:rPr>
        <w:t>(EU) 2016/687</w:t>
      </w:r>
      <w:r w:rsidRPr="00C04FB9">
        <w:t xml:space="preserve"> </w:t>
      </w:r>
      <w:r w:rsidRPr="00C04FB9">
        <w:rPr>
          <w:b/>
        </w:rPr>
        <w:t>bizottsági végrehajtási határozat</w:t>
      </w:r>
      <w:r w:rsidRPr="00C04FB9">
        <w:t xml:space="preserve"> a </w:t>
      </w:r>
      <w:r w:rsidRPr="00F32BCB">
        <w:t>694–790 MHz frekvenciasáv vezeték nélküli szélessávú elektronikus hírközlési szolgáltatások nyújtására alkalmas földfelszíni rendszerek általi, Unión belüli elérhetőségére és hatékony használatára vonatkozó műszaki feltételeket harmonizálja. Emellett a sajátos nemzeti igényeknek megfelelően, az RSPP spektrumpolitikai prioritásaival összhangban célja a rugalmas nemzeti használat előmozdítása is.</w:t>
      </w:r>
      <w:r w:rsidRPr="00587B6C">
        <w:t xml:space="preserve"> </w:t>
      </w:r>
    </w:p>
    <w:p w14:paraId="028A5F7E" w14:textId="0CA601F2" w:rsidR="00A57A5F" w:rsidRDefault="00A57A5F" w:rsidP="00A57A5F">
      <w:pPr>
        <w:pStyle w:val="Behzottbekezdsnmhh"/>
      </w:pPr>
      <w:r w:rsidRPr="00AA02E9">
        <w:t>A harmonizált használ</w:t>
      </w:r>
      <w:r w:rsidR="00807137">
        <w:t>at</w:t>
      </w:r>
      <w:r w:rsidRPr="00AA02E9">
        <w:t>nak megfelelően a 703–733 MHz és a 758–788 MHz frekvenciasávot – nem kizárólagos jelleggel – a vezeték nélküli szélessávú elektronikus hírközlési szolgáltatások nyújtására alkalmas földfelszíni rendszerek (MFCN) számára kell kijelölni.</w:t>
      </w:r>
      <w:r>
        <w:t xml:space="preserve"> A</w:t>
      </w:r>
      <w:r w:rsidRPr="00CC28C0">
        <w:t>z MFCN-re kijelölt frekvenciasávban PPDR is megvalósítható, ebben az esetben a vezeték nélküli szélessávú elektronikus hírközlési szolgáltatásokra vonatkozó műszaki feltételeket arra is alkalmazni kell</w:t>
      </w:r>
      <w:r>
        <w:t>.</w:t>
      </w:r>
      <w:r w:rsidRPr="00AA02E9">
        <w:t xml:space="preserve"> A 2x30 MHz-es MFCN-re dedikált sávrészeken kívül, nemzeti igényektől függően, </w:t>
      </w:r>
      <w:r>
        <w:t>további opcionális alkalmazások számára nyílik lehetőség, az alábbiak szerint:</w:t>
      </w:r>
    </w:p>
    <w:p w14:paraId="117E230B" w14:textId="77777777" w:rsidR="00A57A5F" w:rsidRDefault="00A57A5F" w:rsidP="00A57A5F">
      <w:pPr>
        <w:pStyle w:val="Behzottbekezdsnmhh"/>
        <w:numPr>
          <w:ilvl w:val="0"/>
          <w:numId w:val="40"/>
        </w:numPr>
      </w:pPr>
      <w:r w:rsidRPr="00CC28C0">
        <w:t>a bázisállomás általi csak lemenő irányú adásra (SDL) korlátozód</w:t>
      </w:r>
      <w:r>
        <w:t>ó,</w:t>
      </w:r>
      <w:r w:rsidRPr="00AA02E9">
        <w:t xml:space="preserve"> az MFCN aszimmetrikus forgalom biztosítását megvalósító,</w:t>
      </w:r>
      <w:r w:rsidRPr="00E527B2">
        <w:t xml:space="preserve"> ún. kiegészítő </w:t>
      </w:r>
      <w:r>
        <w:t xml:space="preserve">lemenő irányú </w:t>
      </w:r>
      <w:r w:rsidRPr="00E527B2">
        <w:t xml:space="preserve">(SDL) </w:t>
      </w:r>
      <w:r>
        <w:t>összeköttetések</w:t>
      </w:r>
      <w:r w:rsidRPr="00E527B2">
        <w:t xml:space="preserve">, </w:t>
      </w:r>
    </w:p>
    <w:p w14:paraId="2F130E4D" w14:textId="77777777" w:rsidR="00A57A5F" w:rsidRDefault="00A57A5F" w:rsidP="00A57A5F">
      <w:pPr>
        <w:pStyle w:val="Behzottbekezdsnmhh"/>
        <w:numPr>
          <w:ilvl w:val="0"/>
          <w:numId w:val="40"/>
        </w:numPr>
      </w:pPr>
      <w:r w:rsidRPr="00447CA4">
        <w:t>BB-PPDR (</w:t>
      </w:r>
      <w:r w:rsidRPr="00AD7B47">
        <w:t xml:space="preserve">698–703 MHz, 733–736 MHz, 753–758 MHz és 788–791 MHz) </w:t>
      </w:r>
      <w:r w:rsidRPr="00447CA4">
        <w:t>a</w:t>
      </w:r>
      <w:r w:rsidRPr="00CC28C0">
        <w:t xml:space="preserve"> végfelhasználói állomás adása (felmenő irányú PPDR) a 698–703 MHz és a 733–736 MHz frekvenciasávok egyikébe vagy mindkettőbe esik, a bázisállomás adása (lemenő irányú PPDR) pedig a 753–758 MHz és a 788–791 MHz frekvenciasáv egyikébe vagy mindkettőbe esik</w:t>
      </w:r>
      <w:r w:rsidRPr="00E527B2">
        <w:t xml:space="preserve">, </w:t>
      </w:r>
    </w:p>
    <w:p w14:paraId="09187E63" w14:textId="0613A70F" w:rsidR="00A57A5F" w:rsidRDefault="00447CA4" w:rsidP="00A57A5F">
      <w:pPr>
        <w:pStyle w:val="Behzottbekezdsnmhh"/>
        <w:numPr>
          <w:ilvl w:val="0"/>
          <w:numId w:val="40"/>
        </w:numPr>
      </w:pPr>
      <w:r>
        <w:t xml:space="preserve">PMSE: </w:t>
      </w:r>
      <w:r w:rsidR="00A57A5F" w:rsidRPr="00CC28C0">
        <w:t>hangfrekvenciás PMSE, beltéri felhasználás</w:t>
      </w:r>
      <w:r w:rsidR="00A57A5F">
        <w:t>,</w:t>
      </w:r>
    </w:p>
    <w:p w14:paraId="0BB54A59" w14:textId="77777777" w:rsidR="00A57A5F" w:rsidRDefault="00A57A5F" w:rsidP="00A57A5F">
      <w:pPr>
        <w:pStyle w:val="Behzottbekezdsnmhh"/>
        <w:numPr>
          <w:ilvl w:val="0"/>
          <w:numId w:val="40"/>
        </w:numPr>
      </w:pPr>
      <w:proofErr w:type="spellStart"/>
      <w:r w:rsidRPr="00447CA4">
        <w:t>IoT</w:t>
      </w:r>
      <w:proofErr w:type="spellEnd"/>
      <w:r w:rsidRPr="00447CA4">
        <w:t>/M2M (</w:t>
      </w:r>
      <w:r w:rsidRPr="00AD7B47">
        <w:t xml:space="preserve">733–736 MHz/788–791 MHz, FDD üzemmód) </w:t>
      </w:r>
      <w:r w:rsidRPr="00447CA4">
        <w:t>alkalmazások számára határoz</w:t>
      </w:r>
      <w:r>
        <w:t xml:space="preserve"> meg nemzeti opciókat. </w:t>
      </w:r>
    </w:p>
    <w:p w14:paraId="12713909" w14:textId="7B36622D" w:rsidR="00A57A5F" w:rsidRPr="00CC28C0" w:rsidRDefault="00A57A5F" w:rsidP="00A57A5F">
      <w:pPr>
        <w:pStyle w:val="Behzottbekezdsnmhh"/>
        <w:ind w:firstLine="0"/>
      </w:pPr>
      <w:r w:rsidRPr="00CC28C0">
        <w:t>A végrehajtási határozat melléklete tartalmazza a bázisállomásokra és mobil végfelhasználói állomásokra vonatkozó blokkszéli maszk (</w:t>
      </w:r>
      <w:proofErr w:type="spellStart"/>
      <w:r w:rsidRPr="00CC28C0">
        <w:t>block</w:t>
      </w:r>
      <w:proofErr w:type="spellEnd"/>
      <w:r w:rsidRPr="00CC28C0">
        <w:t xml:space="preserve"> </w:t>
      </w:r>
      <w:proofErr w:type="spellStart"/>
      <w:r w:rsidRPr="00CC28C0">
        <w:t>edge</w:t>
      </w:r>
      <w:proofErr w:type="spellEnd"/>
      <w:r w:rsidRPr="00CC28C0">
        <w:t xml:space="preserve"> </w:t>
      </w:r>
      <w:proofErr w:type="spellStart"/>
      <w:r w:rsidRPr="00CC28C0">
        <w:t>mask</w:t>
      </w:r>
      <w:proofErr w:type="spellEnd"/>
      <w:r w:rsidRPr="00CC28C0">
        <w:t>, BEM) paramétereket</w:t>
      </w:r>
      <w:r>
        <w:t>, amelyek</w:t>
      </w:r>
      <w:r w:rsidRPr="00CC28C0">
        <w:t xml:space="preserve"> </w:t>
      </w:r>
      <w:r>
        <w:t>a 700 MHz-es frekvenciasávban működő</w:t>
      </w:r>
      <w:r w:rsidRPr="00CC28C0">
        <w:t xml:space="preserve"> </w:t>
      </w:r>
      <w:r>
        <w:t xml:space="preserve">frekvenciában </w:t>
      </w:r>
      <w:r w:rsidRPr="00CC28C0">
        <w:t xml:space="preserve">szomszédos hálózatok együttes működésének biztosítása és a szomszédos </w:t>
      </w:r>
      <w:r>
        <w:t>frekvencia</w:t>
      </w:r>
      <w:r w:rsidRPr="00CC28C0">
        <w:t xml:space="preserve">sávokat használó más szolgálatok és alkalmazások védelme </w:t>
      </w:r>
      <w:r>
        <w:t>céljából kerültek meghatározásra</w:t>
      </w:r>
      <w:r w:rsidRPr="00CC28C0">
        <w:t>.</w:t>
      </w:r>
    </w:p>
    <w:p w14:paraId="1CA5C306" w14:textId="57A55058" w:rsidR="00A57A5F" w:rsidRPr="00CC28C0" w:rsidRDefault="00A57A5F" w:rsidP="00A57A5F">
      <w:pPr>
        <w:pStyle w:val="Behzottbekezdsnmhh"/>
        <w:ind w:firstLine="0"/>
      </w:pPr>
      <w:r w:rsidRPr="00CC28C0">
        <w:t>A</w:t>
      </w:r>
      <w:r>
        <w:t xml:space="preserve"> 694-790 MHz frekvenciasávra vonatkozó </w:t>
      </w:r>
      <w:r w:rsidRPr="00590B17">
        <w:rPr>
          <w:lang w:eastAsia="hu-HU"/>
        </w:rPr>
        <w:t>2016/687EU</w:t>
      </w:r>
      <w:r w:rsidRPr="00C04FB9">
        <w:t xml:space="preserve"> </w:t>
      </w:r>
      <w:r>
        <w:t xml:space="preserve">végrehajtási határozat egyes előírásai a </w:t>
      </w:r>
      <w:r w:rsidRPr="00590B17">
        <w:rPr>
          <w:b/>
        </w:rPr>
        <w:t>790-791 MHz</w:t>
      </w:r>
      <w:r>
        <w:t xml:space="preserve"> frekvenciatartományra is vonatkoz</w:t>
      </w:r>
      <w:r w:rsidR="00807137">
        <w:t>na</w:t>
      </w:r>
      <w:r>
        <w:t xml:space="preserve">k, amely </w:t>
      </w:r>
      <w:proofErr w:type="spellStart"/>
      <w:r>
        <w:t>átlapolódik</w:t>
      </w:r>
      <w:proofErr w:type="spellEnd"/>
      <w:r>
        <w:t xml:space="preserve"> a 790-862 MHz (800 M</w:t>
      </w:r>
      <w:r w:rsidR="00447CA4">
        <w:t>H</w:t>
      </w:r>
      <w:r>
        <w:t xml:space="preserve">z-es) frekvenciasávval. Ezért </w:t>
      </w:r>
      <w:r w:rsidRPr="00590B17">
        <w:t>a 790–791 MHz</w:t>
      </w:r>
      <w:r w:rsidRPr="00CC28C0">
        <w:t xml:space="preserve"> frekvencia</w:t>
      </w:r>
      <w:r>
        <w:t>tartomány</w:t>
      </w:r>
      <w:r w:rsidRPr="00CC28C0">
        <w:t xml:space="preserve"> jelen határozatban szereplő harmonizált feltételeit úgy kell alkalmazni, hogy a 800 MHz-es </w:t>
      </w:r>
      <w:r>
        <w:t>frekvencia</w:t>
      </w:r>
      <w:r w:rsidRPr="00CC28C0">
        <w:t xml:space="preserve">sávra vonatkozó 2010/267/EU határozat rendelkezései is teljesüljenek. </w:t>
      </w:r>
    </w:p>
    <w:p w14:paraId="1E376BDD" w14:textId="7591AC77" w:rsidR="00A57A5F" w:rsidRPr="004C67A6" w:rsidRDefault="00A57A5F" w:rsidP="00A57A5F">
      <w:pPr>
        <w:pStyle w:val="Behzottbekezdsnmhh"/>
      </w:pPr>
      <w:r w:rsidRPr="000839D6">
        <w:rPr>
          <w:b/>
        </w:rPr>
        <w:t>Az (EU) 2017/899</w:t>
      </w:r>
      <w:r>
        <w:t xml:space="preserve"> </w:t>
      </w:r>
      <w:r w:rsidRPr="00E25D80">
        <w:rPr>
          <w:b/>
        </w:rPr>
        <w:t>parlamenti és tanácsi határozat</w:t>
      </w:r>
      <w:r w:rsidRPr="00E527B2">
        <w:t xml:space="preserve"> az implementációs határidőket és egyéb tagállami kötelezettségeket szabályoz</w:t>
      </w:r>
      <w:r>
        <w:t xml:space="preserve">za, </w:t>
      </w:r>
      <w:r w:rsidRPr="00E527B2">
        <w:t xml:space="preserve">a 700 MHz-es </w:t>
      </w:r>
      <w:r>
        <w:t>frekvencia</w:t>
      </w:r>
      <w:r w:rsidRPr="00E527B2">
        <w:t>sávra</w:t>
      </w:r>
      <w:r>
        <w:t xml:space="preserve"> illetve a </w:t>
      </w:r>
      <w:r w:rsidRPr="00E527B2">
        <w:t xml:space="preserve">470-694 MHz-es frekvenciasáv </w:t>
      </w:r>
      <w:r>
        <w:t>használatára vonatkozóan</w:t>
      </w:r>
      <w:r w:rsidRPr="00E527B2">
        <w:t xml:space="preserve"> is </w:t>
      </w:r>
      <w:r>
        <w:t>tartalmaz előírásokat</w:t>
      </w:r>
      <w:r w:rsidRPr="00E527B2">
        <w:t>.</w:t>
      </w:r>
      <w:r>
        <w:t xml:space="preserve"> </w:t>
      </w:r>
    </w:p>
    <w:p w14:paraId="41458FC7" w14:textId="77777777" w:rsidR="00A57A5F" w:rsidRDefault="00A57A5F" w:rsidP="00CA5369">
      <w:pPr>
        <w:pStyle w:val="Cmsor2szmozottnmhh"/>
        <w:keepNext/>
        <w:ind w:left="578" w:hanging="578"/>
      </w:pPr>
      <w:bookmarkStart w:id="16" w:name="_Toc473880720"/>
      <w:bookmarkStart w:id="17" w:name="_Toc96001034"/>
      <w:r>
        <w:t>Nemzeti szabályozás</w:t>
      </w:r>
      <w:bookmarkEnd w:id="16"/>
      <w:bookmarkEnd w:id="17"/>
    </w:p>
    <w:p w14:paraId="24A9A1E8" w14:textId="77777777" w:rsidR="00A57A5F" w:rsidRDefault="00A57A5F" w:rsidP="00A57A5F">
      <w:pPr>
        <w:pStyle w:val="Behzottbekezdsnmhh"/>
      </w:pPr>
      <w:r>
        <w:t>A hatályos NFFF értelmében a 694-790 MHz frekvenciasáv megosztott elsődleges jelleggel a műsorszórás, a mozgószolgálat (a légi mozgó kivételével) és az RR-</w:t>
      </w:r>
      <w:proofErr w:type="spellStart"/>
      <w:r>
        <w:t>től</w:t>
      </w:r>
      <w:proofErr w:type="spellEnd"/>
      <w:r>
        <w:t xml:space="preserve"> eltérő módon állandóhelyű szolgálat számára felosztott. </w:t>
      </w:r>
    </w:p>
    <w:p w14:paraId="1AB5083E" w14:textId="5E4D70BB" w:rsidR="00A57A5F" w:rsidRPr="000E570B" w:rsidRDefault="00A57A5F" w:rsidP="00A57A5F">
      <w:pPr>
        <w:pStyle w:val="Behzottbekezdsnmhh"/>
      </w:pPr>
      <w:r w:rsidRPr="00240E37">
        <w:lastRenderedPageBreak/>
        <w:t xml:space="preserve">Az uniós jog átültetésének </w:t>
      </w:r>
      <w:r>
        <w:t>megfelelő NFFF módosítás</w:t>
      </w:r>
      <w:r w:rsidRPr="00240E37">
        <w:t xml:space="preserve"> meg</w:t>
      </w:r>
      <w:r>
        <w:t>történt.</w:t>
      </w:r>
      <w:r w:rsidRPr="00D21BEF">
        <w:t xml:space="preserve"> A </w:t>
      </w:r>
      <w:r>
        <w:t xml:space="preserve">Bizottsági végrehajtási határozat, valamint az </w:t>
      </w:r>
      <w:r w:rsidRPr="00D21BEF">
        <w:t xml:space="preserve">(EU) 2017/899 európai parlamenti és tanácsi határozat kapcsán szükséges jogalkotási feladatokat két ütemben </w:t>
      </w:r>
      <w:r>
        <w:t>valósultak meg</w:t>
      </w:r>
      <w:r w:rsidRPr="00D21BEF">
        <w:t xml:space="preserve">. </w:t>
      </w:r>
      <w:r w:rsidRPr="00A72A2B">
        <w:rPr>
          <w:iCs/>
        </w:rPr>
        <w:t xml:space="preserve">Az NFFF 2017. október 10-én hatályba </w:t>
      </w:r>
      <w:r w:rsidRPr="000E570B">
        <w:rPr>
          <w:iCs/>
        </w:rPr>
        <w:t>lépett módosítása során az MFCN-rendszereknek, valamint a nem polgári célú frekvenciaigények kielégítését szolgáló szélessávú digitális PPDR rendszereknek a frekvenciasáv egy részében történő jövőbeni bevezetésére vonatkozó lehetősége tervezett kategóriával került jelzésre.</w:t>
      </w:r>
      <w:r w:rsidRPr="000E570B">
        <w:t xml:space="preserve"> Az NFFF 2019. március 30-tól hatályos módosításával az</w:t>
      </w:r>
      <w:r w:rsidRPr="000E570B">
        <w:rPr>
          <w:iCs/>
        </w:rPr>
        <w:t xml:space="preserve"> MFCN-rendszerek számára tervezett 2x30 MHz sávból 2x25</w:t>
      </w:r>
      <w:r w:rsidR="00807137">
        <w:rPr>
          <w:iCs/>
        </w:rPr>
        <w:t> </w:t>
      </w:r>
      <w:r w:rsidRPr="000E570B">
        <w:rPr>
          <w:iCs/>
        </w:rPr>
        <w:t xml:space="preserve">MHz sávrész kijelölt kategóriájúvá vált és beépítésre kerültek a 700 MHz-es frekvenciasáv </w:t>
      </w:r>
      <w:r w:rsidR="00807137">
        <w:rPr>
          <w:iCs/>
        </w:rPr>
        <w:t>versenyeztetési eljárásához szükséges jogszabályi</w:t>
      </w:r>
      <w:r w:rsidRPr="000E570B">
        <w:rPr>
          <w:iCs/>
        </w:rPr>
        <w:t xml:space="preserve"> (műszaki, jogi, sávértékesítési) feltételek is. A fennmaradó 2x5 MHz sávrész továbbra is tervezett kategóriájú maradt a </w:t>
      </w:r>
      <w:proofErr w:type="gramStart"/>
      <w:r w:rsidRPr="000E570B">
        <w:rPr>
          <w:iCs/>
        </w:rPr>
        <w:t>szélessávú  PPDR</w:t>
      </w:r>
      <w:proofErr w:type="gramEnd"/>
      <w:r w:rsidRPr="000E570B">
        <w:rPr>
          <w:iCs/>
        </w:rPr>
        <w:t xml:space="preserve"> rendszerek magyarországi spektrumigényének tisztázásáig és a PPDR megvalósítására vonatkozó kormányzati döntésig. </w:t>
      </w:r>
    </w:p>
    <w:p w14:paraId="2E09E686" w14:textId="40A6E2B1" w:rsidR="00A57A5F" w:rsidRDefault="00A57A5F" w:rsidP="00A57A5F">
      <w:pPr>
        <w:pStyle w:val="Behzottbekezdsnmhh"/>
        <w:ind w:firstLine="0"/>
      </w:pPr>
      <w:r w:rsidRPr="000E570B">
        <w:t xml:space="preserve">Ennek megfelelően a hatályos NFFF alapján a 694-790 MHz </w:t>
      </w:r>
      <w:r>
        <w:t>frekvencia</w:t>
      </w:r>
      <w:r w:rsidRPr="000E570B">
        <w:t>sávon belül a 708-733/763-788 MHz sávrész elsődleges jelleggel vezetéknélküli szélessávú elektronikus hírközlési szolgáltatások nyújtására</w:t>
      </w:r>
      <w:r w:rsidRPr="00127716">
        <w:t xml:space="preserve"> alkalmas földfelszíni rendszerek</w:t>
      </w:r>
      <w:r>
        <w:t xml:space="preserve"> számára kijelölt, míg a 703-708/758-763</w:t>
      </w:r>
      <w:r w:rsidRPr="00127716">
        <w:t xml:space="preserve"> </w:t>
      </w:r>
      <w:r>
        <w:t>frekvenciasávrész tervezett státuszú. A</w:t>
      </w:r>
      <w:r w:rsidRPr="0062185B">
        <w:t xml:space="preserve"> 698</w:t>
      </w:r>
      <w:r>
        <w:t>-</w:t>
      </w:r>
      <w:r w:rsidRPr="0062185B">
        <w:t>703/753</w:t>
      </w:r>
      <w:r>
        <w:t>-</w:t>
      </w:r>
      <w:r w:rsidRPr="0062185B">
        <w:t>758 MHz</w:t>
      </w:r>
      <w:r>
        <w:t xml:space="preserve"> és</w:t>
      </w:r>
      <w:r w:rsidRPr="0062185B">
        <w:t xml:space="preserve"> 733</w:t>
      </w:r>
      <w:r>
        <w:t>-</w:t>
      </w:r>
      <w:r w:rsidRPr="0062185B">
        <w:t>73</w:t>
      </w:r>
      <w:r>
        <w:t>6</w:t>
      </w:r>
      <w:r w:rsidRPr="0062185B">
        <w:t>/788</w:t>
      </w:r>
      <w:r>
        <w:t>-</w:t>
      </w:r>
      <w:r w:rsidRPr="0062185B">
        <w:t>79</w:t>
      </w:r>
      <w:r>
        <w:t>1</w:t>
      </w:r>
      <w:r w:rsidRPr="0062185B">
        <w:t xml:space="preserve"> MHz </w:t>
      </w:r>
      <w:r>
        <w:t>sávrészek s</w:t>
      </w:r>
      <w:r w:rsidRPr="0062185B">
        <w:t xml:space="preserve">zélessávú digitális PPDR rendszerek </w:t>
      </w:r>
      <w:r>
        <w:t>számára tervezettek.</w:t>
      </w:r>
    </w:p>
    <w:p w14:paraId="4CDD7EC4" w14:textId="3CD55B66" w:rsidR="00A57A5F" w:rsidRDefault="00A57A5F" w:rsidP="00A57A5F">
      <w:pPr>
        <w:pStyle w:val="Behzottbekezdsnmhh"/>
      </w:pPr>
      <w:r>
        <w:t>A már kijelölt státuszú 708-733/763-788 MHz-es sávrész rádióspektrum-használati jog szerzésével, valamint a sávhasználat feltételeivel kapcsolatos információkat az NFFF 3. melléklete tartalmazza.</w:t>
      </w:r>
    </w:p>
    <w:tbl>
      <w:tblPr>
        <w:tblStyle w:val="Rcsostblzat"/>
        <w:tblW w:w="0" w:type="auto"/>
        <w:tblLook w:val="04A0" w:firstRow="1" w:lastRow="0" w:firstColumn="1" w:lastColumn="0" w:noHBand="0" w:noVBand="1"/>
      </w:tblPr>
      <w:tblGrid>
        <w:gridCol w:w="4531"/>
        <w:gridCol w:w="4531"/>
      </w:tblGrid>
      <w:tr w:rsidR="00A57A5F" w14:paraId="2058F848" w14:textId="77777777" w:rsidTr="00707D04">
        <w:trPr>
          <w:tblHeader/>
        </w:trPr>
        <w:tc>
          <w:tcPr>
            <w:tcW w:w="4531" w:type="dxa"/>
            <w:vAlign w:val="center"/>
          </w:tcPr>
          <w:p w14:paraId="6855081B" w14:textId="77777777" w:rsidR="00A57A5F" w:rsidRPr="00930F3B" w:rsidRDefault="00A57A5F" w:rsidP="00707D04">
            <w:pPr>
              <w:pStyle w:val="Behzottbekezdsnmhh"/>
              <w:ind w:firstLine="0"/>
              <w:jc w:val="center"/>
              <w:rPr>
                <w:b/>
              </w:rPr>
            </w:pPr>
            <w:r w:rsidRPr="00930F3B">
              <w:rPr>
                <w:b/>
              </w:rPr>
              <w:t>Feltétel tárgya</w:t>
            </w:r>
          </w:p>
        </w:tc>
        <w:tc>
          <w:tcPr>
            <w:tcW w:w="4531" w:type="dxa"/>
            <w:vAlign w:val="center"/>
          </w:tcPr>
          <w:p w14:paraId="2124EB06" w14:textId="77777777" w:rsidR="00A57A5F" w:rsidRPr="00930F3B" w:rsidRDefault="00A57A5F" w:rsidP="00707D04">
            <w:pPr>
              <w:pStyle w:val="Behzottbekezdsnmhh"/>
              <w:ind w:firstLine="0"/>
              <w:jc w:val="center"/>
              <w:rPr>
                <w:b/>
              </w:rPr>
            </w:pPr>
            <w:r w:rsidRPr="00930F3B">
              <w:rPr>
                <w:b/>
              </w:rPr>
              <w:t>Előírás</w:t>
            </w:r>
          </w:p>
        </w:tc>
      </w:tr>
      <w:tr w:rsidR="00A57A5F" w14:paraId="3C27C5DE" w14:textId="77777777" w:rsidTr="00707D04">
        <w:trPr>
          <w:tblHeader/>
        </w:trPr>
        <w:tc>
          <w:tcPr>
            <w:tcW w:w="4531" w:type="dxa"/>
            <w:vAlign w:val="center"/>
          </w:tcPr>
          <w:p w14:paraId="1039B75A" w14:textId="77777777" w:rsidR="00A57A5F" w:rsidRPr="005638AA" w:rsidRDefault="00A57A5F" w:rsidP="00707D04">
            <w:pPr>
              <w:pStyle w:val="Behzottbekezdsnmhh"/>
              <w:ind w:firstLine="0"/>
              <w:jc w:val="left"/>
              <w:rPr>
                <w:color w:val="000000"/>
                <w:sz w:val="18"/>
              </w:rPr>
            </w:pPr>
            <w:r w:rsidRPr="005638AA">
              <w:rPr>
                <w:color w:val="000000"/>
                <w:sz w:val="18"/>
              </w:rPr>
              <w:t>Használat célja</w:t>
            </w:r>
          </w:p>
        </w:tc>
        <w:tc>
          <w:tcPr>
            <w:tcW w:w="4531" w:type="dxa"/>
            <w:vAlign w:val="center"/>
          </w:tcPr>
          <w:p w14:paraId="113BBF54" w14:textId="77777777" w:rsidR="00A57A5F" w:rsidRPr="00930F3B" w:rsidRDefault="00A57A5F" w:rsidP="00707D04">
            <w:pPr>
              <w:pStyle w:val="Behzottbekezdsnmhh"/>
              <w:ind w:firstLine="0"/>
              <w:jc w:val="left"/>
              <w:rPr>
                <w:b/>
              </w:rPr>
            </w:pPr>
            <w:r>
              <w:rPr>
                <w:rFonts w:ascii="Arial" w:hAnsi="Arial" w:cs="Arial"/>
                <w:color w:val="212529"/>
                <w:sz w:val="18"/>
                <w:szCs w:val="18"/>
                <w:shd w:val="clear" w:color="auto" w:fill="FFFFFF"/>
              </w:rPr>
              <w:t>elektronikus hírközlési szolgáltatás nyújtása</w:t>
            </w:r>
          </w:p>
        </w:tc>
      </w:tr>
      <w:tr w:rsidR="00A57A5F" w:rsidRPr="005638AA" w14:paraId="466C0FE1" w14:textId="77777777" w:rsidTr="00707D04">
        <w:trPr>
          <w:tblHeader/>
        </w:trPr>
        <w:tc>
          <w:tcPr>
            <w:tcW w:w="4531" w:type="dxa"/>
            <w:vAlign w:val="center"/>
          </w:tcPr>
          <w:p w14:paraId="5CDEB302" w14:textId="77777777" w:rsidR="00A57A5F" w:rsidRPr="005638AA" w:rsidRDefault="00A57A5F" w:rsidP="00707D04">
            <w:pPr>
              <w:pStyle w:val="Behzottbekezdsnmhh"/>
              <w:ind w:firstLine="0"/>
              <w:jc w:val="left"/>
              <w:rPr>
                <w:color w:val="000000"/>
                <w:sz w:val="18"/>
              </w:rPr>
            </w:pPr>
            <w:r w:rsidRPr="005638AA">
              <w:rPr>
                <w:color w:val="000000"/>
                <w:sz w:val="18"/>
              </w:rPr>
              <w:t>Frekvenciaelosztás módja</w:t>
            </w:r>
          </w:p>
        </w:tc>
        <w:tc>
          <w:tcPr>
            <w:tcW w:w="4531" w:type="dxa"/>
            <w:vAlign w:val="center"/>
          </w:tcPr>
          <w:p w14:paraId="66863A00" w14:textId="77777777" w:rsidR="00A57A5F" w:rsidRPr="005638AA" w:rsidRDefault="00A57A5F" w:rsidP="00707D04">
            <w:pPr>
              <w:pStyle w:val="Behzottbekezdsnmhh"/>
              <w:ind w:firstLine="0"/>
              <w:jc w:val="left"/>
              <w:rPr>
                <w:color w:val="000000"/>
                <w:sz w:val="18"/>
              </w:rPr>
            </w:pPr>
            <w:r>
              <w:rPr>
                <w:rFonts w:ascii="Arial" w:hAnsi="Arial" w:cs="Arial"/>
                <w:color w:val="212529"/>
                <w:sz w:val="18"/>
                <w:szCs w:val="18"/>
                <w:shd w:val="clear" w:color="auto" w:fill="FFFFFF"/>
              </w:rPr>
              <w:t>versenyeztetési eljárás</w:t>
            </w:r>
          </w:p>
        </w:tc>
      </w:tr>
      <w:tr w:rsidR="00A57A5F" w14:paraId="0CE802B7" w14:textId="77777777" w:rsidTr="00707D04">
        <w:tc>
          <w:tcPr>
            <w:tcW w:w="4531" w:type="dxa"/>
            <w:vMerge w:val="restart"/>
            <w:vAlign w:val="center"/>
          </w:tcPr>
          <w:p w14:paraId="3AAA0A92" w14:textId="77777777" w:rsidR="00A57A5F" w:rsidRDefault="00A57A5F" w:rsidP="00707D04">
            <w:pPr>
              <w:pStyle w:val="Behzottbekezdsnmhh"/>
              <w:ind w:firstLine="0"/>
            </w:pPr>
            <w:r>
              <w:rPr>
                <w:color w:val="000000"/>
                <w:sz w:val="18"/>
              </w:rPr>
              <w:t>Frekvenciatartomány-mennyiség maximuma</w:t>
            </w:r>
          </w:p>
        </w:tc>
        <w:tc>
          <w:tcPr>
            <w:tcW w:w="4531" w:type="dxa"/>
            <w:vAlign w:val="center"/>
          </w:tcPr>
          <w:p w14:paraId="28646918" w14:textId="77777777" w:rsidR="00A57A5F" w:rsidRDefault="00A57A5F" w:rsidP="00707D04">
            <w:pPr>
              <w:keepNext/>
              <w:keepLines/>
              <w:ind w:left="198" w:hanging="198"/>
              <w:rPr>
                <w:rFonts w:cs="Arial"/>
                <w:color w:val="000000"/>
                <w:sz w:val="18"/>
                <w:szCs w:val="18"/>
              </w:rPr>
            </w:pPr>
            <w:r>
              <w:rPr>
                <w:rFonts w:cs="Arial"/>
                <w:color w:val="000000"/>
                <w:sz w:val="18"/>
                <w:szCs w:val="18"/>
              </w:rPr>
              <w:t>egy rádióspektrum-használati jogosult a rádióspektrum-használati jogosultság területi kiterjedésén belül legfeljebb 2 alapblokk rádióspektrum-használati jogosultságával, jogával rendelkezhet;</w:t>
            </w:r>
          </w:p>
          <w:p w14:paraId="2F208055" w14:textId="77777777" w:rsidR="00A57A5F" w:rsidRDefault="00A57A5F" w:rsidP="00707D04">
            <w:pPr>
              <w:pStyle w:val="Behzottbekezdsnmhh"/>
              <w:ind w:firstLine="0"/>
            </w:pPr>
            <w:r>
              <w:rPr>
                <w:rFonts w:cs="Arial"/>
                <w:color w:val="000000"/>
                <w:sz w:val="18"/>
                <w:szCs w:val="18"/>
              </w:rPr>
              <w:t>egy vállalkozáscsoportba tartozó rádióspektrum-használati jogosultak a rádióspektrum-használati jogosultság területi kiterjedésén belül együttesen legfeljebb 2 alapblokk rádióspektrum-használati jogosultságával, jogával rendelkezhetnek;</w:t>
            </w:r>
          </w:p>
        </w:tc>
      </w:tr>
      <w:tr w:rsidR="00A57A5F" w14:paraId="5185C70E" w14:textId="77777777" w:rsidTr="00707D04">
        <w:tc>
          <w:tcPr>
            <w:tcW w:w="4531" w:type="dxa"/>
            <w:vMerge/>
            <w:vAlign w:val="center"/>
          </w:tcPr>
          <w:p w14:paraId="3BBCE50C" w14:textId="77777777" w:rsidR="00A57A5F" w:rsidRDefault="00A57A5F" w:rsidP="00707D04">
            <w:pPr>
              <w:pStyle w:val="Behzottbekezdsnmhh"/>
              <w:ind w:firstLine="0"/>
              <w:jc w:val="center"/>
            </w:pPr>
          </w:p>
        </w:tc>
        <w:tc>
          <w:tcPr>
            <w:tcW w:w="4531" w:type="dxa"/>
            <w:vAlign w:val="center"/>
          </w:tcPr>
          <w:p w14:paraId="58ABCA89" w14:textId="77777777" w:rsidR="00A57A5F" w:rsidRDefault="00A57A5F" w:rsidP="00707D04">
            <w:pPr>
              <w:pStyle w:val="Behzottbekezdsnmhh"/>
              <w:ind w:firstLine="0"/>
            </w:pPr>
            <w:r>
              <w:rPr>
                <w:rFonts w:cs="Arial"/>
                <w:color w:val="000000"/>
                <w:sz w:val="18"/>
                <w:szCs w:val="18"/>
              </w:rPr>
              <w:t xml:space="preserve">ha versenyeztetési eljárás </w:t>
            </w:r>
            <w:proofErr w:type="spellStart"/>
            <w:r>
              <w:rPr>
                <w:rFonts w:cs="Arial"/>
                <w:color w:val="000000"/>
                <w:sz w:val="18"/>
                <w:szCs w:val="18"/>
              </w:rPr>
              <w:t>lezárultát</w:t>
            </w:r>
            <w:proofErr w:type="spellEnd"/>
            <w:r>
              <w:rPr>
                <w:rFonts w:cs="Arial"/>
                <w:color w:val="000000"/>
                <w:sz w:val="18"/>
                <w:szCs w:val="18"/>
              </w:rPr>
              <w:t xml:space="preserve"> követően valamely rádióspektrum-használati jogosult vagy egy vállalkozáscsoportba tartozó rádióspektrum-használati jogosultak a frekvenciatartomány-mennyiség maximumát túllépik, a túllépéstől számított 1 éven belül kötelesek a rendelkezésükre álló frekvenciatartomány-mennyiséget legalább a frekvenciatartomány-mennyiség maximumának értékéig csökkenteni</w:t>
            </w:r>
          </w:p>
        </w:tc>
      </w:tr>
      <w:tr w:rsidR="00A57A5F" w14:paraId="0FE656FA" w14:textId="77777777" w:rsidTr="00707D04">
        <w:tc>
          <w:tcPr>
            <w:tcW w:w="4531" w:type="dxa"/>
            <w:vAlign w:val="center"/>
          </w:tcPr>
          <w:p w14:paraId="14324366" w14:textId="77777777" w:rsidR="00A57A5F" w:rsidRDefault="00A57A5F" w:rsidP="00707D04">
            <w:pPr>
              <w:pStyle w:val="Behzottbekezdsnmhh"/>
              <w:ind w:firstLine="0"/>
            </w:pPr>
            <w:r>
              <w:rPr>
                <w:rFonts w:cs="Arial"/>
                <w:color w:val="000000"/>
                <w:sz w:val="18"/>
                <w:szCs w:val="18"/>
              </w:rPr>
              <w:t>Frekvenciatartomány-mennyiség minimuma</w:t>
            </w:r>
          </w:p>
        </w:tc>
        <w:tc>
          <w:tcPr>
            <w:tcW w:w="4531" w:type="dxa"/>
            <w:vAlign w:val="center"/>
          </w:tcPr>
          <w:p w14:paraId="67505554" w14:textId="77777777" w:rsidR="00A57A5F" w:rsidRDefault="00A57A5F" w:rsidP="00707D04">
            <w:pPr>
              <w:pStyle w:val="Behzottbekezdsnmhh"/>
              <w:ind w:firstLine="0"/>
            </w:pPr>
            <w:r>
              <w:rPr>
                <w:rFonts w:cs="Arial"/>
                <w:color w:val="000000"/>
                <w:sz w:val="18"/>
                <w:szCs w:val="18"/>
              </w:rPr>
              <w:t>egy rádióspektrum-használati jogosultnak legalább 1 alapblokk rádióspektrum-használati jogosultságával, jogával kell rendelkeznie</w:t>
            </w:r>
          </w:p>
        </w:tc>
      </w:tr>
      <w:tr w:rsidR="00A57A5F" w14:paraId="5E986995" w14:textId="77777777" w:rsidTr="00707D04">
        <w:tc>
          <w:tcPr>
            <w:tcW w:w="4531" w:type="dxa"/>
            <w:vAlign w:val="center"/>
          </w:tcPr>
          <w:p w14:paraId="12A37809" w14:textId="77777777" w:rsidR="00A57A5F" w:rsidRDefault="00A57A5F" w:rsidP="00707D04">
            <w:pPr>
              <w:pStyle w:val="Behzottbekezdsnmhh"/>
              <w:ind w:firstLine="0"/>
            </w:pPr>
            <w:r>
              <w:rPr>
                <w:rFonts w:cs="Arial"/>
                <w:color w:val="000000"/>
                <w:sz w:val="18"/>
                <w:szCs w:val="18"/>
              </w:rPr>
              <w:t>Rádióspektrum-használati jog időtartama</w:t>
            </w:r>
          </w:p>
        </w:tc>
        <w:tc>
          <w:tcPr>
            <w:tcW w:w="4531" w:type="dxa"/>
            <w:vAlign w:val="center"/>
          </w:tcPr>
          <w:p w14:paraId="2440A220" w14:textId="77777777" w:rsidR="00A57A5F" w:rsidRDefault="00A57A5F" w:rsidP="00707D04">
            <w:pPr>
              <w:pStyle w:val="Behzottbekezdsnmhh"/>
              <w:ind w:firstLine="0"/>
            </w:pPr>
            <w:r>
              <w:rPr>
                <w:rFonts w:cs="Arial"/>
                <w:color w:val="000000"/>
                <w:sz w:val="18"/>
                <w:szCs w:val="18"/>
              </w:rPr>
              <w:t xml:space="preserve">15 év, amely egy </w:t>
            </w:r>
            <w:proofErr w:type="gramStart"/>
            <w:r>
              <w:rPr>
                <w:rFonts w:cs="Arial"/>
                <w:color w:val="000000"/>
                <w:sz w:val="18"/>
                <w:szCs w:val="18"/>
              </w:rPr>
              <w:t>alkalommal</w:t>
            </w:r>
            <w:proofErr w:type="gramEnd"/>
            <w:r>
              <w:rPr>
                <w:rFonts w:cs="Arial"/>
                <w:color w:val="000000"/>
                <w:sz w:val="18"/>
                <w:szCs w:val="18"/>
              </w:rPr>
              <w:t xml:space="preserve"> 5 évvel meghosszabbítható; a meghosszabbítás részletes szabályait, feltételeit a versenyeztetési eljárás kiírási dokumentációja, valamint a versenyeztetési eljárást lezáró határozat vagy hatósági szerződés határozza meg</w:t>
            </w:r>
          </w:p>
        </w:tc>
      </w:tr>
      <w:tr w:rsidR="00A57A5F" w14:paraId="32C635B8" w14:textId="77777777" w:rsidTr="00707D04">
        <w:tc>
          <w:tcPr>
            <w:tcW w:w="4531" w:type="dxa"/>
            <w:vAlign w:val="center"/>
          </w:tcPr>
          <w:p w14:paraId="18176FAB" w14:textId="77777777" w:rsidR="00A57A5F" w:rsidRDefault="00A57A5F" w:rsidP="00707D04">
            <w:pPr>
              <w:pStyle w:val="Behzottbekezdsnmhh"/>
              <w:ind w:firstLine="0"/>
            </w:pPr>
            <w:r>
              <w:rPr>
                <w:rFonts w:cs="Arial"/>
                <w:color w:val="000000"/>
                <w:sz w:val="18"/>
                <w:szCs w:val="18"/>
              </w:rPr>
              <w:t>Rádióspektrum-használati jogosultság területi kiterjedése</w:t>
            </w:r>
          </w:p>
        </w:tc>
        <w:tc>
          <w:tcPr>
            <w:tcW w:w="4531" w:type="dxa"/>
            <w:vAlign w:val="center"/>
          </w:tcPr>
          <w:p w14:paraId="5623B43C" w14:textId="77777777" w:rsidR="00A57A5F" w:rsidRDefault="00A57A5F" w:rsidP="00707D04">
            <w:pPr>
              <w:pStyle w:val="Behzottbekezdsnmhh"/>
              <w:ind w:firstLine="0"/>
            </w:pPr>
            <w:r>
              <w:rPr>
                <w:rFonts w:cs="Arial"/>
                <w:color w:val="000000"/>
                <w:sz w:val="18"/>
                <w:szCs w:val="18"/>
              </w:rPr>
              <w:t>a rádióspektrum-használati jogosultság versenyeztetési eljárás eredményeként történő megszerzése esetén országos, átruházás útján történő megszerzése esetén kisebb földrajzi egység is megengedett</w:t>
            </w:r>
          </w:p>
        </w:tc>
      </w:tr>
      <w:tr w:rsidR="00A57A5F" w14:paraId="796FFDE9" w14:textId="77777777" w:rsidTr="00707D04">
        <w:tc>
          <w:tcPr>
            <w:tcW w:w="4531" w:type="dxa"/>
            <w:vAlign w:val="center"/>
          </w:tcPr>
          <w:p w14:paraId="7907981A" w14:textId="77777777" w:rsidR="00A57A5F" w:rsidRDefault="00A57A5F" w:rsidP="00707D04">
            <w:pPr>
              <w:pStyle w:val="Behzottbekezdsnmhh"/>
              <w:ind w:firstLine="0"/>
            </w:pPr>
            <w:r>
              <w:rPr>
                <w:rFonts w:cs="Arial"/>
                <w:color w:val="000000"/>
                <w:sz w:val="18"/>
                <w:szCs w:val="18"/>
              </w:rPr>
              <w:t>Gazdálkodás módja</w:t>
            </w:r>
          </w:p>
        </w:tc>
        <w:tc>
          <w:tcPr>
            <w:tcW w:w="4531" w:type="dxa"/>
            <w:vAlign w:val="center"/>
          </w:tcPr>
          <w:p w14:paraId="3363097E" w14:textId="77777777" w:rsidR="00A57A5F" w:rsidRDefault="00A57A5F" w:rsidP="00707D04">
            <w:pPr>
              <w:pStyle w:val="Behzottbekezdsnmhh"/>
              <w:ind w:firstLine="0"/>
            </w:pPr>
            <w:r>
              <w:rPr>
                <w:rFonts w:cs="Arial"/>
                <w:color w:val="000000"/>
                <w:sz w:val="18"/>
                <w:szCs w:val="18"/>
              </w:rPr>
              <w:t>blokkgazdálkodás</w:t>
            </w:r>
          </w:p>
        </w:tc>
      </w:tr>
      <w:tr w:rsidR="00A57A5F" w14:paraId="5D12845F" w14:textId="77777777" w:rsidTr="00707D04">
        <w:tc>
          <w:tcPr>
            <w:tcW w:w="4531" w:type="dxa"/>
            <w:vAlign w:val="center"/>
          </w:tcPr>
          <w:p w14:paraId="586CDD5D" w14:textId="77777777" w:rsidR="00A57A5F" w:rsidRDefault="00A57A5F" w:rsidP="00707D04">
            <w:pPr>
              <w:pStyle w:val="Behzottbekezdsnmhh"/>
              <w:ind w:firstLine="0"/>
            </w:pPr>
            <w:r>
              <w:rPr>
                <w:rFonts w:cs="Arial"/>
                <w:color w:val="000000"/>
                <w:sz w:val="18"/>
                <w:szCs w:val="18"/>
              </w:rPr>
              <w:lastRenderedPageBreak/>
              <w:t>Másodlagos kereskedelem</w:t>
            </w:r>
          </w:p>
        </w:tc>
        <w:tc>
          <w:tcPr>
            <w:tcW w:w="4531" w:type="dxa"/>
            <w:vAlign w:val="center"/>
          </w:tcPr>
          <w:p w14:paraId="63750D3A" w14:textId="77777777" w:rsidR="00A57A5F" w:rsidRDefault="00A57A5F" w:rsidP="00707D04">
            <w:pPr>
              <w:keepNext/>
              <w:keepLines/>
              <w:ind w:left="198" w:hanging="198"/>
              <w:rPr>
                <w:rFonts w:cs="Arial"/>
                <w:color w:val="000000"/>
                <w:sz w:val="18"/>
                <w:szCs w:val="18"/>
              </w:rPr>
            </w:pPr>
            <w:r>
              <w:rPr>
                <w:rFonts w:cs="Arial"/>
                <w:color w:val="000000"/>
                <w:sz w:val="18"/>
                <w:szCs w:val="18"/>
              </w:rPr>
              <w:t>a rádióspektrum-használati jogosultság, jog részben és egészben is átruházható, haszonbérbe adható; frekvencia vonatkozásában történő részbeni átruházás alapblokkonként történhet</w:t>
            </w:r>
          </w:p>
          <w:p w14:paraId="1C895F1C" w14:textId="77777777" w:rsidR="00A57A5F" w:rsidRDefault="00A57A5F" w:rsidP="00707D04">
            <w:pPr>
              <w:pStyle w:val="Behzottbekezdsnmhh"/>
              <w:ind w:firstLine="0"/>
            </w:pPr>
            <w:r>
              <w:rPr>
                <w:rFonts w:cs="Arial"/>
                <w:color w:val="000000"/>
                <w:sz w:val="18"/>
                <w:szCs w:val="18"/>
              </w:rPr>
              <w:t>a rádióspektrum-használati jog haszonbérbe adásával kapcsolatban a versenyeztetési eljárás kiírási dokumentációja feltételeket határozhat meg a tényleges verseny előmozdítása és a verseny torzulásainak elkerülése érdekében</w:t>
            </w:r>
          </w:p>
        </w:tc>
      </w:tr>
      <w:tr w:rsidR="00A57A5F" w14:paraId="5668E1DD" w14:textId="77777777" w:rsidTr="00707D04">
        <w:tc>
          <w:tcPr>
            <w:tcW w:w="4531" w:type="dxa"/>
            <w:vAlign w:val="center"/>
          </w:tcPr>
          <w:p w14:paraId="2A6D0A21" w14:textId="77777777" w:rsidR="00A57A5F" w:rsidRDefault="00A57A5F" w:rsidP="00707D04">
            <w:pPr>
              <w:pStyle w:val="Behzottbekezdsnmhh"/>
              <w:ind w:firstLine="0"/>
              <w:rPr>
                <w:rFonts w:cs="Arial"/>
                <w:color w:val="000000"/>
                <w:sz w:val="18"/>
                <w:szCs w:val="18"/>
              </w:rPr>
            </w:pPr>
            <w:r>
              <w:rPr>
                <w:rFonts w:cs="Arial"/>
                <w:color w:val="000000"/>
                <w:sz w:val="18"/>
                <w:szCs w:val="18"/>
              </w:rPr>
              <w:t>Sávátrendezés</w:t>
            </w:r>
          </w:p>
        </w:tc>
        <w:tc>
          <w:tcPr>
            <w:tcW w:w="4531" w:type="dxa"/>
            <w:vAlign w:val="center"/>
          </w:tcPr>
          <w:p w14:paraId="342A50C2" w14:textId="77777777" w:rsidR="00A57A5F" w:rsidRDefault="00A57A5F" w:rsidP="00707D04">
            <w:pPr>
              <w:keepNext/>
              <w:keepLines/>
              <w:ind w:left="198" w:hanging="198"/>
              <w:rPr>
                <w:rFonts w:cs="Arial"/>
                <w:color w:val="000000"/>
                <w:sz w:val="18"/>
                <w:szCs w:val="18"/>
              </w:rPr>
            </w:pPr>
            <w:r>
              <w:rPr>
                <w:rFonts w:cs="Arial"/>
                <w:color w:val="000000"/>
                <w:sz w:val="18"/>
                <w:szCs w:val="18"/>
              </w:rPr>
              <w:t>megengedett</w:t>
            </w:r>
          </w:p>
        </w:tc>
      </w:tr>
    </w:tbl>
    <w:p w14:paraId="10ADCEC1" w14:textId="68C755BE" w:rsidR="00A57A5F" w:rsidRDefault="00A57A5F" w:rsidP="00A57A5F">
      <w:pPr>
        <w:pStyle w:val="Kpalrs"/>
        <w:jc w:val="center"/>
      </w:pPr>
      <w:r>
        <w:t>3.2</w:t>
      </w:r>
      <w:proofErr w:type="gramStart"/>
      <w:r>
        <w:t>.</w:t>
      </w:r>
      <w:r w:rsidR="00552284">
        <w:t>a</w:t>
      </w:r>
      <w:proofErr w:type="gramEnd"/>
      <w:r>
        <w:t xml:space="preserve"> táblázat: A rádióspektrum-használati jog szerzésének és a sávhasználat feltételei (708-733/763-788 MHz, forrás: NFFF)</w:t>
      </w:r>
    </w:p>
    <w:p w14:paraId="76E17210" w14:textId="40B1497F" w:rsidR="00A57A5F" w:rsidRDefault="00A57A5F" w:rsidP="00A57A5F">
      <w:pPr>
        <w:pStyle w:val="Behzottbekezdsnmhh"/>
        <w:ind w:left="357" w:firstLine="0"/>
      </w:pPr>
      <w:r>
        <w:t>A frekvenciagazdálkodási követelményeket a 3.2</w:t>
      </w:r>
      <w:proofErr w:type="gramStart"/>
      <w:r>
        <w:t>.</w:t>
      </w:r>
      <w:r w:rsidR="004D744C">
        <w:t>b</w:t>
      </w:r>
      <w:proofErr w:type="gramEnd"/>
      <w:r>
        <w:t>. táblázat foglalja össze.</w:t>
      </w:r>
    </w:p>
    <w:tbl>
      <w:tblPr>
        <w:tblStyle w:val="Rcsostblzat"/>
        <w:tblW w:w="0" w:type="auto"/>
        <w:tblInd w:w="357" w:type="dxa"/>
        <w:tblLook w:val="04A0" w:firstRow="1" w:lastRow="0" w:firstColumn="1" w:lastColumn="0" w:noHBand="0" w:noVBand="1"/>
      </w:tblPr>
      <w:tblGrid>
        <w:gridCol w:w="4353"/>
        <w:gridCol w:w="4352"/>
      </w:tblGrid>
      <w:tr w:rsidR="00A57A5F" w14:paraId="30E7A5E4" w14:textId="77777777" w:rsidTr="00707D04">
        <w:tc>
          <w:tcPr>
            <w:tcW w:w="4353" w:type="dxa"/>
            <w:vAlign w:val="center"/>
          </w:tcPr>
          <w:p w14:paraId="41E1D99B" w14:textId="77777777" w:rsidR="00A57A5F" w:rsidRDefault="00A57A5F" w:rsidP="00707D04">
            <w:pPr>
              <w:pStyle w:val="Behzottbekezdsnmhh"/>
              <w:ind w:firstLine="0"/>
            </w:pPr>
            <w:r>
              <w:rPr>
                <w:rStyle w:val="Kiemels2"/>
                <w:rFonts w:ascii="Arial" w:hAnsi="Arial" w:cs="Arial"/>
                <w:color w:val="212529"/>
                <w:sz w:val="21"/>
                <w:szCs w:val="21"/>
              </w:rPr>
              <w:t>Követelmény tárgya</w:t>
            </w:r>
          </w:p>
        </w:tc>
        <w:tc>
          <w:tcPr>
            <w:tcW w:w="4352" w:type="dxa"/>
            <w:vAlign w:val="center"/>
          </w:tcPr>
          <w:p w14:paraId="1065EAA6" w14:textId="77777777" w:rsidR="00A57A5F" w:rsidRDefault="00A57A5F" w:rsidP="00707D04">
            <w:pPr>
              <w:pStyle w:val="Behzottbekezdsnmhh"/>
              <w:ind w:firstLine="0"/>
            </w:pPr>
            <w:r>
              <w:rPr>
                <w:rStyle w:val="Kiemels2"/>
                <w:rFonts w:ascii="Arial" w:hAnsi="Arial" w:cs="Arial"/>
                <w:color w:val="212529"/>
                <w:sz w:val="21"/>
                <w:szCs w:val="21"/>
              </w:rPr>
              <w:t>Előírás</w:t>
            </w:r>
          </w:p>
        </w:tc>
      </w:tr>
      <w:tr w:rsidR="00A57A5F" w14:paraId="50A6C41A" w14:textId="77777777" w:rsidTr="00707D04">
        <w:tc>
          <w:tcPr>
            <w:tcW w:w="4353" w:type="dxa"/>
            <w:vAlign w:val="center"/>
          </w:tcPr>
          <w:p w14:paraId="41D3EF86" w14:textId="77777777" w:rsidR="00A57A5F" w:rsidRDefault="00A57A5F" w:rsidP="00707D04">
            <w:pPr>
              <w:pStyle w:val="Behzottbekezdsnmhh"/>
              <w:ind w:firstLine="0"/>
            </w:pPr>
            <w:r>
              <w:rPr>
                <w:rFonts w:ascii="Arial" w:hAnsi="Arial" w:cs="Arial"/>
                <w:color w:val="212529"/>
                <w:sz w:val="21"/>
                <w:szCs w:val="21"/>
              </w:rPr>
              <w:t>Végfelhasználói állomás, átjátszóállomás felmenő irányú összeköttetésének frekvenciasávja</w:t>
            </w:r>
          </w:p>
        </w:tc>
        <w:tc>
          <w:tcPr>
            <w:tcW w:w="4352" w:type="dxa"/>
          </w:tcPr>
          <w:p w14:paraId="7A98BD65" w14:textId="77777777" w:rsidR="00A57A5F" w:rsidRDefault="00A57A5F" w:rsidP="00707D04">
            <w:pPr>
              <w:pStyle w:val="Behzottbekezdsnmhh"/>
              <w:ind w:firstLine="0"/>
            </w:pPr>
            <w:r>
              <w:rPr>
                <w:rFonts w:ascii="Arial" w:hAnsi="Arial" w:cs="Arial"/>
                <w:color w:val="212529"/>
                <w:sz w:val="18"/>
                <w:szCs w:val="18"/>
              </w:rPr>
              <w:t>708–733 MHz</w:t>
            </w:r>
          </w:p>
        </w:tc>
      </w:tr>
      <w:tr w:rsidR="00A57A5F" w14:paraId="19BEF3E1" w14:textId="77777777" w:rsidTr="00707D04">
        <w:tc>
          <w:tcPr>
            <w:tcW w:w="4353" w:type="dxa"/>
            <w:vAlign w:val="center"/>
          </w:tcPr>
          <w:p w14:paraId="28BDEF64" w14:textId="77777777" w:rsidR="00A57A5F" w:rsidRDefault="00B400EB" w:rsidP="00707D04">
            <w:pPr>
              <w:pStyle w:val="Behzottbekezdsnmhh"/>
              <w:ind w:firstLine="0"/>
            </w:pPr>
            <w:hyperlink r:id="rId13" w:anchor="MFCN" w:history="1">
              <w:r w:rsidR="00A57A5F">
                <w:rPr>
                  <w:rStyle w:val="Hiperhivatkozs"/>
                  <w:rFonts w:ascii="Arial" w:hAnsi="Arial" w:cs="Arial"/>
                  <w:color w:val="000000"/>
                  <w:sz w:val="21"/>
                  <w:szCs w:val="21"/>
                </w:rPr>
                <w:t>FCN</w:t>
              </w:r>
            </w:hyperlink>
            <w:r w:rsidR="00A57A5F">
              <w:rPr>
                <w:rFonts w:ascii="Arial" w:hAnsi="Arial" w:cs="Arial"/>
                <w:color w:val="212529"/>
                <w:sz w:val="21"/>
                <w:szCs w:val="21"/>
              </w:rPr>
              <w:t>-állomás lemenő irányú összeköttetésének frekvenciasávja</w:t>
            </w:r>
          </w:p>
        </w:tc>
        <w:tc>
          <w:tcPr>
            <w:tcW w:w="4352" w:type="dxa"/>
          </w:tcPr>
          <w:p w14:paraId="19958FEB" w14:textId="77777777" w:rsidR="00A57A5F" w:rsidRDefault="00A57A5F" w:rsidP="00707D04">
            <w:pPr>
              <w:pStyle w:val="Behzottbekezdsnmhh"/>
              <w:ind w:firstLine="0"/>
            </w:pPr>
            <w:r>
              <w:rPr>
                <w:rFonts w:ascii="Arial" w:hAnsi="Arial" w:cs="Arial"/>
                <w:color w:val="212529"/>
                <w:sz w:val="18"/>
                <w:szCs w:val="18"/>
              </w:rPr>
              <w:t>763–788 MHz</w:t>
            </w:r>
          </w:p>
        </w:tc>
      </w:tr>
      <w:tr w:rsidR="00A57A5F" w14:paraId="43B83474" w14:textId="77777777" w:rsidTr="00707D04">
        <w:tc>
          <w:tcPr>
            <w:tcW w:w="4353" w:type="dxa"/>
            <w:vAlign w:val="center"/>
          </w:tcPr>
          <w:p w14:paraId="4D9EB97B" w14:textId="77777777" w:rsidR="00A57A5F" w:rsidRDefault="00A57A5F" w:rsidP="00707D04">
            <w:pPr>
              <w:pStyle w:val="Behzottbekezdsnmhh"/>
              <w:ind w:firstLine="0"/>
            </w:pPr>
            <w:r>
              <w:rPr>
                <w:rFonts w:ascii="Arial" w:hAnsi="Arial" w:cs="Arial"/>
                <w:color w:val="212529"/>
                <w:sz w:val="21"/>
                <w:szCs w:val="21"/>
              </w:rPr>
              <w:t>Duplex távolság</w:t>
            </w:r>
          </w:p>
        </w:tc>
        <w:tc>
          <w:tcPr>
            <w:tcW w:w="4352" w:type="dxa"/>
            <w:vAlign w:val="center"/>
          </w:tcPr>
          <w:p w14:paraId="5D3E8D1B" w14:textId="77777777" w:rsidR="00A57A5F" w:rsidRDefault="00A57A5F" w:rsidP="00707D04">
            <w:pPr>
              <w:pStyle w:val="Behzottbekezdsnmhh"/>
              <w:ind w:firstLine="0"/>
            </w:pPr>
            <w:r>
              <w:rPr>
                <w:rFonts w:ascii="Arial" w:hAnsi="Arial" w:cs="Arial"/>
                <w:color w:val="212529"/>
                <w:sz w:val="21"/>
                <w:szCs w:val="21"/>
              </w:rPr>
              <w:t>55 MHz</w:t>
            </w:r>
          </w:p>
        </w:tc>
      </w:tr>
      <w:tr w:rsidR="00A57A5F" w14:paraId="4B48AFD9" w14:textId="77777777" w:rsidTr="00707D04">
        <w:tc>
          <w:tcPr>
            <w:tcW w:w="4353" w:type="dxa"/>
            <w:vAlign w:val="center"/>
          </w:tcPr>
          <w:p w14:paraId="0CC11259" w14:textId="77777777" w:rsidR="00A57A5F" w:rsidRDefault="00A57A5F" w:rsidP="00707D04">
            <w:pPr>
              <w:pStyle w:val="Behzottbekezdsnmhh"/>
              <w:ind w:firstLine="0"/>
              <w:rPr>
                <w:rFonts w:ascii="Arial" w:hAnsi="Arial" w:cs="Arial"/>
                <w:color w:val="212529"/>
                <w:sz w:val="21"/>
                <w:szCs w:val="21"/>
              </w:rPr>
            </w:pPr>
            <w:r>
              <w:rPr>
                <w:rFonts w:ascii="Arial" w:hAnsi="Arial" w:cs="Arial"/>
                <w:color w:val="212529"/>
                <w:sz w:val="21"/>
                <w:szCs w:val="21"/>
              </w:rPr>
              <w:t>Hozzáférés módja</w:t>
            </w:r>
          </w:p>
        </w:tc>
        <w:tc>
          <w:tcPr>
            <w:tcW w:w="4352" w:type="dxa"/>
            <w:vAlign w:val="center"/>
          </w:tcPr>
          <w:p w14:paraId="65E98964" w14:textId="77777777" w:rsidR="00A57A5F" w:rsidRDefault="00A57A5F" w:rsidP="00707D04">
            <w:pPr>
              <w:pStyle w:val="Behzottbekezdsnmhh"/>
              <w:ind w:firstLine="0"/>
              <w:rPr>
                <w:rFonts w:ascii="Arial" w:hAnsi="Arial" w:cs="Arial"/>
                <w:color w:val="212529"/>
                <w:sz w:val="21"/>
                <w:szCs w:val="21"/>
              </w:rPr>
            </w:pPr>
            <w:r>
              <w:rPr>
                <w:rFonts w:ascii="Arial" w:hAnsi="Arial" w:cs="Arial"/>
                <w:color w:val="212529"/>
                <w:sz w:val="21"/>
                <w:szCs w:val="21"/>
              </w:rPr>
              <w:t>kizárólag </w:t>
            </w:r>
            <w:hyperlink r:id="rId14" w:anchor="FDD" w:history="1">
              <w:r>
                <w:rPr>
                  <w:rStyle w:val="Hiperhivatkozs"/>
                  <w:rFonts w:ascii="Arial" w:hAnsi="Arial" w:cs="Arial"/>
                  <w:color w:val="000000"/>
                  <w:sz w:val="21"/>
                  <w:szCs w:val="21"/>
                </w:rPr>
                <w:t>FDD</w:t>
              </w:r>
            </w:hyperlink>
          </w:p>
        </w:tc>
      </w:tr>
    </w:tbl>
    <w:p w14:paraId="3E8EEE99" w14:textId="69009BAB" w:rsidR="00A57A5F" w:rsidRDefault="00A57A5F" w:rsidP="00A57A5F">
      <w:pPr>
        <w:pStyle w:val="Kpalrs"/>
        <w:jc w:val="center"/>
      </w:pPr>
      <w:r>
        <w:t>3.2</w:t>
      </w:r>
      <w:proofErr w:type="gramStart"/>
      <w:r>
        <w:t>.</w:t>
      </w:r>
      <w:r w:rsidR="00552284">
        <w:t>b</w:t>
      </w:r>
      <w:proofErr w:type="gramEnd"/>
      <w:r>
        <w:t xml:space="preserve"> táblázat: Frekvenciagazdálkodási követelmények (forrás: NFFF)</w:t>
      </w:r>
    </w:p>
    <w:p w14:paraId="0C644A76" w14:textId="77777777" w:rsidR="00A57A5F" w:rsidRPr="00930F3B" w:rsidRDefault="00A57A5F" w:rsidP="00A57A5F">
      <w:pPr>
        <w:pStyle w:val="Behzottbekezdsnmhh"/>
      </w:pPr>
    </w:p>
    <w:p w14:paraId="7E895366" w14:textId="77777777" w:rsidR="00A57A5F" w:rsidRDefault="00A57A5F" w:rsidP="00A57A5F">
      <w:pPr>
        <w:pStyle w:val="Cmsor2szmozottnmhh"/>
        <w:ind w:left="578" w:hanging="578"/>
      </w:pPr>
      <w:bookmarkStart w:id="18" w:name="_Toc473880721"/>
      <w:bookmarkStart w:id="19" w:name="_Toc96001035"/>
      <w:r>
        <w:t xml:space="preserve">Tényleges </w:t>
      </w:r>
      <w:bookmarkEnd w:id="18"/>
      <w:r>
        <w:t>használat</w:t>
      </w:r>
      <w:bookmarkEnd w:id="19"/>
    </w:p>
    <w:p w14:paraId="75517BA5" w14:textId="75E05F06" w:rsidR="00A57A5F" w:rsidRDefault="00A57A5F" w:rsidP="00A57A5F">
      <w:pPr>
        <w:pStyle w:val="Behzottbekezdsnmhh"/>
      </w:pPr>
      <w:r w:rsidRPr="00447CA4">
        <w:t xml:space="preserve">A 2020-ban megtartott versenyeztetési eljárás eredményeképpen </w:t>
      </w:r>
      <w:r>
        <w:t xml:space="preserve">a hazai mobilszolgáltatók (Magyar Telekom </w:t>
      </w:r>
      <w:proofErr w:type="spellStart"/>
      <w:r>
        <w:t>Nyrt</w:t>
      </w:r>
      <w:proofErr w:type="spellEnd"/>
      <w:proofErr w:type="gramStart"/>
      <w:r>
        <w:t>.,</w:t>
      </w:r>
      <w:proofErr w:type="gramEnd"/>
      <w:r>
        <w:t xml:space="preserve"> Vodafone Magyarország </w:t>
      </w:r>
      <w:proofErr w:type="spellStart"/>
      <w:r>
        <w:t>Zrt</w:t>
      </w:r>
      <w:proofErr w:type="spellEnd"/>
      <w:r>
        <w:t xml:space="preserve">., </w:t>
      </w:r>
      <w:proofErr w:type="spellStart"/>
      <w:r>
        <w:t>Telenor</w:t>
      </w:r>
      <w:proofErr w:type="spellEnd"/>
      <w:r>
        <w:t xml:space="preserve"> Magyarország </w:t>
      </w:r>
      <w:proofErr w:type="spellStart"/>
      <w:r>
        <w:t>Zrt</w:t>
      </w:r>
      <w:proofErr w:type="spellEnd"/>
      <w:r>
        <w:t>.</w:t>
      </w:r>
      <w:r>
        <w:rPr>
          <w:rStyle w:val="Lbjegyzet-hivatkozs"/>
        </w:rPr>
        <w:footnoteReference w:id="49"/>
      </w:r>
      <w:proofErr w:type="gramStart"/>
      <w:r>
        <w:t>)</w:t>
      </w:r>
      <w:proofErr w:type="gramEnd"/>
      <w:r>
        <w:t xml:space="preserve"> összesen 2x25 MHz </w:t>
      </w:r>
      <w:proofErr w:type="spellStart"/>
      <w:r>
        <w:t>frekvenciaosztásos</w:t>
      </w:r>
      <w:proofErr w:type="spellEnd"/>
      <w:r>
        <w:t xml:space="preserve"> duplex (FDD) spektrum használatára szereztek jogosultságot a 700 MHz-es frekvenciasávban rendelkezésre álló 2x30 MHz spektrumból. </w:t>
      </w:r>
    </w:p>
    <w:p w14:paraId="52015211" w14:textId="17C3DBB4" w:rsidR="00CA5369" w:rsidRDefault="00A57A5F" w:rsidP="00A57A5F">
      <w:pPr>
        <w:pStyle w:val="Behzottbekezdsnmhh"/>
      </w:pPr>
      <w:r>
        <w:t>A jelenlegi rádióspektrum-használati jogosultságokat a 3.3.</w:t>
      </w:r>
      <w:r w:rsidR="003A5CBE">
        <w:t>a</w:t>
      </w:r>
      <w:r>
        <w:t xml:space="preserve"> táblázat és 3.3.</w:t>
      </w:r>
      <w:proofErr w:type="gramStart"/>
      <w:r w:rsidR="003A5CBE">
        <w:t>a</w:t>
      </w:r>
      <w:proofErr w:type="gramEnd"/>
      <w:r>
        <w:t xml:space="preserve"> ábra tartalmazza.</w:t>
      </w:r>
    </w:p>
    <w:p w14:paraId="4FD05604" w14:textId="77777777" w:rsidR="00CA5369" w:rsidRDefault="00CA5369">
      <w:pPr>
        <w:spacing w:after="200"/>
        <w:jc w:val="left"/>
        <w:rPr>
          <w:sz w:val="20"/>
          <w:szCs w:val="20"/>
        </w:rPr>
      </w:pPr>
      <w:r>
        <w:br w:type="page"/>
      </w:r>
    </w:p>
    <w:p w14:paraId="3724BF18" w14:textId="77777777" w:rsidR="00A57A5F" w:rsidRDefault="00A57A5F" w:rsidP="00A57A5F">
      <w:pPr>
        <w:pStyle w:val="Behzottbekezdsnmhh"/>
      </w:pPr>
    </w:p>
    <w:tbl>
      <w:tblPr>
        <w:tblStyle w:val="Rcsostblzat"/>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61"/>
        <w:gridCol w:w="3239"/>
        <w:gridCol w:w="1731"/>
        <w:gridCol w:w="2111"/>
      </w:tblGrid>
      <w:tr w:rsidR="00A57A5F" w14:paraId="199FD072" w14:textId="77777777" w:rsidTr="00707D04">
        <w:trPr>
          <w:jc w:val="center"/>
        </w:trPr>
        <w:tc>
          <w:tcPr>
            <w:tcW w:w="1961" w:type="dxa"/>
            <w:tcBorders>
              <w:top w:val="single" w:sz="12" w:space="0" w:color="auto"/>
              <w:left w:val="single" w:sz="12" w:space="0" w:color="auto"/>
              <w:bottom w:val="single" w:sz="12" w:space="0" w:color="auto"/>
              <w:right w:val="single" w:sz="12" w:space="0" w:color="auto"/>
            </w:tcBorders>
            <w:hideMark/>
          </w:tcPr>
          <w:p w14:paraId="17B62A06" w14:textId="77777777" w:rsidR="00A57A5F" w:rsidRDefault="00A57A5F" w:rsidP="00707D04">
            <w:pPr>
              <w:spacing w:before="60" w:after="60"/>
              <w:ind w:right="-567" w:firstLine="425"/>
              <w:rPr>
                <w:rFonts w:ascii="Arial" w:hAnsi="Arial" w:cs="Arial"/>
                <w:b/>
                <w:sz w:val="20"/>
                <w:szCs w:val="20"/>
              </w:rPr>
            </w:pPr>
            <w:r>
              <w:rPr>
                <w:rFonts w:ascii="Arial" w:hAnsi="Arial" w:cs="Arial"/>
                <w:b/>
                <w:sz w:val="20"/>
                <w:szCs w:val="20"/>
              </w:rPr>
              <w:t>Jogosult</w:t>
            </w:r>
          </w:p>
        </w:tc>
        <w:tc>
          <w:tcPr>
            <w:tcW w:w="3239" w:type="dxa"/>
            <w:tcBorders>
              <w:top w:val="single" w:sz="12" w:space="0" w:color="auto"/>
              <w:left w:val="single" w:sz="12" w:space="0" w:color="auto"/>
              <w:bottom w:val="single" w:sz="12" w:space="0" w:color="auto"/>
              <w:right w:val="single" w:sz="12" w:space="0" w:color="auto"/>
            </w:tcBorders>
            <w:hideMark/>
          </w:tcPr>
          <w:p w14:paraId="4276E579" w14:textId="77777777" w:rsidR="00A57A5F" w:rsidRDefault="00A57A5F" w:rsidP="00707D04">
            <w:pPr>
              <w:spacing w:before="60" w:after="60"/>
              <w:ind w:right="-108"/>
              <w:jc w:val="center"/>
              <w:rPr>
                <w:rFonts w:ascii="Arial" w:hAnsi="Arial" w:cs="Arial"/>
                <w:b/>
                <w:sz w:val="20"/>
                <w:szCs w:val="20"/>
              </w:rPr>
            </w:pPr>
            <w:r>
              <w:rPr>
                <w:rFonts w:ascii="Arial" w:hAnsi="Arial" w:cs="Arial"/>
                <w:b/>
                <w:sz w:val="20"/>
                <w:szCs w:val="20"/>
              </w:rPr>
              <w:t>Frekvenciasáv</w:t>
            </w:r>
          </w:p>
        </w:tc>
        <w:tc>
          <w:tcPr>
            <w:tcW w:w="1731" w:type="dxa"/>
            <w:tcBorders>
              <w:top w:val="single" w:sz="12" w:space="0" w:color="auto"/>
              <w:left w:val="single" w:sz="12" w:space="0" w:color="auto"/>
              <w:bottom w:val="single" w:sz="12" w:space="0" w:color="auto"/>
              <w:right w:val="single" w:sz="6" w:space="0" w:color="auto"/>
            </w:tcBorders>
            <w:hideMark/>
          </w:tcPr>
          <w:p w14:paraId="664E1CC2" w14:textId="77777777" w:rsidR="00A57A5F" w:rsidRDefault="00A57A5F" w:rsidP="00707D04">
            <w:pPr>
              <w:spacing w:before="60" w:after="60"/>
              <w:ind w:right="-108"/>
              <w:jc w:val="center"/>
              <w:rPr>
                <w:rFonts w:ascii="Arial" w:hAnsi="Arial" w:cs="Arial"/>
                <w:b/>
                <w:sz w:val="20"/>
                <w:szCs w:val="20"/>
              </w:rPr>
            </w:pPr>
            <w:r>
              <w:rPr>
                <w:rFonts w:ascii="Arial" w:hAnsi="Arial" w:cs="Arial"/>
                <w:b/>
                <w:sz w:val="20"/>
                <w:szCs w:val="20"/>
              </w:rPr>
              <w:t>Sávszélesség</w:t>
            </w:r>
          </w:p>
        </w:tc>
        <w:tc>
          <w:tcPr>
            <w:tcW w:w="2111" w:type="dxa"/>
            <w:tcBorders>
              <w:top w:val="single" w:sz="12" w:space="0" w:color="auto"/>
              <w:left w:val="single" w:sz="12" w:space="0" w:color="auto"/>
              <w:bottom w:val="single" w:sz="12" w:space="0" w:color="auto"/>
              <w:right w:val="single" w:sz="12" w:space="0" w:color="auto"/>
            </w:tcBorders>
            <w:hideMark/>
          </w:tcPr>
          <w:p w14:paraId="5DB23B75" w14:textId="77777777" w:rsidR="00A57A5F" w:rsidRDefault="00A57A5F" w:rsidP="00707D04">
            <w:pPr>
              <w:spacing w:before="60" w:after="60"/>
              <w:ind w:right="-108"/>
              <w:jc w:val="center"/>
              <w:rPr>
                <w:rFonts w:ascii="Arial" w:hAnsi="Arial" w:cs="Arial"/>
                <w:b/>
                <w:sz w:val="20"/>
                <w:szCs w:val="20"/>
              </w:rPr>
            </w:pPr>
            <w:r>
              <w:rPr>
                <w:rFonts w:ascii="Arial" w:hAnsi="Arial" w:cs="Arial"/>
                <w:b/>
                <w:sz w:val="20"/>
                <w:szCs w:val="20"/>
              </w:rPr>
              <w:t>Jogosultság lejárat</w:t>
            </w:r>
          </w:p>
        </w:tc>
      </w:tr>
      <w:tr w:rsidR="00A57A5F" w14:paraId="31124099" w14:textId="77777777" w:rsidTr="00707D04">
        <w:trPr>
          <w:trHeight w:val="567"/>
          <w:jc w:val="center"/>
        </w:trPr>
        <w:tc>
          <w:tcPr>
            <w:tcW w:w="1961" w:type="dxa"/>
            <w:tcBorders>
              <w:top w:val="single" w:sz="12" w:space="0" w:color="auto"/>
              <w:left w:val="single" w:sz="12" w:space="0" w:color="auto"/>
              <w:bottom w:val="single" w:sz="6" w:space="0" w:color="auto"/>
              <w:right w:val="single" w:sz="12" w:space="0" w:color="auto"/>
            </w:tcBorders>
            <w:vAlign w:val="center"/>
            <w:hideMark/>
          </w:tcPr>
          <w:p w14:paraId="230C7032" w14:textId="77777777" w:rsidR="00A57A5F" w:rsidRDefault="00A57A5F" w:rsidP="00707D04">
            <w:pPr>
              <w:spacing w:after="0"/>
              <w:ind w:right="-567"/>
              <w:rPr>
                <w:rFonts w:ascii="Arial" w:hAnsi="Arial" w:cs="Arial"/>
                <w:b/>
                <w:sz w:val="20"/>
                <w:szCs w:val="20"/>
              </w:rPr>
            </w:pPr>
            <w:r>
              <w:rPr>
                <w:rFonts w:ascii="Arial" w:hAnsi="Arial" w:cs="Arial"/>
                <w:sz w:val="20"/>
                <w:szCs w:val="20"/>
              </w:rPr>
              <w:t xml:space="preserve">        </w:t>
            </w:r>
            <w:r>
              <w:rPr>
                <w:rFonts w:ascii="Arial" w:hAnsi="Arial" w:cs="Arial"/>
                <w:sz w:val="20"/>
                <w:szCs w:val="20"/>
              </w:rPr>
              <w:object w:dxaOrig="840" w:dyaOrig="555" w14:anchorId="4DF52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7.75pt" o:ole="">
                  <v:imagedata r:id="rId15" o:title=""/>
                </v:shape>
                <o:OLEObject Type="Embed" ProgID="PBrush" ShapeID="_x0000_i1025" DrawAspect="Content" ObjectID="_1706627831" r:id="rId16"/>
              </w:object>
            </w:r>
          </w:p>
        </w:tc>
        <w:tc>
          <w:tcPr>
            <w:tcW w:w="3239" w:type="dxa"/>
            <w:tcBorders>
              <w:top w:val="single" w:sz="12" w:space="0" w:color="auto"/>
              <w:left w:val="single" w:sz="12" w:space="0" w:color="auto"/>
              <w:bottom w:val="single" w:sz="6" w:space="0" w:color="auto"/>
              <w:right w:val="single" w:sz="12" w:space="0" w:color="auto"/>
            </w:tcBorders>
            <w:vAlign w:val="center"/>
            <w:hideMark/>
          </w:tcPr>
          <w:p w14:paraId="2F38EC48" w14:textId="77777777" w:rsidR="00A57A5F" w:rsidRDefault="00A57A5F" w:rsidP="00707D04">
            <w:pPr>
              <w:spacing w:after="0"/>
              <w:ind w:right="-108"/>
              <w:jc w:val="center"/>
              <w:rPr>
                <w:rFonts w:ascii="Arial" w:hAnsi="Arial" w:cs="Arial"/>
                <w:sz w:val="20"/>
                <w:szCs w:val="20"/>
              </w:rPr>
            </w:pPr>
            <w:r>
              <w:rPr>
                <w:rFonts w:ascii="Arial" w:hAnsi="Arial" w:cs="Arial"/>
                <w:sz w:val="20"/>
                <w:szCs w:val="20"/>
              </w:rPr>
              <w:t>708-718 / 763-773 MHz</w:t>
            </w:r>
          </w:p>
        </w:tc>
        <w:tc>
          <w:tcPr>
            <w:tcW w:w="1731" w:type="dxa"/>
            <w:tcBorders>
              <w:top w:val="single" w:sz="6" w:space="0" w:color="auto"/>
              <w:left w:val="single" w:sz="12" w:space="0" w:color="auto"/>
              <w:bottom w:val="single" w:sz="6" w:space="0" w:color="auto"/>
              <w:right w:val="single" w:sz="6" w:space="0" w:color="auto"/>
            </w:tcBorders>
            <w:vAlign w:val="center"/>
            <w:hideMark/>
          </w:tcPr>
          <w:p w14:paraId="35CD4FE3" w14:textId="77777777" w:rsidR="00A57A5F" w:rsidRDefault="00A57A5F" w:rsidP="00707D04">
            <w:pPr>
              <w:spacing w:after="0"/>
              <w:ind w:right="601"/>
              <w:jc w:val="center"/>
              <w:rPr>
                <w:rFonts w:ascii="Arial" w:hAnsi="Arial" w:cs="Arial"/>
                <w:sz w:val="20"/>
                <w:szCs w:val="20"/>
              </w:rPr>
            </w:pPr>
            <w:r>
              <w:rPr>
                <w:rFonts w:ascii="Arial" w:hAnsi="Arial" w:cs="Arial"/>
                <w:sz w:val="20"/>
                <w:szCs w:val="20"/>
              </w:rPr>
              <w:t>2x10 MHz</w:t>
            </w:r>
          </w:p>
        </w:tc>
        <w:tc>
          <w:tcPr>
            <w:tcW w:w="2111" w:type="dxa"/>
            <w:tcBorders>
              <w:top w:val="single" w:sz="6" w:space="0" w:color="auto"/>
              <w:left w:val="single" w:sz="12" w:space="0" w:color="auto"/>
              <w:bottom w:val="single" w:sz="6" w:space="0" w:color="auto"/>
              <w:right w:val="single" w:sz="12" w:space="0" w:color="auto"/>
            </w:tcBorders>
            <w:vAlign w:val="center"/>
            <w:hideMark/>
          </w:tcPr>
          <w:p w14:paraId="207E871E" w14:textId="77777777" w:rsidR="00A57A5F" w:rsidRDefault="00A57A5F" w:rsidP="00707D04">
            <w:pPr>
              <w:spacing w:after="0"/>
              <w:ind w:right="601"/>
              <w:jc w:val="center"/>
              <w:rPr>
                <w:rFonts w:ascii="Arial" w:hAnsi="Arial" w:cs="Arial"/>
                <w:sz w:val="20"/>
                <w:szCs w:val="20"/>
              </w:rPr>
            </w:pPr>
            <w:r>
              <w:rPr>
                <w:rFonts w:ascii="Arial" w:hAnsi="Arial" w:cs="Arial"/>
                <w:sz w:val="20"/>
                <w:szCs w:val="20"/>
              </w:rPr>
              <w:t>2035 (+5 év)</w:t>
            </w:r>
          </w:p>
        </w:tc>
      </w:tr>
      <w:tr w:rsidR="00A57A5F" w14:paraId="70BE83DB" w14:textId="77777777" w:rsidTr="00707D04">
        <w:trPr>
          <w:trHeight w:val="567"/>
          <w:jc w:val="center"/>
        </w:trPr>
        <w:tc>
          <w:tcPr>
            <w:tcW w:w="1961" w:type="dxa"/>
            <w:tcBorders>
              <w:top w:val="single" w:sz="6" w:space="0" w:color="auto"/>
              <w:left w:val="single" w:sz="12" w:space="0" w:color="auto"/>
              <w:bottom w:val="single" w:sz="6" w:space="0" w:color="auto"/>
              <w:right w:val="single" w:sz="12" w:space="0" w:color="auto"/>
            </w:tcBorders>
            <w:vAlign w:val="center"/>
            <w:hideMark/>
          </w:tcPr>
          <w:p w14:paraId="2444F7FD" w14:textId="77777777" w:rsidR="00A57A5F" w:rsidRDefault="00A57A5F" w:rsidP="00707D04">
            <w:pPr>
              <w:spacing w:after="0"/>
              <w:ind w:right="-567"/>
              <w:rPr>
                <w:rFonts w:ascii="Arial" w:hAnsi="Arial" w:cs="Arial"/>
                <w:b/>
                <w:sz w:val="20"/>
                <w:szCs w:val="20"/>
              </w:rPr>
            </w:pPr>
            <w:r>
              <w:rPr>
                <w:rFonts w:ascii="Arial" w:hAnsi="Arial" w:cs="Arial"/>
                <w:sz w:val="20"/>
                <w:szCs w:val="20"/>
              </w:rPr>
              <w:t xml:space="preserve">         </w:t>
            </w:r>
            <w:r>
              <w:rPr>
                <w:rFonts w:ascii="Arial" w:hAnsi="Arial" w:cs="Arial"/>
                <w:sz w:val="20"/>
                <w:szCs w:val="20"/>
              </w:rPr>
              <w:object w:dxaOrig="615" w:dyaOrig="615" w14:anchorId="515B7F7A">
                <v:shape id="_x0000_i1026" type="#_x0000_t75" style="width:30.75pt;height:30.75pt" o:ole="">
                  <v:imagedata r:id="rId17" o:title=""/>
                </v:shape>
                <o:OLEObject Type="Embed" ProgID="PBrush" ShapeID="_x0000_i1026" DrawAspect="Content" ObjectID="_1706627832" r:id="rId18"/>
              </w:object>
            </w:r>
          </w:p>
        </w:tc>
        <w:tc>
          <w:tcPr>
            <w:tcW w:w="3239" w:type="dxa"/>
            <w:tcBorders>
              <w:top w:val="single" w:sz="6" w:space="0" w:color="auto"/>
              <w:left w:val="single" w:sz="12" w:space="0" w:color="auto"/>
              <w:bottom w:val="single" w:sz="6" w:space="0" w:color="auto"/>
              <w:right w:val="single" w:sz="12" w:space="0" w:color="auto"/>
            </w:tcBorders>
            <w:vAlign w:val="center"/>
            <w:hideMark/>
          </w:tcPr>
          <w:p w14:paraId="04EA668D" w14:textId="77777777" w:rsidR="00A57A5F" w:rsidRDefault="00A57A5F" w:rsidP="00707D04">
            <w:pPr>
              <w:spacing w:after="0"/>
              <w:ind w:right="-108"/>
              <w:jc w:val="center"/>
              <w:rPr>
                <w:rFonts w:ascii="Arial" w:hAnsi="Arial" w:cs="Arial"/>
                <w:sz w:val="20"/>
                <w:szCs w:val="20"/>
              </w:rPr>
            </w:pPr>
            <w:r>
              <w:rPr>
                <w:rFonts w:ascii="Arial" w:hAnsi="Arial" w:cs="Arial"/>
                <w:sz w:val="20"/>
                <w:szCs w:val="20"/>
              </w:rPr>
              <w:t>718-728 / 773-783 MHz</w:t>
            </w:r>
          </w:p>
        </w:tc>
        <w:tc>
          <w:tcPr>
            <w:tcW w:w="1731" w:type="dxa"/>
            <w:tcBorders>
              <w:top w:val="single" w:sz="6" w:space="0" w:color="auto"/>
              <w:left w:val="single" w:sz="12" w:space="0" w:color="auto"/>
              <w:bottom w:val="single" w:sz="6" w:space="0" w:color="auto"/>
              <w:right w:val="single" w:sz="6" w:space="0" w:color="auto"/>
            </w:tcBorders>
            <w:vAlign w:val="center"/>
            <w:hideMark/>
          </w:tcPr>
          <w:p w14:paraId="2F6CE732" w14:textId="77777777" w:rsidR="00A57A5F" w:rsidRDefault="00A57A5F" w:rsidP="00707D04">
            <w:pPr>
              <w:spacing w:after="0"/>
              <w:ind w:right="601"/>
              <w:jc w:val="center"/>
              <w:rPr>
                <w:rFonts w:ascii="Arial" w:hAnsi="Arial" w:cs="Arial"/>
                <w:sz w:val="20"/>
                <w:szCs w:val="20"/>
              </w:rPr>
            </w:pPr>
            <w:r>
              <w:rPr>
                <w:rFonts w:ascii="Arial" w:hAnsi="Arial" w:cs="Arial"/>
                <w:sz w:val="20"/>
                <w:szCs w:val="20"/>
              </w:rPr>
              <w:t>2x10 MHz</w:t>
            </w:r>
          </w:p>
        </w:tc>
        <w:tc>
          <w:tcPr>
            <w:tcW w:w="2111" w:type="dxa"/>
            <w:tcBorders>
              <w:top w:val="single" w:sz="6" w:space="0" w:color="auto"/>
              <w:left w:val="single" w:sz="12" w:space="0" w:color="auto"/>
              <w:bottom w:val="single" w:sz="6" w:space="0" w:color="auto"/>
              <w:right w:val="single" w:sz="12" w:space="0" w:color="auto"/>
            </w:tcBorders>
            <w:vAlign w:val="center"/>
            <w:hideMark/>
          </w:tcPr>
          <w:p w14:paraId="7FEE36F0" w14:textId="77777777" w:rsidR="00A57A5F" w:rsidRDefault="00A57A5F" w:rsidP="00707D04">
            <w:pPr>
              <w:spacing w:after="0"/>
              <w:ind w:right="601"/>
              <w:jc w:val="center"/>
              <w:rPr>
                <w:rFonts w:ascii="Arial" w:hAnsi="Arial" w:cs="Arial"/>
                <w:sz w:val="20"/>
                <w:szCs w:val="20"/>
              </w:rPr>
            </w:pPr>
            <w:r>
              <w:rPr>
                <w:rFonts w:ascii="Arial" w:hAnsi="Arial" w:cs="Arial"/>
                <w:sz w:val="20"/>
                <w:szCs w:val="20"/>
              </w:rPr>
              <w:t>2035 (+5 év)</w:t>
            </w:r>
          </w:p>
        </w:tc>
      </w:tr>
      <w:tr w:rsidR="00A57A5F" w14:paraId="7DEDB20B" w14:textId="77777777" w:rsidTr="00707D04">
        <w:trPr>
          <w:trHeight w:val="567"/>
          <w:jc w:val="center"/>
        </w:trPr>
        <w:tc>
          <w:tcPr>
            <w:tcW w:w="1961" w:type="dxa"/>
            <w:tcBorders>
              <w:top w:val="single" w:sz="6" w:space="0" w:color="auto"/>
              <w:left w:val="single" w:sz="12" w:space="0" w:color="auto"/>
              <w:bottom w:val="single" w:sz="12" w:space="0" w:color="auto"/>
              <w:right w:val="single" w:sz="12" w:space="0" w:color="auto"/>
            </w:tcBorders>
            <w:vAlign w:val="center"/>
            <w:hideMark/>
          </w:tcPr>
          <w:p w14:paraId="57D54D56" w14:textId="77777777" w:rsidR="00A57A5F" w:rsidRDefault="00A57A5F" w:rsidP="00707D04">
            <w:pPr>
              <w:spacing w:after="0"/>
              <w:ind w:right="-567"/>
              <w:rPr>
                <w:rFonts w:ascii="Arial" w:hAnsi="Arial" w:cs="Arial"/>
                <w:b/>
                <w:sz w:val="20"/>
                <w:szCs w:val="20"/>
              </w:rPr>
            </w:pPr>
            <w:r>
              <w:rPr>
                <w:rFonts w:ascii="Arial" w:hAnsi="Arial" w:cs="Arial"/>
                <w:sz w:val="20"/>
                <w:szCs w:val="20"/>
              </w:rPr>
              <w:t xml:space="preserve">         </w:t>
            </w:r>
            <w:r>
              <w:rPr>
                <w:rFonts w:ascii="Arial" w:hAnsi="Arial" w:cs="Arial"/>
                <w:sz w:val="20"/>
                <w:szCs w:val="20"/>
              </w:rPr>
              <w:object w:dxaOrig="645" w:dyaOrig="645" w14:anchorId="3E365917">
                <v:shape id="_x0000_i1027" type="#_x0000_t75" style="width:32.25pt;height:32.25pt" o:ole="">
                  <v:imagedata r:id="rId19" o:title=""/>
                </v:shape>
                <o:OLEObject Type="Embed" ProgID="PBrush" ShapeID="_x0000_i1027" DrawAspect="Content" ObjectID="_1706627833" r:id="rId20"/>
              </w:object>
            </w:r>
          </w:p>
        </w:tc>
        <w:tc>
          <w:tcPr>
            <w:tcW w:w="3239" w:type="dxa"/>
            <w:tcBorders>
              <w:top w:val="single" w:sz="6" w:space="0" w:color="auto"/>
              <w:left w:val="single" w:sz="12" w:space="0" w:color="auto"/>
              <w:bottom w:val="single" w:sz="12" w:space="0" w:color="auto"/>
              <w:right w:val="single" w:sz="12" w:space="0" w:color="auto"/>
            </w:tcBorders>
            <w:vAlign w:val="center"/>
            <w:hideMark/>
          </w:tcPr>
          <w:p w14:paraId="2D04C1EC" w14:textId="77777777" w:rsidR="00A57A5F" w:rsidRDefault="00A57A5F" w:rsidP="00707D04">
            <w:pPr>
              <w:spacing w:after="0"/>
              <w:ind w:right="-108"/>
              <w:jc w:val="center"/>
              <w:rPr>
                <w:rFonts w:ascii="Arial" w:hAnsi="Arial" w:cs="Arial"/>
                <w:sz w:val="20"/>
                <w:szCs w:val="20"/>
              </w:rPr>
            </w:pPr>
            <w:r>
              <w:rPr>
                <w:rFonts w:ascii="Arial" w:hAnsi="Arial" w:cs="Arial"/>
                <w:sz w:val="20"/>
                <w:szCs w:val="20"/>
              </w:rPr>
              <w:t>728-733 / 783-788 MHz</w:t>
            </w:r>
          </w:p>
        </w:tc>
        <w:tc>
          <w:tcPr>
            <w:tcW w:w="1731" w:type="dxa"/>
            <w:tcBorders>
              <w:top w:val="single" w:sz="6" w:space="0" w:color="auto"/>
              <w:left w:val="single" w:sz="12" w:space="0" w:color="auto"/>
              <w:bottom w:val="single" w:sz="12" w:space="0" w:color="auto"/>
              <w:right w:val="single" w:sz="6" w:space="0" w:color="auto"/>
            </w:tcBorders>
            <w:vAlign w:val="center"/>
            <w:hideMark/>
          </w:tcPr>
          <w:p w14:paraId="2A9040DE" w14:textId="77777777" w:rsidR="00A57A5F" w:rsidRDefault="00A57A5F" w:rsidP="00707D04">
            <w:pPr>
              <w:spacing w:after="0"/>
              <w:ind w:right="601"/>
              <w:jc w:val="center"/>
              <w:rPr>
                <w:rFonts w:ascii="Arial" w:hAnsi="Arial" w:cs="Arial"/>
                <w:sz w:val="20"/>
                <w:szCs w:val="20"/>
              </w:rPr>
            </w:pPr>
            <w:r>
              <w:rPr>
                <w:rFonts w:ascii="Arial" w:hAnsi="Arial" w:cs="Arial"/>
                <w:sz w:val="20"/>
                <w:szCs w:val="20"/>
              </w:rPr>
              <w:t>2x5 MHz</w:t>
            </w:r>
          </w:p>
        </w:tc>
        <w:tc>
          <w:tcPr>
            <w:tcW w:w="2111" w:type="dxa"/>
            <w:tcBorders>
              <w:top w:val="single" w:sz="6" w:space="0" w:color="auto"/>
              <w:left w:val="single" w:sz="12" w:space="0" w:color="auto"/>
              <w:bottom w:val="single" w:sz="12" w:space="0" w:color="auto"/>
              <w:right w:val="single" w:sz="12" w:space="0" w:color="auto"/>
            </w:tcBorders>
            <w:vAlign w:val="center"/>
            <w:hideMark/>
          </w:tcPr>
          <w:p w14:paraId="7B155F15" w14:textId="77777777" w:rsidR="00A57A5F" w:rsidRDefault="00A57A5F" w:rsidP="00707D04">
            <w:pPr>
              <w:spacing w:after="0"/>
              <w:ind w:right="601"/>
              <w:jc w:val="center"/>
              <w:rPr>
                <w:rFonts w:ascii="Arial" w:hAnsi="Arial" w:cs="Arial"/>
                <w:sz w:val="20"/>
                <w:szCs w:val="20"/>
              </w:rPr>
            </w:pPr>
            <w:r>
              <w:rPr>
                <w:rFonts w:ascii="Arial" w:hAnsi="Arial" w:cs="Arial"/>
                <w:sz w:val="20"/>
                <w:szCs w:val="20"/>
              </w:rPr>
              <w:t>2035 (+5 év)</w:t>
            </w:r>
          </w:p>
        </w:tc>
      </w:tr>
    </w:tbl>
    <w:p w14:paraId="22D4554C" w14:textId="5C47F647" w:rsidR="00A57A5F" w:rsidRDefault="00A57A5F" w:rsidP="00A57A5F">
      <w:pPr>
        <w:pStyle w:val="Kpalrs"/>
        <w:jc w:val="center"/>
        <w:rPr>
          <w:noProof/>
        </w:rPr>
      </w:pPr>
      <w:r>
        <w:rPr>
          <w:noProof/>
        </w:rPr>
        <w:t>3.3.</w:t>
      </w:r>
      <w:r w:rsidR="00552284">
        <w:rPr>
          <w:noProof/>
        </w:rPr>
        <w:t>a</w:t>
      </w:r>
      <w:r>
        <w:rPr>
          <w:noProof/>
        </w:rPr>
        <w:t xml:space="preserve"> táblázat: A 700 MHz-es frekvenciasáv </w:t>
      </w:r>
      <w:r w:rsidR="003A5CBE">
        <w:rPr>
          <w:noProof/>
        </w:rPr>
        <w:t>jelenlegi</w:t>
      </w:r>
      <w:r>
        <w:rPr>
          <w:noProof/>
        </w:rPr>
        <w:t xml:space="preserve"> használata </w:t>
      </w:r>
    </w:p>
    <w:p w14:paraId="46D8FD7B" w14:textId="77777777" w:rsidR="00A57A5F" w:rsidRDefault="00A57A5F" w:rsidP="00A57A5F">
      <w:pPr>
        <w:ind w:left="-567" w:right="-567" w:firstLine="141"/>
        <w:rPr>
          <w:rFonts w:ascii="Arial" w:hAnsi="Arial" w:cs="Arial"/>
          <w:b/>
          <w:sz w:val="28"/>
          <w:szCs w:val="24"/>
        </w:rPr>
      </w:pPr>
    </w:p>
    <w:p w14:paraId="0D812C5B" w14:textId="77777777" w:rsidR="00A57A5F" w:rsidRDefault="00A57A5F" w:rsidP="00A57A5F">
      <w:pPr>
        <w:ind w:left="-567" w:right="-567" w:firstLine="141"/>
        <w:jc w:val="center"/>
        <w:rPr>
          <w:rFonts w:ascii="Arial" w:hAnsi="Arial" w:cs="Arial"/>
          <w:b/>
          <w:sz w:val="28"/>
          <w:szCs w:val="24"/>
        </w:rPr>
      </w:pPr>
      <w:r>
        <w:rPr>
          <w:rFonts w:ascii="Arial" w:hAnsi="Arial" w:cs="Arial"/>
          <w:b/>
          <w:noProof/>
          <w:sz w:val="28"/>
          <w:szCs w:val="24"/>
          <w:lang w:eastAsia="hu-HU"/>
        </w:rPr>
        <w:drawing>
          <wp:inline distT="0" distB="0" distL="0" distR="0" wp14:anchorId="2DEABC26" wp14:editId="2140D2B3">
            <wp:extent cx="3766706" cy="1098256"/>
            <wp:effectExtent l="0" t="0" r="5715" b="698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4130" cy="1100421"/>
                    </a:xfrm>
                    <a:prstGeom prst="rect">
                      <a:avLst/>
                    </a:prstGeom>
                    <a:noFill/>
                    <a:ln>
                      <a:noFill/>
                    </a:ln>
                  </pic:spPr>
                </pic:pic>
              </a:graphicData>
            </a:graphic>
          </wp:inline>
        </w:drawing>
      </w:r>
    </w:p>
    <w:p w14:paraId="2F8F5C47" w14:textId="655CF055" w:rsidR="00A57A5F" w:rsidRDefault="00A57A5F" w:rsidP="00A57A5F">
      <w:pPr>
        <w:pStyle w:val="Kpalrs"/>
        <w:jc w:val="center"/>
        <w:rPr>
          <w:noProof/>
        </w:rPr>
      </w:pPr>
      <w:r>
        <w:rPr>
          <w:noProof/>
        </w:rPr>
        <w:t>3.3.</w:t>
      </w:r>
      <w:r w:rsidR="00552284">
        <w:rPr>
          <w:noProof/>
        </w:rPr>
        <w:t>a</w:t>
      </w:r>
      <w:r>
        <w:rPr>
          <w:noProof/>
        </w:rPr>
        <w:t xml:space="preserve"> ábra: A 700 MHz-es sáv </w:t>
      </w:r>
      <w:r w:rsidR="003A5CBE">
        <w:rPr>
          <w:noProof/>
        </w:rPr>
        <w:t>jelenlegi</w:t>
      </w:r>
      <w:r>
        <w:rPr>
          <w:noProof/>
        </w:rPr>
        <w:t xml:space="preserve"> használata </w:t>
      </w:r>
    </w:p>
    <w:p w14:paraId="29D3D2A1" w14:textId="77777777" w:rsidR="00A57A5F" w:rsidRDefault="00A57A5F" w:rsidP="00A57A5F">
      <w:pPr>
        <w:ind w:left="-567" w:right="-567" w:firstLine="141"/>
        <w:jc w:val="center"/>
        <w:rPr>
          <w:rFonts w:ascii="Arial" w:hAnsi="Arial" w:cs="Arial"/>
          <w:b/>
          <w:sz w:val="28"/>
          <w:szCs w:val="24"/>
        </w:rPr>
      </w:pPr>
    </w:p>
    <w:p w14:paraId="3E44453A" w14:textId="5D538527" w:rsidR="00A57A5F" w:rsidRDefault="00A57A5F" w:rsidP="00A57A5F">
      <w:pPr>
        <w:pStyle w:val="Behzottbekezdsnmhh"/>
      </w:pPr>
      <w:r w:rsidRPr="00A72A2B">
        <w:rPr>
          <w:iCs/>
        </w:rPr>
        <w:t xml:space="preserve">Az (EU) 2017/899 európai parlamenti és tanácsi határozat </w:t>
      </w:r>
      <w:r w:rsidR="003A5CBE" w:rsidRPr="00A72A2B">
        <w:rPr>
          <w:iCs/>
        </w:rPr>
        <w:t>rendelkez</w:t>
      </w:r>
      <w:r w:rsidR="003A5CBE">
        <w:rPr>
          <w:iCs/>
        </w:rPr>
        <w:t>ett</w:t>
      </w:r>
      <w:r w:rsidR="003A5CBE" w:rsidRPr="00A72A2B">
        <w:rPr>
          <w:iCs/>
        </w:rPr>
        <w:t xml:space="preserve"> </w:t>
      </w:r>
      <w:r w:rsidRPr="00A72A2B">
        <w:rPr>
          <w:iCs/>
        </w:rPr>
        <w:t>arról, hogy e frekvenciasáv használatát 2020</w:t>
      </w:r>
      <w:r>
        <w:rPr>
          <w:iCs/>
        </w:rPr>
        <w:t xml:space="preserve">-ig lehetővé kell tenni az MFCN </w:t>
      </w:r>
      <w:r w:rsidRPr="00A72A2B">
        <w:rPr>
          <w:iCs/>
        </w:rPr>
        <w:t>rendszerek számára.</w:t>
      </w:r>
      <w:r w:rsidR="003A5CBE">
        <w:rPr>
          <w:iCs/>
        </w:rPr>
        <w:t xml:space="preserve"> Magyarországon a</w:t>
      </w:r>
      <w:r>
        <w:t xml:space="preserve"> műsorszóró célú földfelszíni digitális televízió állomások </w:t>
      </w:r>
      <w:r w:rsidR="003A5CBE">
        <w:t xml:space="preserve">engedélye </w:t>
      </w:r>
      <w:r>
        <w:t xml:space="preserve">2020. szeptember 5-ig </w:t>
      </w:r>
      <w:r w:rsidR="003A5CBE">
        <w:t>volt érvényes, ennek megfelelően a műsorszóró adók a 700 MHz-es sávban kikapcsolásra kerültek. A</w:t>
      </w:r>
      <w:r>
        <w:t xml:space="preserve">z elektronikus hírközlési szolgáltatások nyújtására alkalmas földfelszíni rendszerek 2020. szeptember 6-tól </w:t>
      </w:r>
      <w:r w:rsidR="003A5CBE">
        <w:t>üzemelnek</w:t>
      </w:r>
      <w:r>
        <w:t xml:space="preserve"> a 708-733/763-788 MHz sávban.</w:t>
      </w:r>
      <w:r w:rsidRPr="00915776">
        <w:t xml:space="preserve"> </w:t>
      </w:r>
    </w:p>
    <w:p w14:paraId="69D92D83" w14:textId="64D6D511" w:rsidR="00A57A5F" w:rsidRDefault="00A57A5F" w:rsidP="00A57A5F">
      <w:pPr>
        <w:pStyle w:val="Cmsor1szmozottnmhh"/>
        <w:ind w:left="431" w:hanging="431"/>
      </w:pPr>
      <w:bookmarkStart w:id="20" w:name="_Toc473880722"/>
      <w:bookmarkStart w:id="21" w:name="_Toc96001036"/>
      <w:r>
        <w:lastRenderedPageBreak/>
        <w:t xml:space="preserve">Jövőbeni </w:t>
      </w:r>
      <w:r w:rsidRPr="002C53F8">
        <w:t>használat</w:t>
      </w:r>
      <w:bookmarkEnd w:id="20"/>
      <w:bookmarkEnd w:id="21"/>
    </w:p>
    <w:p w14:paraId="4BB3F3AC" w14:textId="77777777" w:rsidR="00A57A5F" w:rsidRDefault="00A57A5F" w:rsidP="00A57A5F">
      <w:pPr>
        <w:pStyle w:val="Behzottbekezdsnmhh"/>
      </w:pPr>
    </w:p>
    <w:p w14:paraId="5197FBB4" w14:textId="73C3B6DF" w:rsidR="00A57A5F" w:rsidRDefault="00A57A5F" w:rsidP="00A57A5F">
      <w:pPr>
        <w:pStyle w:val="Behzottbekezdsnmhh"/>
      </w:pPr>
      <w:r>
        <w:t>A 700 MHz-es frekvenciasáv mozgószolgálati használatával kapcsolatos döntések és vizsgálatok nemzetközi szinten lezárultak, hazai szinten még a 700 MHz-es frekvenciasávban a hatályos NFFF-</w:t>
      </w:r>
      <w:proofErr w:type="spellStart"/>
      <w:r>
        <w:t>ben</w:t>
      </w:r>
      <w:proofErr w:type="spellEnd"/>
      <w:r>
        <w:t xml:space="preserve"> MFCN célra tervezett 2x5 MHz sávrész, valamint az opcionálisan bevezethető alkalmazások (BB-PPDR, M2M, PMSE, MFCN SDL) jövőbeni használatával kapcsolatos döntéseket kell meghozni és ezeknek megfelelően végre kell hajtani a szükséges módosításokat a hazai szabályozásban. </w:t>
      </w:r>
    </w:p>
    <w:p w14:paraId="4EA009A6" w14:textId="3D8F9C65" w:rsidR="00A57A5F" w:rsidRDefault="00A57A5F" w:rsidP="00A57A5F">
      <w:pPr>
        <w:pStyle w:val="Behzottbekezdsnmhh"/>
      </w:pPr>
      <w:r>
        <w:t>A 700 MHz-es frekvenciasávra vonatkozó igények felmérésére a VHF III. és az UHF sáv hasznosításáról szóló nemzeti ütemterv végrehajtásával összefüggő feladatokról 2017. november 23-</w:t>
      </w:r>
      <w:r w:rsidR="007C0BBE">
        <w:t>á</w:t>
      </w:r>
      <w:r>
        <w:t>n megtartott nyilvános meghallgatáson került sor. A meghallgatáson a piaci szereplők és potenciális kormányzati felhasználók szerint is a 700 MHz-es frekvenciasáv különös jelentőséggel bír az 5G bevezetése szempontjából</w:t>
      </w:r>
      <w:r>
        <w:rPr>
          <w:rStyle w:val="Lbjegyzet-hivatkozs"/>
        </w:rPr>
        <w:footnoteReference w:id="50"/>
      </w:r>
      <w:r>
        <w:t xml:space="preserve"> A PPDR rendszerek esetében is felmerülnek az 5G-s megoldások, az elektronikus hírközlési szolgáltatás nyújtása mellett a BB</w:t>
      </w:r>
      <w:r>
        <w:rPr>
          <w:lang w:bidi="hu-HU"/>
        </w:rPr>
        <w:t xml:space="preserve"> PPDR megvalósítása szempontjából is</w:t>
      </w:r>
      <w:r>
        <w:t>.</w:t>
      </w:r>
    </w:p>
    <w:p w14:paraId="295BCF60" w14:textId="77777777" w:rsidR="00A57A5F" w:rsidRDefault="00A57A5F" w:rsidP="00A57A5F">
      <w:pPr>
        <w:pStyle w:val="Behzottbekezdsnmhh"/>
        <w:ind w:firstLine="0"/>
      </w:pPr>
      <w:r>
        <w:t>A 700 MHz-es frekvenciasáv elrendezését, jelenlegi használatát és jövőbeni használati lehetőségeit a 4.1. ábra foglalja össze a hatályos hazai szabályozás és a már lefolytatott versenyeztetési eljárás eredményei alapján.</w:t>
      </w:r>
    </w:p>
    <w:p w14:paraId="422F62D4" w14:textId="77777777" w:rsidR="00A57A5F" w:rsidRDefault="00A57A5F" w:rsidP="00A57A5F">
      <w:pPr>
        <w:pStyle w:val="Behzottbekezdsnmhh"/>
        <w:jc w:val="center"/>
        <w:rPr>
          <w:lang w:bidi="hu-HU"/>
        </w:rPr>
      </w:pPr>
      <w:r>
        <w:rPr>
          <w:noProof/>
          <w:lang w:eastAsia="hu-HU"/>
        </w:rPr>
        <w:drawing>
          <wp:inline distT="0" distB="0" distL="0" distR="0" wp14:anchorId="4EDFEF26" wp14:editId="7FE661A3">
            <wp:extent cx="5760720" cy="2491740"/>
            <wp:effectExtent l="0" t="0" r="0" b="381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491740"/>
                    </a:xfrm>
                    <a:prstGeom prst="rect">
                      <a:avLst/>
                    </a:prstGeom>
                  </pic:spPr>
                </pic:pic>
              </a:graphicData>
            </a:graphic>
          </wp:inline>
        </w:drawing>
      </w:r>
    </w:p>
    <w:p w14:paraId="2EEF2766" w14:textId="77777777" w:rsidR="00A57A5F" w:rsidRDefault="00A57A5F" w:rsidP="00A57A5F">
      <w:pPr>
        <w:pStyle w:val="Kpalrs"/>
        <w:jc w:val="center"/>
        <w:rPr>
          <w:noProof/>
        </w:rPr>
      </w:pPr>
      <w:r>
        <w:rPr>
          <w:noProof/>
        </w:rPr>
        <w:t xml:space="preserve">4.1. ábra: A 700 MHz-es frekvenciasáv kijelölt és tervezett használata a jelenlegi szabályozás alapján </w:t>
      </w:r>
    </w:p>
    <w:p w14:paraId="27C7395D" w14:textId="77777777" w:rsidR="00A57A5F" w:rsidRPr="00D13DDD" w:rsidRDefault="00A57A5F" w:rsidP="00A57A5F">
      <w:pPr>
        <w:pStyle w:val="Behzottbekezdsnmhh"/>
      </w:pPr>
    </w:p>
    <w:p w14:paraId="20F07F4D" w14:textId="77777777" w:rsidR="00A57A5F" w:rsidRDefault="00A57A5F" w:rsidP="00A57A5F">
      <w:pPr>
        <w:pStyle w:val="Behzottbekezdsnmhh"/>
      </w:pPr>
    </w:p>
    <w:p w14:paraId="455070A2" w14:textId="77777777" w:rsidR="00A57A5F" w:rsidRDefault="00A57A5F" w:rsidP="00A57A5F">
      <w:pPr>
        <w:spacing w:after="200"/>
        <w:jc w:val="left"/>
        <w:rPr>
          <w:sz w:val="20"/>
          <w:szCs w:val="20"/>
        </w:rPr>
      </w:pPr>
      <w:r>
        <w:br w:type="page"/>
      </w:r>
    </w:p>
    <w:p w14:paraId="39FDD184" w14:textId="77777777" w:rsidR="00A57A5F" w:rsidRPr="00E8154E" w:rsidRDefault="00A57A5F" w:rsidP="00A57A5F">
      <w:pPr>
        <w:pStyle w:val="Cmsor1szmozottnmhh"/>
        <w:ind w:left="431" w:hanging="431"/>
      </w:pPr>
      <w:bookmarkStart w:id="22" w:name="_Toc96001037"/>
      <w:bookmarkStart w:id="23" w:name="_Toc473880732"/>
      <w:r w:rsidRPr="00E8154E">
        <w:lastRenderedPageBreak/>
        <w:t>Határon túli frekvenciahasználat és koordináció</w:t>
      </w:r>
      <w:bookmarkEnd w:id="22"/>
      <w:r w:rsidRPr="00E8154E">
        <w:t xml:space="preserve"> </w:t>
      </w:r>
      <w:bookmarkEnd w:id="23"/>
    </w:p>
    <w:p w14:paraId="595B868C" w14:textId="1F40CADE" w:rsidR="00A57A5F" w:rsidRPr="00E8154E" w:rsidRDefault="00A57A5F" w:rsidP="00A57A5F">
      <w:pPr>
        <w:pStyle w:val="Behzottbekezdsnmhh"/>
      </w:pPr>
      <w:r w:rsidRPr="00E8154E">
        <w:t xml:space="preserve">A 694-790 MHz </w:t>
      </w:r>
      <w:r>
        <w:t>frekvencia</w:t>
      </w:r>
      <w:r w:rsidRPr="00E8154E">
        <w:t>sávot jelenleg Magyarország és a szomszédos országok többsége is MFCN céljára használja. A földfelszíni televízió műsorszórás lekapcsolása két érintett országban még nem fejeződött be (Ukrajna és Bosznia-Hercegovina), azonban hosszabb távon az MFCN bevezetése várható ezekben az országokban is. A szomszédos országok közül Ukrajnában légi rádiónavigációs rendszerek is üzemelnek.</w:t>
      </w:r>
      <w:r w:rsidR="00372C7A" w:rsidRPr="00372C7A">
        <w:rPr>
          <w:rFonts w:ascii="Times New Roman" w:hAnsi="Times New Roman" w:cs="Times New Roman"/>
          <w:sz w:val="22"/>
          <w:szCs w:val="22"/>
          <w:lang w:val="en-GB"/>
        </w:rPr>
        <w:t xml:space="preserve"> </w:t>
      </w:r>
      <w:r w:rsidR="00372C7A">
        <w:rPr>
          <w:rStyle w:val="jlqj4b"/>
        </w:rPr>
        <w:t>2021. december 14-én határozatot hirdettek ki a</w:t>
      </w:r>
      <w:r w:rsidR="007C0BBE">
        <w:rPr>
          <w:rStyle w:val="jlqj4b"/>
        </w:rPr>
        <w:t>z</w:t>
      </w:r>
      <w:r w:rsidR="00372C7A">
        <w:rPr>
          <w:rStyle w:val="jlqj4b"/>
        </w:rPr>
        <w:t xml:space="preserve"> Európai Unió Hivatalos lapjában, amely hivatalossá tette Ukrajna azon kötelezettségvállalását, hogy 2022 végéig mobil használatra felszabadítja a 700 MHz-es frekvenciasávot</w:t>
      </w:r>
      <w:r w:rsidR="00372C7A" w:rsidRPr="00372C7A">
        <w:rPr>
          <w:lang w:val="en-GB"/>
        </w:rPr>
        <w:t>.</w:t>
      </w:r>
      <w:r w:rsidR="00372C7A" w:rsidRPr="00372C7A">
        <w:rPr>
          <w:vertAlign w:val="superscript"/>
          <w:lang w:val="en-GB"/>
        </w:rPr>
        <w:footnoteReference w:id="51"/>
      </w:r>
    </w:p>
    <w:p w14:paraId="2745A1A5" w14:textId="77777777" w:rsidR="00A57A5F" w:rsidRPr="00E8154E" w:rsidRDefault="00A57A5F" w:rsidP="00A57A5F">
      <w:pPr>
        <w:pStyle w:val="Behzottbekezdsnmhh"/>
      </w:pPr>
      <w:r w:rsidRPr="00E8154E">
        <w:t xml:space="preserve">Határövezeti frekvenciahasználat esetében csak azon állomások frekvenciahasználata engedélyezett, amelyek kielégítik a mindenkor aktuális vonatkozó nemzetközi koordinációs dokumentumokban rögzített előírásokat. </w:t>
      </w:r>
    </w:p>
    <w:p w14:paraId="3557094A" w14:textId="347D79ED" w:rsidR="00A57A5F" w:rsidRPr="00E8154E" w:rsidRDefault="00A57A5F" w:rsidP="00A57A5F">
      <w:pPr>
        <w:pStyle w:val="Behzottbekezdsnmhh"/>
      </w:pPr>
      <w:r w:rsidRPr="00E8154E">
        <w:t>A 700 MHz-es MFCN, valamint a PPDR bevezetéséhez szükséges nemzetközi koordinációs követelmények kidolgozása megtörtént a CEPT kompetens munkacsoportjaiban. A</w:t>
      </w:r>
      <w:r>
        <w:t xml:space="preserve">z </w:t>
      </w:r>
      <w:r w:rsidRPr="00C82D82">
        <w:t>ECC/REC/(15</w:t>
      </w:r>
      <w:proofErr w:type="gramStart"/>
      <w:r w:rsidRPr="00C82D82">
        <w:t>)01</w:t>
      </w:r>
      <w:proofErr w:type="gramEnd"/>
      <w:r>
        <w:rPr>
          <w:rStyle w:val="Lbjegyzet-hivatkozs"/>
        </w:rPr>
        <w:footnoteReference w:id="52"/>
      </w:r>
      <w:r>
        <w:t xml:space="preserve"> Ajánláson </w:t>
      </w:r>
      <w:r w:rsidRPr="00E8154E">
        <w:t>alapuló koordinációs megállapodást</w:t>
      </w:r>
      <w:r w:rsidRPr="00E8154E">
        <w:rPr>
          <w:vertAlign w:val="superscript"/>
        </w:rPr>
        <w:footnoteReference w:id="53"/>
      </w:r>
      <w:r w:rsidRPr="00E8154E">
        <w:t xml:space="preserve"> Magyarország a szomszédos Ausztri</w:t>
      </w:r>
      <w:r>
        <w:t>ával</w:t>
      </w:r>
      <w:r w:rsidRPr="00E8154E">
        <w:t>, Szlovéni</w:t>
      </w:r>
      <w:r>
        <w:t>ával</w:t>
      </w:r>
      <w:r w:rsidRPr="00E8154E">
        <w:t>, Horvátország</w:t>
      </w:r>
      <w:r>
        <w:t>gal</w:t>
      </w:r>
      <w:r w:rsidRPr="00E8154E">
        <w:t>, Románi</w:t>
      </w:r>
      <w:r>
        <w:t>ával</w:t>
      </w:r>
      <w:r w:rsidRPr="00E8154E">
        <w:t xml:space="preserve"> és Szlováki</w:t>
      </w:r>
      <w:r>
        <w:t>ával</w:t>
      </w:r>
      <w:r w:rsidRPr="00E8154E">
        <w:t xml:space="preserve"> írta alá. Szerbiával az egyeztetés folyamatban van.</w:t>
      </w:r>
    </w:p>
    <w:p w14:paraId="670C2742" w14:textId="542CD63D" w:rsidR="00A57A5F" w:rsidRPr="00E8154E" w:rsidRDefault="00A57A5F" w:rsidP="00A57A5F">
      <w:pPr>
        <w:pStyle w:val="Behzottbekezdsnmhh"/>
      </w:pPr>
      <w:r w:rsidRPr="00E8154E">
        <w:t>A koordinációs</w:t>
      </w:r>
      <w:r>
        <w:t xml:space="preserve"> </w:t>
      </w:r>
      <w:r w:rsidRPr="00E8154E">
        <w:t xml:space="preserve">megállapodás a határövezetben használható térerősségszint korlátokon és a preferált kódok használatán alapul, ennek megfelelően, amennyiben az érintett országok betartják a megállapodásban előírt értékeket, nincs szükség </w:t>
      </w:r>
      <w:r>
        <w:t xml:space="preserve">egyedi </w:t>
      </w:r>
      <w:r w:rsidRPr="00E8154E">
        <w:t>koordinációra</w:t>
      </w:r>
      <w:r w:rsidR="003A5CBE">
        <w:t>.</w:t>
      </w:r>
      <w:r w:rsidRPr="00E8154E">
        <w:t xml:space="preserve"> </w:t>
      </w:r>
    </w:p>
    <w:p w14:paraId="584B04D6" w14:textId="77777777" w:rsidR="00A57A5F" w:rsidRDefault="00A57A5F" w:rsidP="00A57A5F">
      <w:pPr>
        <w:pStyle w:val="Behzottbekezdsnmhh"/>
      </w:pPr>
      <w:r w:rsidRPr="00E8154E">
        <w:t>Az MFCN és légi rádiónavigációs szolgálat közti koordinációs eljárásról Magyarország már sikeresen megkötött Ukrajnával egy megállapodást</w:t>
      </w:r>
      <w:r w:rsidRPr="00E8154E">
        <w:rPr>
          <w:vertAlign w:val="superscript"/>
        </w:rPr>
        <w:footnoteReference w:id="54"/>
      </w:r>
      <w:r w:rsidRPr="00E8154E">
        <w:t xml:space="preserve"> a 700 MHz-es frekvenciasávra vonatkozóan.</w:t>
      </w:r>
      <w:r>
        <w:t xml:space="preserve">  </w:t>
      </w:r>
    </w:p>
    <w:p w14:paraId="51057B3B" w14:textId="005D2DDB" w:rsidR="00CA5369" w:rsidRDefault="00CA5369">
      <w:pPr>
        <w:spacing w:after="200"/>
        <w:jc w:val="left"/>
        <w:rPr>
          <w:sz w:val="20"/>
          <w:szCs w:val="20"/>
        </w:rPr>
      </w:pPr>
      <w:r>
        <w:br w:type="page"/>
      </w:r>
    </w:p>
    <w:p w14:paraId="5A555914" w14:textId="77777777" w:rsidR="00A57A5F" w:rsidRPr="00AA62BB" w:rsidRDefault="00A57A5F" w:rsidP="00A57A5F">
      <w:pPr>
        <w:pStyle w:val="Cmsor1szmozottnmhh"/>
        <w:ind w:left="431" w:hanging="431"/>
      </w:pPr>
      <w:bookmarkStart w:id="24" w:name="_Toc96001038"/>
      <w:r>
        <w:lastRenderedPageBreak/>
        <w:t>Egyéb potenciális zavartatási problémák</w:t>
      </w:r>
      <w:bookmarkEnd w:id="24"/>
    </w:p>
    <w:p w14:paraId="17473B85" w14:textId="7F9A1CEE" w:rsidR="00A57A5F" w:rsidRDefault="00A57A5F" w:rsidP="00A57A5F">
      <w:pPr>
        <w:pStyle w:val="Behzottbekezdsnmhh"/>
        <w:rPr>
          <w:rFonts w:eastAsia="Calibri" w:cs="Arial"/>
        </w:rPr>
      </w:pPr>
      <w:r w:rsidRPr="00966D74">
        <w:rPr>
          <w:rFonts w:eastAsia="Calibri" w:cs="Arial"/>
        </w:rPr>
        <w:t xml:space="preserve">A rádióspektrum szabályozásának egyik legfőbb </w:t>
      </w:r>
      <w:r>
        <w:rPr>
          <w:rFonts w:eastAsia="Calibri" w:cs="Arial"/>
        </w:rPr>
        <w:t>célja</w:t>
      </w:r>
      <w:r w:rsidRPr="00966D74">
        <w:rPr>
          <w:rFonts w:eastAsia="Calibri" w:cs="Arial"/>
        </w:rPr>
        <w:t xml:space="preserve"> a </w:t>
      </w:r>
      <w:r>
        <w:rPr>
          <w:rFonts w:eastAsia="Calibri" w:cs="Arial"/>
        </w:rPr>
        <w:t xml:space="preserve">különféle szolgálatok vagy alkalmazások </w:t>
      </w:r>
      <w:r w:rsidRPr="00966D74">
        <w:rPr>
          <w:rFonts w:eastAsia="Calibri" w:cs="Arial"/>
        </w:rPr>
        <w:t>zavarvédettség</w:t>
      </w:r>
      <w:r>
        <w:rPr>
          <w:rFonts w:eastAsia="Calibri" w:cs="Arial"/>
        </w:rPr>
        <w:t>ének</w:t>
      </w:r>
      <w:r w:rsidRPr="00966D74">
        <w:rPr>
          <w:rFonts w:eastAsia="Calibri" w:cs="Arial"/>
        </w:rPr>
        <w:t xml:space="preserve"> biztosítása</w:t>
      </w:r>
      <w:r>
        <w:rPr>
          <w:rFonts w:eastAsia="Calibri" w:cs="Arial"/>
        </w:rPr>
        <w:t>. Az új technológiák bevezetésekor különös figyelmet kell fordítani az azonos sávban</w:t>
      </w:r>
      <w:r w:rsidR="00B83D64">
        <w:rPr>
          <w:rFonts w:eastAsia="Calibri" w:cs="Arial"/>
        </w:rPr>
        <w:t>,</w:t>
      </w:r>
      <w:r>
        <w:rPr>
          <w:rFonts w:eastAsia="Calibri" w:cs="Arial"/>
        </w:rPr>
        <w:t xml:space="preserve"> illetve a szomszédos sávokban üzemelő</w:t>
      </w:r>
      <w:r w:rsidRPr="00966D74">
        <w:rPr>
          <w:rFonts w:eastAsia="Calibri" w:cs="Arial"/>
        </w:rPr>
        <w:t xml:space="preserve"> rádió</w:t>
      </w:r>
      <w:r>
        <w:rPr>
          <w:rFonts w:eastAsia="Calibri" w:cs="Arial"/>
        </w:rPr>
        <w:t xml:space="preserve">alkalmazások védelmére és az általuk okozott zavarok elkerülésére, ugyanakkor </w:t>
      </w:r>
      <w:r w:rsidRPr="00966D74">
        <w:rPr>
          <w:rFonts w:eastAsia="Calibri" w:cs="Arial"/>
        </w:rPr>
        <w:t>a vezetékes technológiák</w:t>
      </w:r>
      <w:r>
        <w:rPr>
          <w:rFonts w:eastAsia="Calibri" w:cs="Arial"/>
        </w:rPr>
        <w:t xml:space="preserve"> esetén fellépő</w:t>
      </w:r>
      <w:r w:rsidRPr="00966D74">
        <w:rPr>
          <w:rFonts w:eastAsia="Calibri" w:cs="Arial"/>
        </w:rPr>
        <w:t xml:space="preserve"> zavarjelenségek</w:t>
      </w:r>
      <w:r>
        <w:rPr>
          <w:rFonts w:eastAsia="Calibri" w:cs="Arial"/>
        </w:rPr>
        <w:t xml:space="preserve"> elkerülésére is fel kell készülni</w:t>
      </w:r>
      <w:r w:rsidRPr="00966D74">
        <w:rPr>
          <w:rFonts w:eastAsia="Calibri" w:cs="Arial"/>
        </w:rPr>
        <w:t>.</w:t>
      </w:r>
    </w:p>
    <w:p w14:paraId="22C31C55" w14:textId="77777777" w:rsidR="00A57A5F" w:rsidRDefault="00A57A5F" w:rsidP="00A57A5F">
      <w:pPr>
        <w:pStyle w:val="Behzottbekezdsnmhh"/>
        <w:rPr>
          <w:rFonts w:eastAsia="Calibri" w:cs="Arial"/>
        </w:rPr>
      </w:pPr>
    </w:p>
    <w:p w14:paraId="3222B981" w14:textId="77777777" w:rsidR="00A57A5F" w:rsidRDefault="00A57A5F" w:rsidP="00A57A5F">
      <w:pPr>
        <w:pStyle w:val="Cmsor2szmozottnmhh"/>
        <w:ind w:left="578" w:hanging="578"/>
      </w:pPr>
      <w:bookmarkStart w:id="25" w:name="_Toc96001039"/>
      <w:r>
        <w:t>Földfelszíni televízió műsorszórás</w:t>
      </w:r>
      <w:bookmarkEnd w:id="25"/>
    </w:p>
    <w:p w14:paraId="405466CB" w14:textId="48B05DD1" w:rsidR="00A57A5F" w:rsidRDefault="00A57A5F" w:rsidP="00A57A5F">
      <w:pPr>
        <w:pStyle w:val="Behzottbekezdsnmhh"/>
      </w:pPr>
      <w:r>
        <w:t xml:space="preserve">A 700 MHz alatti frekvenciatartományban üzemelő digitális televízió műsorszóró adók védelme érdekében a sávon kívüli sugárzási határértékek úgy lettek meghatározva, hogy a védősávok betartása mellett, a 48. televízió csatorna védelme biztosítva legyen. </w:t>
      </w:r>
    </w:p>
    <w:p w14:paraId="00F84068" w14:textId="3577207D" w:rsidR="00A57A5F" w:rsidRDefault="00A57A5F" w:rsidP="00A57A5F">
      <w:pPr>
        <w:pStyle w:val="Behzottbekezdsnmhh"/>
      </w:pPr>
      <w:r>
        <w:t xml:space="preserve">A </w:t>
      </w:r>
      <w:r w:rsidRPr="004963A6">
        <w:t>B</w:t>
      </w:r>
      <w:r>
        <w:t>izottság</w:t>
      </w:r>
      <w:r w:rsidRPr="004963A6">
        <w:t xml:space="preserve"> (EU)</w:t>
      </w:r>
      <w:r>
        <w:t>/</w:t>
      </w:r>
      <w:r w:rsidRPr="004963A6">
        <w:t>2016/687 végrehajtási határozata</w:t>
      </w:r>
      <w:r>
        <w:t xml:space="preserve"> előírja </w:t>
      </w:r>
      <w:r w:rsidRPr="002A7409">
        <w:t>a végfelhasználói állomások</w:t>
      </w:r>
      <w:r w:rsidRPr="00FC67F1">
        <w:t xml:space="preserve"> teljesítmény-határértékei</w:t>
      </w:r>
      <w:r>
        <w:t>t</w:t>
      </w:r>
      <w:r w:rsidRPr="00FC67F1">
        <w:t xml:space="preserve"> </w:t>
      </w:r>
      <w:r>
        <w:t>a</w:t>
      </w:r>
      <w:r w:rsidRPr="00FC67F1">
        <w:t xml:space="preserve"> 694 MHz alatti </w:t>
      </w:r>
      <w:r>
        <w:t xml:space="preserve">(sávon kívüli) </w:t>
      </w:r>
      <w:r w:rsidRPr="00FC67F1">
        <w:t>nemkívánt sugárzások</w:t>
      </w:r>
      <w:r>
        <w:t xml:space="preserve"> által okozott zavarok elkerülésére.</w:t>
      </w:r>
      <w:r w:rsidRPr="00FC67F1">
        <w:t xml:space="preserve"> A nemkívánt sugárzások határértéke – 42 </w:t>
      </w:r>
      <w:proofErr w:type="spellStart"/>
      <w:r w:rsidRPr="00FC67F1">
        <w:t>dBm</w:t>
      </w:r>
      <w:proofErr w:type="spellEnd"/>
      <w:r w:rsidRPr="00FC67F1">
        <w:t>/8 MHz</w:t>
      </w:r>
      <w:r>
        <w:t xml:space="preserve"> </w:t>
      </w:r>
      <w:r w:rsidRPr="00FC67F1">
        <w:t xml:space="preserve">a DVB-T2 rendszerű </w:t>
      </w:r>
      <w:r>
        <w:t xml:space="preserve">digitális földfelszíni televízió </w:t>
      </w:r>
      <w:r w:rsidRPr="00FC67F1">
        <w:t xml:space="preserve">műsorszóráson, illetve 10 MHz </w:t>
      </w:r>
      <w:r>
        <w:t>csatorna</w:t>
      </w:r>
      <w:r w:rsidRPr="00FC67F1">
        <w:t xml:space="preserve">sávszélességű vezeték nélküli szélessávú rendszereken alapul, a </w:t>
      </w:r>
      <w:r>
        <w:t xml:space="preserve">televízió </w:t>
      </w:r>
      <w:r w:rsidRPr="00FC67F1">
        <w:t>műsorszór</w:t>
      </w:r>
      <w:r>
        <w:t>ó</w:t>
      </w:r>
      <w:r w:rsidRPr="00FC67F1">
        <w:t xml:space="preserve"> és a vezeték nélküli szélessávú rendszerek sávközépi frekvenciájának 18 MHz-es elválasztásával (8 MHz-es </w:t>
      </w:r>
      <w:proofErr w:type="spellStart"/>
      <w:r w:rsidRPr="00FC67F1">
        <w:t>TV-csatornát</w:t>
      </w:r>
      <w:proofErr w:type="spellEnd"/>
      <w:r w:rsidRPr="00FC67F1">
        <w:t xml:space="preserve">, 9 MHz-es védősávot és 10 MHz-es </w:t>
      </w:r>
      <w:r>
        <w:t>csatorna</w:t>
      </w:r>
      <w:r w:rsidRPr="00FC67F1">
        <w:t xml:space="preserve">sávszélességű vezeték nélküli szélessávú rendszert feltételezve). </w:t>
      </w:r>
      <w:r w:rsidR="00DE4DA8">
        <w:t xml:space="preserve">A </w:t>
      </w:r>
      <w:r w:rsidRPr="00FC67F1">
        <w:t xml:space="preserve">10 </w:t>
      </w:r>
      <w:proofErr w:type="spellStart"/>
      <w:r w:rsidRPr="00FC67F1">
        <w:t>MHz-</w:t>
      </w:r>
      <w:r>
        <w:t>től</w:t>
      </w:r>
      <w:proofErr w:type="spellEnd"/>
      <w:r w:rsidRPr="00FC67F1">
        <w:t xml:space="preserve"> </w:t>
      </w:r>
      <w:r>
        <w:t>eltérő</w:t>
      </w:r>
      <w:r w:rsidRPr="00FC67F1">
        <w:t xml:space="preserve"> </w:t>
      </w:r>
      <w:r>
        <w:t>csatorna</w:t>
      </w:r>
      <w:r w:rsidRPr="00FC67F1">
        <w:t xml:space="preserve">sávszélességű vezeték nélküli szélessávú rendszerek </w:t>
      </w:r>
      <w:r>
        <w:t>esetén</w:t>
      </w:r>
      <w:r w:rsidRPr="00FC67F1">
        <w:t>, zavarcsökkentő technikák</w:t>
      </w:r>
      <w:r>
        <w:t xml:space="preserve"> alkalmazására lehet szükség (pl.</w:t>
      </w:r>
      <w:r w:rsidRPr="00FC67F1">
        <w:t xml:space="preserve"> további szűrés</w:t>
      </w:r>
      <w:r>
        <w:t xml:space="preserve"> a televízió esetén</w:t>
      </w:r>
      <w:r w:rsidRPr="00FC67F1">
        <w:t>, a végfelhasználói állomások blokkon belüli teljesítményének csökkentése</w:t>
      </w:r>
      <w:r>
        <w:t xml:space="preserve"> vagy</w:t>
      </w:r>
      <w:r w:rsidRPr="00FC67F1">
        <w:t xml:space="preserve"> a végfelhasználói állomások adási sávszélességének csökkentése</w:t>
      </w:r>
      <w:r>
        <w:t>).</w:t>
      </w:r>
      <w:r w:rsidRPr="00FC67F1">
        <w:t xml:space="preserve"> </w:t>
      </w:r>
      <w:r>
        <w:t>Figyelembe kell venni továbbá azt is, hogy a</w:t>
      </w:r>
      <w:r w:rsidRPr="00FC67F1">
        <w:t xml:space="preserve"> nemkívánt blokkon kívüli sugárzások határértéke állandóhelyű </w:t>
      </w:r>
      <w:r>
        <w:t>televízió</w:t>
      </w:r>
      <w:r w:rsidRPr="00FC67F1">
        <w:t xml:space="preserve"> vétel alapján került megállapításra</w:t>
      </w:r>
      <w:r>
        <w:t xml:space="preserve">, így a </w:t>
      </w:r>
      <w:r w:rsidRPr="00FC67F1">
        <w:t>hordozható beltéri vétel</w:t>
      </w:r>
      <w:r>
        <w:t xml:space="preserve"> biztosítása esetén is zavarcsökkentő technikák alkalmazására lehet szükség.</w:t>
      </w:r>
    </w:p>
    <w:p w14:paraId="4ECB9445" w14:textId="77777777" w:rsidR="00A57A5F" w:rsidRDefault="00A57A5F" w:rsidP="00A57A5F">
      <w:pPr>
        <w:pStyle w:val="Behzottbekezdsnmhh"/>
      </w:pPr>
      <w:r>
        <w:t>A</w:t>
      </w:r>
      <w:r w:rsidRPr="00FC67F1">
        <w:t xml:space="preserve"> vezeték nélküli szélessávú rendszerek és a műsorszórás együttes működés</w:t>
      </w:r>
      <w:r>
        <w:t xml:space="preserve">e esetén előfordulhat a DVB-T vevőknek a mobil hálózatok </w:t>
      </w:r>
      <w:r w:rsidRPr="00FC67F1">
        <w:t>bázisállomás</w:t>
      </w:r>
      <w:r>
        <w:t>ai</w:t>
      </w:r>
      <w:r w:rsidRPr="00FC67F1">
        <w:t xml:space="preserve"> </w:t>
      </w:r>
      <w:r>
        <w:t>általi</w:t>
      </w:r>
      <w:r w:rsidRPr="00FC67F1">
        <w:t xml:space="preserve"> blokkolás</w:t>
      </w:r>
      <w:r>
        <w:t xml:space="preserve">a (pl. </w:t>
      </w:r>
      <w:r w:rsidRPr="00FC67F1">
        <w:t xml:space="preserve">az antennaerősítőkben fellépő </w:t>
      </w:r>
      <w:r>
        <w:t>túlvezérlés</w:t>
      </w:r>
      <w:r w:rsidRPr="00FC67F1">
        <w:t xml:space="preserve"> </w:t>
      </w:r>
      <w:r>
        <w:t>esetén),</w:t>
      </w:r>
      <w:r w:rsidRPr="00FC67F1">
        <w:t xml:space="preserve"> továbbá, a bázisállomások vevőinek műsorszóró adók általi zavarása is felléphet, akár az adó sávon belüli teljesítménye, akár nemkívánt sugárzások miatt. Ilyen esetekben </w:t>
      </w:r>
      <w:r w:rsidRPr="00FB0D4C">
        <w:t xml:space="preserve">a </w:t>
      </w:r>
      <w:r>
        <w:t>bázisállomásokat (</w:t>
      </w:r>
      <w:r w:rsidRPr="00FB0D4C">
        <w:t>helyhez kötött/központi állomásokat és átjátszóállomásokat</w:t>
      </w:r>
      <w:r>
        <w:t>)</w:t>
      </w:r>
      <w:r w:rsidRPr="00FB0D4C">
        <w:t xml:space="preserve"> úgy kell megtervezni és telepíteni, hogy </w:t>
      </w:r>
      <w:r>
        <w:t xml:space="preserve">biztosítható legyen a zavarmentes működés, vagy szükség esetén </w:t>
      </w:r>
      <w:r w:rsidRPr="00FC67F1">
        <w:t xml:space="preserve">megfelelő zavarcsökkentő technikákat </w:t>
      </w:r>
      <w:r>
        <w:t xml:space="preserve">kell </w:t>
      </w:r>
      <w:r w:rsidRPr="00FC67F1">
        <w:t>alkalmazni.</w:t>
      </w:r>
    </w:p>
    <w:p w14:paraId="730407A3" w14:textId="77777777" w:rsidR="00A57A5F" w:rsidRPr="00FB0D4C" w:rsidRDefault="00A57A5F" w:rsidP="00A57A5F">
      <w:pPr>
        <w:pStyle w:val="Behzottbekezdsnmhh"/>
      </w:pPr>
      <w:r w:rsidRPr="00FB0D4C">
        <w:t xml:space="preserve">Amennyiben a műszaki követelmények maradéktalan betartása mellett is káros interferencia lép fel, vagy valószínűsíthető annak kialakulása, minden érintett szolgáltatónak meg kell tennie a szükséges intézkedéseket és kölcsönösen együtt kell működnie az esetlegesen fellépő zavartatási problémák mielőbbi megoldása érdekében. </w:t>
      </w:r>
    </w:p>
    <w:p w14:paraId="7CA5E515" w14:textId="77777777" w:rsidR="00A57A5F" w:rsidRDefault="00A57A5F" w:rsidP="00A57A5F">
      <w:pPr>
        <w:pStyle w:val="Behzottbekezdsnmhh"/>
      </w:pPr>
      <w:r>
        <w:t>A védősávban megvalósítható BB-PPDR alkalmazás (698-703/753-758 MHz) bevezetése esetén az ECC 239. Jelentésben javasolt zavarcsökkentő technikák alkalmazására lehet szükség a 694 MHz alatt üzemelő digitális televízió védelme érdekében.</w:t>
      </w:r>
    </w:p>
    <w:p w14:paraId="035253FD" w14:textId="77777777" w:rsidR="00A57A5F" w:rsidRPr="00FC67F1" w:rsidRDefault="00A57A5F" w:rsidP="00A57A5F">
      <w:pPr>
        <w:pStyle w:val="Behzottbekezdsnmhh"/>
      </w:pPr>
    </w:p>
    <w:p w14:paraId="086CC00B" w14:textId="77777777" w:rsidR="00A57A5F" w:rsidRDefault="00A57A5F" w:rsidP="00A57A5F">
      <w:pPr>
        <w:pStyle w:val="Cmsor2szmozottnmhh"/>
        <w:ind w:left="578" w:hanging="578"/>
      </w:pPr>
      <w:bookmarkStart w:id="26" w:name="_Toc96001040"/>
      <w:r>
        <w:t>PMSE</w:t>
      </w:r>
      <w:bookmarkEnd w:id="26"/>
    </w:p>
    <w:p w14:paraId="4F102324" w14:textId="77777777" w:rsidR="00A57A5F" w:rsidRDefault="00A57A5F" w:rsidP="00A57A5F">
      <w:pPr>
        <w:pStyle w:val="Behzottbekezdsnmhh"/>
      </w:pPr>
      <w:r>
        <w:t>A Nemzeti Ütemterv alapján nem tervezzük a 700 MHz-es frekvenciasáv PMSE célú felhasználását, az NFFF alapján ebben a sávban 2020. szeptember 5-ig üzemelhettek PMSE berendezések. A</w:t>
      </w:r>
      <w:r w:rsidRPr="00917A30">
        <w:t xml:space="preserve"> 694 MHz alatti sávban üzemelő PMSE eszközök</w:t>
      </w:r>
      <w:r>
        <w:t xml:space="preserve"> védelme, az (EU)/2017/899 parlamenti és tanácsi határozattal összhangban, legalább 2030–</w:t>
      </w:r>
      <w:proofErr w:type="spellStart"/>
      <w:r>
        <w:t>ig</w:t>
      </w:r>
      <w:proofErr w:type="spellEnd"/>
      <w:r>
        <w:t xml:space="preserve"> tervezett.</w:t>
      </w:r>
      <w:r w:rsidRPr="00917A30">
        <w:t xml:space="preserve"> </w:t>
      </w:r>
      <w:r>
        <w:t xml:space="preserve">A </w:t>
      </w:r>
      <w:r w:rsidRPr="004963A6">
        <w:t>B</w:t>
      </w:r>
      <w:r>
        <w:t>izottság</w:t>
      </w:r>
      <w:r w:rsidRPr="004963A6">
        <w:t xml:space="preserve"> (EU)</w:t>
      </w:r>
      <w:r>
        <w:t>/</w:t>
      </w:r>
      <w:r w:rsidRPr="004963A6">
        <w:t xml:space="preserve">2016/687 végrehajtási </w:t>
      </w:r>
      <w:r w:rsidRPr="004963A6">
        <w:lastRenderedPageBreak/>
        <w:t>határozata</w:t>
      </w:r>
      <w:r>
        <w:t xml:space="preserve"> is</w:t>
      </w:r>
      <w:r w:rsidRPr="004963A6">
        <w:t xml:space="preserve"> </w:t>
      </w:r>
      <w:r>
        <w:t xml:space="preserve">előírja, hogy </w:t>
      </w:r>
      <w:r w:rsidRPr="000E665A">
        <w:t>700 MHz-es frekvenciasávban a földfelszíni vezeték nélküli szélessávú elektronikus hírközlési szolgáltatásoknak és a</w:t>
      </w:r>
      <w:r>
        <w:t xml:space="preserve"> frekvenciasávban bevezetett egyéb </w:t>
      </w:r>
      <w:r w:rsidRPr="000E665A">
        <w:t>nemzeti opcióknak a szabályozási státus</w:t>
      </w:r>
      <w:r>
        <w:t>z</w:t>
      </w:r>
      <w:r w:rsidRPr="000E665A">
        <w:t>uknak megfelelően biztosítaniuk kell a 694 MHz alatti meglévő vezeték nélküli hangfrekvenciás PMSE-alkalmazások megfelelő védelmét is.</w:t>
      </w:r>
      <w:r>
        <w:t xml:space="preserve"> A</w:t>
      </w:r>
      <w:r w:rsidRPr="000E665A">
        <w:t xml:space="preserve"> szomszédos frekvenciasávokat használó vezeték nélküli hangfrekvenciás PMSE-berendezések és mobil elektronikus hírközlő hálózatok </w:t>
      </w:r>
      <w:r>
        <w:t xml:space="preserve">összeférhetősége érdekében </w:t>
      </w:r>
      <w:r w:rsidRPr="000E665A">
        <w:t>a 2014/641/EU</w:t>
      </w:r>
      <w:r w:rsidRPr="00371EEE">
        <w:rPr>
          <w:vertAlign w:val="superscript"/>
        </w:rPr>
        <w:footnoteReference w:id="55"/>
      </w:r>
      <w:r w:rsidRPr="000E665A">
        <w:t xml:space="preserve"> bizottsági végrehajtási határozatban leírtakhoz hasonló, a zavarás csökkentését szolgáló megoldások alkalmazásá</w:t>
      </w:r>
      <w:r>
        <w:t>ra lehet szükség</w:t>
      </w:r>
      <w:r w:rsidRPr="000E665A">
        <w:t>.</w:t>
      </w:r>
    </w:p>
    <w:p w14:paraId="3920EEF1" w14:textId="77777777" w:rsidR="00A57A5F" w:rsidRPr="00966D74" w:rsidRDefault="00A57A5F" w:rsidP="00A57A5F">
      <w:pPr>
        <w:pStyle w:val="Szvegtrzs"/>
        <w:spacing w:before="120" w:after="120"/>
        <w:ind w:firstLine="357"/>
        <w:rPr>
          <w:rFonts w:eastAsia="Calibri" w:cs="Arial"/>
          <w:sz w:val="20"/>
        </w:rPr>
      </w:pPr>
    </w:p>
    <w:p w14:paraId="3F7B5A0F" w14:textId="77777777" w:rsidR="00A57A5F" w:rsidRPr="007712D5" w:rsidRDefault="00A57A5F" w:rsidP="00A57A5F">
      <w:pPr>
        <w:pStyle w:val="Cmsor2szmozottnmhh"/>
        <w:ind w:left="578" w:hanging="578"/>
      </w:pPr>
      <w:bookmarkStart w:id="27" w:name="_Toc96001041"/>
      <w:r w:rsidRPr="007712D5">
        <w:t>Kábeltelevízió</w:t>
      </w:r>
      <w:bookmarkEnd w:id="27"/>
    </w:p>
    <w:p w14:paraId="7A3AC85D" w14:textId="0426C1EE" w:rsidR="00A57A5F" w:rsidRPr="00917A30" w:rsidRDefault="00A57A5F" w:rsidP="00A57A5F">
      <w:pPr>
        <w:pStyle w:val="Behzottbekezdsnmhh"/>
      </w:pPr>
      <w:r w:rsidRPr="00375772">
        <w:t xml:space="preserve">A 800 MHz-es </w:t>
      </w:r>
      <w:r>
        <w:t>frekvencia</w:t>
      </w:r>
      <w:r w:rsidRPr="00375772">
        <w:t xml:space="preserve">sávban, valamint a 700 MHz-es </w:t>
      </w:r>
      <w:r>
        <w:t>frekvencia</w:t>
      </w:r>
      <w:r w:rsidRPr="00375772">
        <w:t xml:space="preserve">sáv </w:t>
      </w:r>
      <w:r w:rsidR="00B83D64">
        <w:t>használata során</w:t>
      </w:r>
      <w:bookmarkStart w:id="28" w:name="_GoBack"/>
      <w:bookmarkEnd w:id="28"/>
      <w:r w:rsidRPr="00375772">
        <w:t xml:space="preserve"> szerzett tapasztalatok alapján, az LTE végberendezések interferenciát okozhatnak a </w:t>
      </w:r>
      <w:proofErr w:type="spellStart"/>
      <w:r w:rsidRPr="00375772">
        <w:t>set</w:t>
      </w:r>
      <w:proofErr w:type="spellEnd"/>
      <w:r w:rsidRPr="00375772">
        <w:t xml:space="preserve"> top </w:t>
      </w:r>
      <w:proofErr w:type="spellStart"/>
      <w:r w:rsidRPr="00375772">
        <w:t>box</w:t>
      </w:r>
      <w:proofErr w:type="spellEnd"/>
      <w:r w:rsidRPr="00375772">
        <w:t>-ok működésében (képminőség romlás és adatátviteli hibák), továbbá zavartatást okozhatnak a közelben telepített LTE bázisállomások is.</w:t>
      </w:r>
      <w:r w:rsidRPr="00917A30">
        <w:t xml:space="preserve"> </w:t>
      </w:r>
    </w:p>
    <w:p w14:paraId="3C258C99" w14:textId="7A958A6D" w:rsidR="00CA5369" w:rsidRDefault="00A57A5F" w:rsidP="00A57A5F">
      <w:pPr>
        <w:pStyle w:val="Behzottbekezdsnmhh"/>
      </w:pPr>
      <w:r w:rsidRPr="00FB0D4C">
        <w:t xml:space="preserve">A </w:t>
      </w:r>
      <w:r>
        <w:t>7</w:t>
      </w:r>
      <w:r w:rsidRPr="00FB0D4C">
        <w:t xml:space="preserve">00 MHz-es </w:t>
      </w:r>
      <w:r>
        <w:t>frekvencia</w:t>
      </w:r>
      <w:r w:rsidRPr="00FB0D4C">
        <w:t xml:space="preserve">sávban üzemelő kábeltelevíziós hálózatok és a szélessávú mobil rendszerek zavartalan együttműködéséhez a műszaki előírások maradéktalan betartására (pl. a szabványoknak, </w:t>
      </w:r>
      <w:r>
        <w:t xml:space="preserve">elektromágneses kompatibilitási </w:t>
      </w:r>
      <w:r w:rsidRPr="00FB0D4C">
        <w:t>előírásoknak megfelelő minőségi eszközök, kábelek, modemek alkalmazása, csatlakozási helyek kialakítása, megfelelő vevőkészülékek használata) és a hálózatok gondos tervezésére van szükség. Az interferencia minimalizálása céljából minden érintett szolgáltatónak meg kell tennie a szükséges intézkedéseket az ügyfelek megfelelő tájékoztatására (pl. használati útmutató, tájékoztató) és kölcsönösen együtt kell működnie az esetlegesen fellépő zavartatási problémák mielőbbi megoldása érdekében.</w:t>
      </w:r>
      <w:r>
        <w:t xml:space="preserve"> </w:t>
      </w:r>
    </w:p>
    <w:p w14:paraId="55EC65D1" w14:textId="77777777" w:rsidR="00CA5369" w:rsidRDefault="00CA5369">
      <w:pPr>
        <w:spacing w:after="200"/>
        <w:jc w:val="left"/>
        <w:rPr>
          <w:sz w:val="20"/>
          <w:szCs w:val="20"/>
        </w:rPr>
      </w:pPr>
      <w:r>
        <w:br w:type="page"/>
      </w:r>
    </w:p>
    <w:p w14:paraId="078FAA51" w14:textId="77777777" w:rsidR="00A57A5F" w:rsidRDefault="00A57A5F" w:rsidP="00A57A5F">
      <w:pPr>
        <w:pStyle w:val="Cmsor1szmozottnmhh"/>
        <w:ind w:left="431" w:hanging="431"/>
      </w:pPr>
      <w:bookmarkStart w:id="29" w:name="_Toc473880733"/>
      <w:bookmarkStart w:id="30" w:name="_Toc96001042"/>
      <w:r>
        <w:lastRenderedPageBreak/>
        <w:t>Rádióspektrumdíjak</w:t>
      </w:r>
      <w:bookmarkEnd w:id="29"/>
      <w:bookmarkEnd w:id="30"/>
    </w:p>
    <w:p w14:paraId="2D85AC02" w14:textId="77777777" w:rsidR="00A57A5F" w:rsidRPr="00E8154E" w:rsidRDefault="00A57A5F" w:rsidP="00A57A5F">
      <w:pPr>
        <w:pStyle w:val="Behzottbekezdsnmhh"/>
      </w:pPr>
      <w:r w:rsidRPr="00E8154E">
        <w:t>A rendszeres rádióspektrumdíj számítási módszerét a frekvencialekötés és -használat díjáról szóló 1/2011. (III. 31.) NMHH rendelet (a továbbiakban: Díjrendelet) írja le. Az NFFF alapján blokkgazdálkodás körébe tartozó, szolgáltatás célú és versenyeztetési eljárás eredményeként, a rádióspektrum-használati jogosultság meghosszabbítása eredményeként vagy a rádióspektrum-használati jogosultság megújítása eredményeként szerzett, valamint a szerzést követően továbbértékesített rádióspektrum esetén a rádióspektrum-használati jogosultság időtartama alatt a jogosítottnak a rádióengedély érvényességének a frekvenciahasználati jogosultság megszerzését szolgáló árverés és pályázat szabályairól szóló 4/2011. (X. 6.) NMHH rendelet 22. § (3) bekezdésében meghatározott legkorábbi időpontjától a rádióspektrum-használati jogot szerzőnek havonta sávdíjat kell fizetnie.</w:t>
      </w:r>
    </w:p>
    <w:p w14:paraId="7C24A69C" w14:textId="77777777" w:rsidR="00A57A5F" w:rsidRPr="00E8154E" w:rsidRDefault="00A57A5F" w:rsidP="00A57A5F">
      <w:pPr>
        <w:pStyle w:val="Behzottbekezdsnmhh"/>
      </w:pPr>
      <w:r w:rsidRPr="00E8154E">
        <w:t>A fizetendő sávdíj képzési szabályát a Díjrendeletben a “Blokkgazdálkodás körébe tartozó sávok után fizetendő díjak” címmel szereplő 20. § és a 9. számú melléklet tartalmazza. A sávdíj megállapításához az egységdíjat meg kell szorozni az értékesített, megszerzett sávok kHz-</w:t>
      </w:r>
      <w:proofErr w:type="spellStart"/>
      <w:r w:rsidRPr="00E8154E">
        <w:t>ben</w:t>
      </w:r>
      <w:proofErr w:type="spellEnd"/>
      <w:r w:rsidRPr="00E8154E">
        <w:t xml:space="preserve"> kifejezett összegével és a sávszorzóval. Duplex sáv esetén az értékesített, megszerzett sávok mennyiségének meghatározásakor a sáv mindkét részét figyelembe kell venni. </w:t>
      </w:r>
    </w:p>
    <w:p w14:paraId="25189F5E" w14:textId="77777777" w:rsidR="00A57A5F" w:rsidRDefault="00A57A5F" w:rsidP="00A57A5F">
      <w:pPr>
        <w:pStyle w:val="Behzottbekezdsnmhh"/>
      </w:pPr>
      <w:r>
        <w:t xml:space="preserve">A 700 MHz-es frekvenciasávra vonatkozó sávdíjat meghatározó tényezők a következők: </w:t>
      </w:r>
    </w:p>
    <w:p w14:paraId="3CA693D1" w14:textId="77777777" w:rsidR="00A57A5F" w:rsidRPr="00E8154E" w:rsidRDefault="00A57A5F" w:rsidP="00A57A5F">
      <w:pPr>
        <w:pStyle w:val="Listaszerbekezds"/>
        <w:numPr>
          <w:ilvl w:val="0"/>
          <w:numId w:val="41"/>
        </w:numPr>
        <w:autoSpaceDE w:val="0"/>
        <w:autoSpaceDN w:val="0"/>
        <w:adjustRightInd w:val="0"/>
        <w:spacing w:line="240" w:lineRule="auto"/>
        <w:rPr>
          <w:sz w:val="20"/>
          <w:szCs w:val="20"/>
        </w:rPr>
      </w:pPr>
      <w:r w:rsidRPr="00E8154E">
        <w:rPr>
          <w:sz w:val="20"/>
          <w:szCs w:val="20"/>
        </w:rPr>
        <w:t xml:space="preserve">országos sávhasználat esetére a 694-790 MHz-es sávra megállapított sávszorzó értéke 1, </w:t>
      </w:r>
    </w:p>
    <w:p w14:paraId="5D819B61" w14:textId="77777777" w:rsidR="00A57A5F" w:rsidRPr="00E8154E" w:rsidRDefault="00A57A5F" w:rsidP="00A57A5F">
      <w:pPr>
        <w:pStyle w:val="Listaszerbekezds"/>
        <w:numPr>
          <w:ilvl w:val="0"/>
          <w:numId w:val="41"/>
        </w:numPr>
        <w:autoSpaceDE w:val="0"/>
        <w:autoSpaceDN w:val="0"/>
        <w:adjustRightInd w:val="0"/>
        <w:spacing w:line="240" w:lineRule="auto"/>
        <w:rPr>
          <w:sz w:val="20"/>
          <w:szCs w:val="20"/>
        </w:rPr>
      </w:pPr>
      <w:r w:rsidRPr="00E8154E">
        <w:rPr>
          <w:sz w:val="20"/>
          <w:szCs w:val="20"/>
        </w:rPr>
        <w:t>egységdíj 6500 Ft/kHz/hó.</w:t>
      </w:r>
    </w:p>
    <w:p w14:paraId="5032CC00" w14:textId="50EB16A8" w:rsidR="00A57A5F" w:rsidRDefault="00A57A5F" w:rsidP="00A57A5F">
      <w:pPr>
        <w:pStyle w:val="Behzottbekezdsnmhh"/>
      </w:pPr>
      <w:r>
        <w:t>A 700 MHz-es frekvenciasáv nem polgári célra tervezett részsávjaira a Díjrendelet hatálya, annak 1.</w:t>
      </w:r>
      <w:r w:rsidR="00D642A9">
        <w:t xml:space="preserve"> </w:t>
      </w:r>
      <w:r>
        <w:t>§ (3)-</w:t>
      </w:r>
      <w:proofErr w:type="gramStart"/>
      <w:r>
        <w:t>a</w:t>
      </w:r>
      <w:proofErr w:type="gramEnd"/>
      <w:r>
        <w:t xml:space="preserve"> értelmében nem terjed ki.</w:t>
      </w:r>
    </w:p>
    <w:p w14:paraId="47C90E31" w14:textId="1424F21D" w:rsidR="00A57A5F" w:rsidRPr="00CD2DE7" w:rsidRDefault="00A57A5F" w:rsidP="00A57A5F">
      <w:pPr>
        <w:pStyle w:val="Behzottbekezdsnmhh"/>
      </w:pPr>
      <w:r w:rsidRPr="00CD2DE7">
        <w:t>A Díjrendelet 20.</w:t>
      </w:r>
      <w:r w:rsidR="00D642A9">
        <w:t xml:space="preserve"> </w:t>
      </w:r>
      <w:proofErr w:type="gramStart"/>
      <w:r w:rsidRPr="00CD2DE7">
        <w:t xml:space="preserve">§ (4a) bekezdése szerint az új generációs mobilrádiótelefon-hálózatok kiépítése érdekében a 2019. március 15-ét követően indított versenyeztetési eljárás keretében a 708−733/763−788 MHz frekvenciasávban rádióspektrum-használati jogosultságot szerző vállalkozást a versenyeztetési eljárást lezáró döntés véglegessé válása napját vagy a hatósági szerződés megkötésének napját követő 10 évig a (2) bekezdés alapján meghatározott sávdíjból 50% kedvezmény illeti meg, amennyiben a sávdíjkedvezmény </w:t>
      </w:r>
      <w:r w:rsidR="00D642A9">
        <w:t>–</w:t>
      </w:r>
      <w:r w:rsidRPr="00CD2DE7">
        <w:t xml:space="preserve"> versenyeztetési eljárás kiírási dokumentációjában meghatározott </w:t>
      </w:r>
      <w:r w:rsidR="00D642A9">
        <w:t>–</w:t>
      </w:r>
      <w:r w:rsidRPr="00CD2DE7">
        <w:t xml:space="preserve"> feltételeinek, követelményeinek teljesítésére</w:t>
      </w:r>
      <w:proofErr w:type="gramEnd"/>
      <w:r w:rsidRPr="00CD2DE7">
        <w:t xml:space="preserve"> </w:t>
      </w:r>
      <w:proofErr w:type="gramStart"/>
      <w:r w:rsidRPr="00CD2DE7">
        <w:t>vonatkozó</w:t>
      </w:r>
      <w:proofErr w:type="gramEnd"/>
      <w:r w:rsidRPr="00CD2DE7">
        <w:t xml:space="preserve"> kötelezettségvállalást tartalmazó nyilatkozatban kéri a sávdíjkedvezmény érvényesítését.</w:t>
      </w:r>
    </w:p>
    <w:p w14:paraId="073240C0" w14:textId="686908D1" w:rsidR="00A57A5F" w:rsidRPr="004F64F9" w:rsidRDefault="00A57A5F" w:rsidP="00A57A5F">
      <w:pPr>
        <w:pStyle w:val="Behzottbekezdsnmhh"/>
      </w:pPr>
      <w:r w:rsidRPr="00CD2DE7">
        <w:t>Amennyiben a 700 MHz-es sávban a jelenleg tervezett státuszban lévő 703-708 MHz/758-769 MHz sávrész MFCN céljára kerül elosztásra</w:t>
      </w:r>
      <w:r w:rsidR="00447CA4">
        <w:t xml:space="preserve">, meg kell vizsgálni a </w:t>
      </w:r>
      <w:r w:rsidRPr="00CD2DE7">
        <w:t>sávdíjkedvezmény</w:t>
      </w:r>
      <w:r w:rsidR="00447CA4">
        <w:t xml:space="preserve"> lehetőségének kiterjesztését</w:t>
      </w:r>
      <w:r w:rsidRPr="00CD2DE7">
        <w:t xml:space="preserve"> erre a sávrészre is, </w:t>
      </w:r>
      <w:r>
        <w:t xml:space="preserve">amelyhez </w:t>
      </w:r>
      <w:r w:rsidRPr="00CD2DE7">
        <w:t>a Díjrendelet módosítása szükséges.</w:t>
      </w:r>
    </w:p>
    <w:p w14:paraId="54E1BA74" w14:textId="3FCA463B" w:rsidR="004669A3" w:rsidRPr="004F64F9" w:rsidRDefault="004669A3" w:rsidP="00447CA4">
      <w:pPr>
        <w:pStyle w:val="Cmsor3szmozottnmhh"/>
        <w:keepNext/>
        <w:numPr>
          <w:ilvl w:val="0"/>
          <w:numId w:val="0"/>
        </w:numPr>
        <w:ind w:left="720"/>
      </w:pPr>
    </w:p>
    <w:sectPr w:rsidR="004669A3" w:rsidRPr="004F64F9" w:rsidSect="00F420F3">
      <w:footerReference w:type="default" r:id="rId23"/>
      <w:headerReference w:type="first" r:id="rId24"/>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E359" w14:textId="77777777" w:rsidR="00B400EB" w:rsidRDefault="00B400EB" w:rsidP="006F446C">
      <w:pPr>
        <w:spacing w:after="0" w:line="240" w:lineRule="auto"/>
      </w:pPr>
      <w:r>
        <w:separator/>
      </w:r>
    </w:p>
  </w:endnote>
  <w:endnote w:type="continuationSeparator" w:id="0">
    <w:p w14:paraId="5BBAB55C" w14:textId="77777777" w:rsidR="00B400EB" w:rsidRDefault="00B400EB" w:rsidP="006F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70C5" w14:textId="77777777" w:rsidR="007C0BBE" w:rsidRDefault="007C0BBE">
    <w:r>
      <w:rPr>
        <w:noProof/>
        <w:lang w:eastAsia="hu-HU"/>
      </w:rPr>
      <mc:AlternateContent>
        <mc:Choice Requires="wps">
          <w:drawing>
            <wp:anchor distT="0" distB="0" distL="114300" distR="114300" simplePos="0" relativeHeight="251661312" behindDoc="0" locked="0" layoutInCell="1" allowOverlap="1" wp14:anchorId="4ED6D308" wp14:editId="226AADE7">
              <wp:simplePos x="0" y="0"/>
              <wp:positionH relativeFrom="column">
                <wp:posOffset>4997450</wp:posOffset>
              </wp:positionH>
              <wp:positionV relativeFrom="paragraph">
                <wp:posOffset>153035</wp:posOffset>
              </wp:positionV>
              <wp:extent cx="613410" cy="30226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11965226"/>
                            <w:docPartObj>
                              <w:docPartGallery w:val="Page Numbers (Bottom of Page)"/>
                              <w:docPartUnique/>
                            </w:docPartObj>
                          </w:sdtPr>
                          <w:sdtEndPr/>
                          <w:sdtContent>
                            <w:p w14:paraId="6407772F" w14:textId="0BE275B5" w:rsidR="007C0BBE" w:rsidRPr="00D42662" w:rsidRDefault="007C0BBE" w:rsidP="00A05B70">
                              <w:pPr>
                                <w:jc w:val="right"/>
                                <w:rPr>
                                  <w:sz w:val="16"/>
                                  <w:szCs w:val="16"/>
                                </w:rPr>
                              </w:pPr>
                              <w:r w:rsidRPr="00D42662">
                                <w:rPr>
                                  <w:sz w:val="16"/>
                                  <w:szCs w:val="16"/>
                                </w:rPr>
                                <w:fldChar w:fldCharType="begin"/>
                              </w:r>
                              <w:r w:rsidRPr="00D42662">
                                <w:rPr>
                                  <w:sz w:val="16"/>
                                  <w:szCs w:val="16"/>
                                </w:rPr>
                                <w:instrText xml:space="preserve"> PAGE   \* MERGEFORMAT </w:instrText>
                              </w:r>
                              <w:r w:rsidRPr="00D42662">
                                <w:rPr>
                                  <w:sz w:val="16"/>
                                  <w:szCs w:val="16"/>
                                </w:rPr>
                                <w:fldChar w:fldCharType="separate"/>
                              </w:r>
                              <w:r w:rsidR="005856A9">
                                <w:rPr>
                                  <w:noProof/>
                                  <w:sz w:val="16"/>
                                  <w:szCs w:val="16"/>
                                </w:rPr>
                                <w:t>21</w:t>
                              </w:r>
                              <w:r w:rsidRPr="00D42662">
                                <w:rPr>
                                  <w:noProof/>
                                  <w:sz w:val="16"/>
                                  <w:szCs w:val="16"/>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D6D308" id="_x0000_t202" coordsize="21600,21600" o:spt="202" path="m,l,21600r21600,l21600,xe">
              <v:stroke joinstyle="miter"/>
              <v:path gradientshapeok="t" o:connecttype="rect"/>
            </v:shapetype>
            <v:shape id="Text Box 2" o:spid="_x0000_s1026" type="#_x0000_t202" style="position:absolute;left:0;text-align:left;margin-left:393.5pt;margin-top:12.05pt;width:48.3pt;height:2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b/swIAALg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Bha0b/swIAALgFAAAO&#10;AAAAAAAAAAAAAAAAAC4CAABkcnMvZTJvRG9jLnhtbFBLAQItABQABgAIAAAAIQCuYepo3QAAAAkB&#10;AAAPAAAAAAAAAAAAAAAAAA0FAABkcnMvZG93bnJldi54bWxQSwUGAAAAAAQABADzAAAAFwYAAAAA&#10;" filled="f" stroked="f">
              <v:textbox style="mso-fit-shape-to-text:t">
                <w:txbxContent>
                  <w:sdt>
                    <w:sdtPr>
                      <w:rPr>
                        <w:sz w:val="16"/>
                        <w:szCs w:val="16"/>
                      </w:rPr>
                      <w:id w:val="11965226"/>
                      <w:docPartObj>
                        <w:docPartGallery w:val="Page Numbers (Bottom of Page)"/>
                        <w:docPartUnique/>
                      </w:docPartObj>
                    </w:sdtPr>
                    <w:sdtEndPr/>
                    <w:sdtContent>
                      <w:p w14:paraId="6407772F" w14:textId="0BE275B5" w:rsidR="007C0BBE" w:rsidRPr="00D42662" w:rsidRDefault="007C0BBE" w:rsidP="00A05B70">
                        <w:pPr>
                          <w:jc w:val="right"/>
                          <w:rPr>
                            <w:sz w:val="16"/>
                            <w:szCs w:val="16"/>
                          </w:rPr>
                        </w:pPr>
                        <w:r w:rsidRPr="00D42662">
                          <w:rPr>
                            <w:sz w:val="16"/>
                            <w:szCs w:val="16"/>
                          </w:rPr>
                          <w:fldChar w:fldCharType="begin"/>
                        </w:r>
                        <w:r w:rsidRPr="00D42662">
                          <w:rPr>
                            <w:sz w:val="16"/>
                            <w:szCs w:val="16"/>
                          </w:rPr>
                          <w:instrText xml:space="preserve"> PAGE   \* MERGEFORMAT </w:instrText>
                        </w:r>
                        <w:r w:rsidRPr="00D42662">
                          <w:rPr>
                            <w:sz w:val="16"/>
                            <w:szCs w:val="16"/>
                          </w:rPr>
                          <w:fldChar w:fldCharType="separate"/>
                        </w:r>
                        <w:r w:rsidR="005856A9">
                          <w:rPr>
                            <w:noProof/>
                            <w:sz w:val="16"/>
                            <w:szCs w:val="16"/>
                          </w:rPr>
                          <w:t>21</w:t>
                        </w:r>
                        <w:r w:rsidRPr="00D42662">
                          <w:rPr>
                            <w:noProof/>
                            <w:sz w:val="16"/>
                            <w:szCs w:val="16"/>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1B1B2" w14:textId="77777777" w:rsidR="00B400EB" w:rsidRDefault="00B400EB" w:rsidP="006F446C">
      <w:pPr>
        <w:spacing w:after="0" w:line="240" w:lineRule="auto"/>
      </w:pPr>
      <w:r>
        <w:separator/>
      </w:r>
    </w:p>
  </w:footnote>
  <w:footnote w:type="continuationSeparator" w:id="0">
    <w:p w14:paraId="58EBCB8C" w14:textId="77777777" w:rsidR="00B400EB" w:rsidRDefault="00B400EB" w:rsidP="006F446C">
      <w:pPr>
        <w:spacing w:after="0" w:line="240" w:lineRule="auto"/>
      </w:pPr>
      <w:r>
        <w:continuationSeparator/>
      </w:r>
    </w:p>
  </w:footnote>
  <w:footnote w:id="1">
    <w:p w14:paraId="150FD83A" w14:textId="77777777" w:rsidR="007C0BBE" w:rsidRPr="0084499F" w:rsidRDefault="007C0BBE" w:rsidP="0092764E">
      <w:pPr>
        <w:pStyle w:val="Lbjegyzetszveg"/>
        <w:tabs>
          <w:tab w:val="left" w:pos="0"/>
        </w:tabs>
        <w:rPr>
          <w:rStyle w:val="Lbjegyzet-hivatkozs"/>
          <w:rFonts w:ascii="Arial" w:hAnsi="Arial" w:cs="Arial"/>
          <w:szCs w:val="18"/>
        </w:rPr>
      </w:pPr>
      <w:r w:rsidRPr="00B941DA">
        <w:rPr>
          <w:rStyle w:val="Lbjegyzet-hivatkozs"/>
          <w:rFonts w:ascii="Arial" w:hAnsi="Arial" w:cs="Arial"/>
          <w:szCs w:val="18"/>
        </w:rPr>
        <w:footnoteRef/>
      </w:r>
      <w:r w:rsidRPr="00B941DA">
        <w:rPr>
          <w:rStyle w:val="Lbjegyzet-hivatkozs"/>
          <w:rFonts w:ascii="Arial" w:hAnsi="Arial" w:cs="Arial"/>
          <w:szCs w:val="18"/>
        </w:rPr>
        <w:t xml:space="preserve"> </w:t>
      </w:r>
      <w:r w:rsidRPr="0084499F">
        <w:rPr>
          <w:rStyle w:val="Lbjegyzet-hivatkozs"/>
        </w:rPr>
        <w:t>MFCN:</w:t>
      </w:r>
      <w:r>
        <w:rPr>
          <w:rFonts w:ascii="Arial" w:hAnsi="Arial" w:cs="Arial"/>
          <w:szCs w:val="18"/>
        </w:rPr>
        <w:t xml:space="preserve"> </w:t>
      </w:r>
      <w:r w:rsidRPr="0084499F">
        <w:rPr>
          <w:rStyle w:val="Lbjegyzet-hivatkozs"/>
          <w:rFonts w:ascii="Arial" w:hAnsi="Arial" w:cs="Arial"/>
          <w:szCs w:val="18"/>
        </w:rPr>
        <w:t xml:space="preserve">Mobile/Fixed </w:t>
      </w:r>
      <w:proofErr w:type="spellStart"/>
      <w:r w:rsidRPr="0084499F">
        <w:rPr>
          <w:rStyle w:val="Lbjegyzet-hivatkozs"/>
          <w:rFonts w:ascii="Arial" w:hAnsi="Arial" w:cs="Arial"/>
          <w:szCs w:val="18"/>
        </w:rPr>
        <w:t>Communications</w:t>
      </w:r>
      <w:proofErr w:type="spellEnd"/>
      <w:r w:rsidRPr="0084499F">
        <w:rPr>
          <w:rStyle w:val="Lbjegyzet-hivatkozs"/>
          <w:rFonts w:ascii="Arial" w:hAnsi="Arial" w:cs="Arial"/>
          <w:szCs w:val="18"/>
        </w:rPr>
        <w:t xml:space="preserve"> </w:t>
      </w:r>
      <w:proofErr w:type="spellStart"/>
      <w:r w:rsidRPr="0084499F">
        <w:rPr>
          <w:rStyle w:val="Lbjegyzet-hivatkozs"/>
          <w:rFonts w:ascii="Arial" w:hAnsi="Arial" w:cs="Arial"/>
          <w:szCs w:val="18"/>
        </w:rPr>
        <w:t>Networks</w:t>
      </w:r>
      <w:proofErr w:type="spellEnd"/>
      <w:r w:rsidRPr="0084499F">
        <w:rPr>
          <w:rStyle w:val="Lbjegyzet-hivatkozs"/>
        </w:rPr>
        <w:t xml:space="preserve"> </w:t>
      </w:r>
      <w:r w:rsidRPr="00300D30">
        <w:t xml:space="preserve">- </w:t>
      </w:r>
      <w:r>
        <w:rPr>
          <w:rStyle w:val="Lbjegyzet-hivatkozs"/>
        </w:rPr>
        <w:t>M</w:t>
      </w:r>
      <w:r w:rsidRPr="00DF7F25">
        <w:rPr>
          <w:rStyle w:val="Lbjegyzet-hivatkozs"/>
        </w:rPr>
        <w:t>ozgó/állandóhelyű hírközlési hálózatok</w:t>
      </w:r>
      <w:r w:rsidRPr="00300D30">
        <w:t xml:space="preserve"> </w:t>
      </w:r>
      <w:r w:rsidRPr="00300D30">
        <w:rPr>
          <w:rStyle w:val="Lbjegyzet-hivatkozs"/>
        </w:rPr>
        <w:t>(Az</w:t>
      </w:r>
      <w:r w:rsidRPr="00300D30">
        <w:rPr>
          <w:rFonts w:ascii="Arial" w:hAnsi="Arial" w:cs="Arial"/>
          <w:szCs w:val="18"/>
          <w:vertAlign w:val="superscript"/>
        </w:rPr>
        <w:t xml:space="preserve"> állandóhelyű és</w:t>
      </w:r>
      <w:r w:rsidRPr="0087208C">
        <w:rPr>
          <w:rFonts w:ascii="Arial" w:hAnsi="Arial" w:cs="Arial"/>
          <w:szCs w:val="18"/>
          <w:vertAlign w:val="superscript"/>
        </w:rPr>
        <w:t xml:space="preserve"> a mozgó vezetéknélküli kommunikációs szolgálatok konvergenciája kapcsán a CEPT szabályozásában bevezetésre került az MFCN (Mobile/Fixed </w:t>
      </w:r>
      <w:proofErr w:type="spellStart"/>
      <w:r w:rsidRPr="0087208C">
        <w:rPr>
          <w:rFonts w:ascii="Arial" w:hAnsi="Arial" w:cs="Arial"/>
          <w:szCs w:val="18"/>
          <w:vertAlign w:val="superscript"/>
        </w:rPr>
        <w:t>Communication</w:t>
      </w:r>
      <w:proofErr w:type="spellEnd"/>
      <w:r w:rsidRPr="0087208C">
        <w:rPr>
          <w:rFonts w:ascii="Arial" w:hAnsi="Arial" w:cs="Arial"/>
          <w:szCs w:val="18"/>
          <w:vertAlign w:val="superscript"/>
        </w:rPr>
        <w:t xml:space="preserve"> </w:t>
      </w:r>
      <w:proofErr w:type="spellStart"/>
      <w:r w:rsidRPr="0087208C">
        <w:rPr>
          <w:rFonts w:ascii="Arial" w:hAnsi="Arial" w:cs="Arial"/>
          <w:szCs w:val="18"/>
          <w:vertAlign w:val="superscript"/>
        </w:rPr>
        <w:t>Networks</w:t>
      </w:r>
      <w:proofErr w:type="spellEnd"/>
      <w:r w:rsidRPr="0087208C">
        <w:rPr>
          <w:rFonts w:ascii="Arial" w:hAnsi="Arial" w:cs="Arial"/>
          <w:szCs w:val="18"/>
          <w:vertAlign w:val="superscript"/>
        </w:rPr>
        <w:t>) gyűjtőfogalom</w:t>
      </w:r>
      <w:r>
        <w:rPr>
          <w:rFonts w:ascii="Arial" w:hAnsi="Arial" w:cs="Arial"/>
          <w:szCs w:val="18"/>
          <w:vertAlign w:val="superscript"/>
        </w:rPr>
        <w:t>. I</w:t>
      </w:r>
      <w:r w:rsidRPr="0087208C">
        <w:rPr>
          <w:rFonts w:ascii="Arial" w:hAnsi="Arial" w:cs="Arial"/>
          <w:szCs w:val="18"/>
          <w:vertAlign w:val="superscript"/>
        </w:rPr>
        <w:t xml:space="preserve">de tartoznak az ITU szóhasználat szerinti IMT (International Mobile </w:t>
      </w:r>
      <w:proofErr w:type="spellStart"/>
      <w:r w:rsidRPr="0087208C">
        <w:rPr>
          <w:rFonts w:ascii="Arial" w:hAnsi="Arial" w:cs="Arial"/>
          <w:szCs w:val="18"/>
          <w:vertAlign w:val="superscript"/>
        </w:rPr>
        <w:t>Telecommunication</w:t>
      </w:r>
      <w:proofErr w:type="spellEnd"/>
      <w:r w:rsidRPr="0087208C">
        <w:rPr>
          <w:rFonts w:ascii="Arial" w:hAnsi="Arial" w:cs="Arial"/>
          <w:szCs w:val="18"/>
          <w:vertAlign w:val="superscript"/>
        </w:rPr>
        <w:t>)</w:t>
      </w:r>
      <w:r>
        <w:rPr>
          <w:rFonts w:ascii="Arial" w:hAnsi="Arial" w:cs="Arial"/>
          <w:szCs w:val="18"/>
          <w:vertAlign w:val="superscript"/>
        </w:rPr>
        <w:t xml:space="preserve"> rendszerek is.)</w:t>
      </w:r>
      <w:r w:rsidRPr="0087208C">
        <w:rPr>
          <w:rFonts w:ascii="Arial" w:hAnsi="Arial" w:cs="Arial"/>
          <w:szCs w:val="18"/>
          <w:vertAlign w:val="superscript"/>
        </w:rPr>
        <w:t xml:space="preserve"> </w:t>
      </w:r>
    </w:p>
  </w:footnote>
  <w:footnote w:id="2">
    <w:p w14:paraId="1BE6D6A1" w14:textId="77777777" w:rsidR="007C0BBE" w:rsidRPr="0084499F" w:rsidRDefault="007C0BBE" w:rsidP="00A369CF">
      <w:pPr>
        <w:pStyle w:val="Lbjegyzetszveg"/>
        <w:tabs>
          <w:tab w:val="left" w:pos="0"/>
        </w:tabs>
        <w:rPr>
          <w:rStyle w:val="Lbjegyzet-hivatkozs"/>
        </w:rPr>
      </w:pPr>
      <w:r w:rsidRPr="0070634E">
        <w:rPr>
          <w:rStyle w:val="Lbjegyzet-hivatkozs"/>
          <w:rFonts w:ascii="Arial" w:hAnsi="Arial" w:cs="Arial"/>
          <w:szCs w:val="18"/>
          <w:lang w:val="en-GB"/>
        </w:rPr>
        <w:footnoteRef/>
      </w:r>
      <w:r w:rsidRPr="00DF7F25">
        <w:rPr>
          <w:rStyle w:val="Lbjegyzet-hivatkozs"/>
        </w:rPr>
        <w:t>BB-PPDR:</w:t>
      </w:r>
      <w:r w:rsidRPr="0084499F">
        <w:rPr>
          <w:rFonts w:ascii="Arial" w:hAnsi="Arial" w:cs="Arial"/>
          <w:szCs w:val="18"/>
        </w:rPr>
        <w:t xml:space="preserve"> </w:t>
      </w:r>
      <w:r w:rsidRPr="0084499F">
        <w:rPr>
          <w:rStyle w:val="Lbjegyzet-hivatkozs"/>
          <w:rFonts w:ascii="Arial" w:hAnsi="Arial" w:cs="Arial"/>
          <w:szCs w:val="18"/>
        </w:rPr>
        <w:t xml:space="preserve"> </w:t>
      </w:r>
      <w:proofErr w:type="spellStart"/>
      <w:r w:rsidRPr="0084499F">
        <w:rPr>
          <w:rStyle w:val="Lbjegyzet-hivatkozs"/>
        </w:rPr>
        <w:t>Broadband</w:t>
      </w:r>
      <w:proofErr w:type="spellEnd"/>
      <w:r w:rsidRPr="0084499F">
        <w:rPr>
          <w:rStyle w:val="Lbjegyzet-hivatkozs"/>
        </w:rPr>
        <w:t xml:space="preserve">: Public </w:t>
      </w:r>
      <w:proofErr w:type="spellStart"/>
      <w:r w:rsidRPr="0084499F">
        <w:rPr>
          <w:rStyle w:val="Lbjegyzet-hivatkozs"/>
        </w:rPr>
        <w:t>Protection</w:t>
      </w:r>
      <w:proofErr w:type="spellEnd"/>
      <w:r w:rsidRPr="0084499F">
        <w:rPr>
          <w:rStyle w:val="Lbjegyzet-hivatkozs"/>
        </w:rPr>
        <w:t xml:space="preserve"> and </w:t>
      </w:r>
      <w:proofErr w:type="spellStart"/>
      <w:r w:rsidRPr="0084499F">
        <w:rPr>
          <w:rStyle w:val="Lbjegyzet-hivatkozs"/>
        </w:rPr>
        <w:t>Disaster</w:t>
      </w:r>
      <w:proofErr w:type="spellEnd"/>
      <w:r w:rsidRPr="0084499F">
        <w:rPr>
          <w:rStyle w:val="Lbjegyzet-hivatkozs"/>
        </w:rPr>
        <w:t xml:space="preserve"> Relief </w:t>
      </w:r>
      <w:r w:rsidRPr="00DF7F25">
        <w:rPr>
          <w:rStyle w:val="Lbjegyzet-hivatkozs"/>
        </w:rPr>
        <w:t xml:space="preserve"> - Közrendvédelem és katasztrófavédelem</w:t>
      </w:r>
    </w:p>
  </w:footnote>
  <w:footnote w:id="3">
    <w:p w14:paraId="01C4A2C1" w14:textId="77777777" w:rsidR="007C0BBE" w:rsidRPr="004A459F" w:rsidRDefault="007C0BBE" w:rsidP="00A369CF">
      <w:pPr>
        <w:pStyle w:val="Lbjegyzetszveg"/>
        <w:tabs>
          <w:tab w:val="left" w:pos="0"/>
        </w:tabs>
        <w:rPr>
          <w:rStyle w:val="Lbjegyzet-hivatkozs"/>
          <w:lang w:val="en-GB"/>
        </w:rPr>
      </w:pPr>
      <w:r w:rsidRPr="004A459F">
        <w:rPr>
          <w:rStyle w:val="Lbjegyzet-hivatkozs"/>
          <w:lang w:val="en-GB"/>
        </w:rPr>
        <w:footnoteRef/>
      </w:r>
      <w:r w:rsidRPr="004A459F">
        <w:rPr>
          <w:rStyle w:val="Lbjegyzet-hivatkozs"/>
          <w:lang w:val="en-GB"/>
        </w:rPr>
        <w:t xml:space="preserve"> </w:t>
      </w:r>
      <w:r w:rsidRPr="004A459F">
        <w:rPr>
          <w:rStyle w:val="Lbjegyzet-hivatkozs"/>
        </w:rPr>
        <w:t xml:space="preserve">SDL: </w:t>
      </w:r>
      <w:r w:rsidRPr="0070634E">
        <w:rPr>
          <w:rStyle w:val="Lbjegyzet-hivatkozs"/>
          <w:lang w:val="en-GB"/>
        </w:rPr>
        <w:t xml:space="preserve">Supplemental Downlink </w:t>
      </w:r>
      <w:r w:rsidRPr="004A459F">
        <w:rPr>
          <w:rStyle w:val="Lbjegyzet-hivatkozs"/>
        </w:rPr>
        <w:t>– kiegészítő lemenő irányú összeköttetés</w:t>
      </w:r>
    </w:p>
  </w:footnote>
  <w:footnote w:id="4">
    <w:p w14:paraId="6FA4656E" w14:textId="77777777" w:rsidR="007C0BBE" w:rsidRPr="00CF1845" w:rsidRDefault="007C0BBE" w:rsidP="007F66E7">
      <w:pPr>
        <w:pStyle w:val="Lbjegyzetszveg"/>
        <w:tabs>
          <w:tab w:val="left" w:pos="0"/>
        </w:tabs>
        <w:rPr>
          <w:rStyle w:val="Lbjegyzet-hivatkozs"/>
          <w:rFonts w:ascii="Arial" w:hAnsi="Arial" w:cs="Arial"/>
          <w:szCs w:val="18"/>
          <w:lang w:val="en-GB"/>
        </w:rPr>
      </w:pPr>
      <w:r w:rsidRPr="00CF1845">
        <w:rPr>
          <w:rStyle w:val="Lbjegyzet-hivatkozs"/>
          <w:rFonts w:ascii="Arial" w:hAnsi="Arial" w:cs="Arial"/>
          <w:szCs w:val="18"/>
          <w:lang w:val="en-GB"/>
        </w:rPr>
        <w:footnoteRef/>
      </w:r>
      <w:r>
        <w:rPr>
          <w:rStyle w:val="Lbjegyzet-hivatkozs"/>
          <w:rFonts w:ascii="Arial" w:hAnsi="Arial" w:cs="Arial"/>
          <w:szCs w:val="18"/>
          <w:lang w:val="en-GB"/>
        </w:rPr>
        <w:t xml:space="preserve"> PMSE: Programme Making and Special Events</w:t>
      </w:r>
      <w:r w:rsidRPr="00CF1845">
        <w:rPr>
          <w:rStyle w:val="Lbjegyzet-hivatkozs"/>
          <w:rFonts w:ascii="Arial" w:hAnsi="Arial" w:cs="Arial"/>
          <w:szCs w:val="18"/>
          <w:lang w:val="en-GB"/>
        </w:rPr>
        <w:t xml:space="preserve"> –</w:t>
      </w:r>
      <w:r w:rsidRPr="00056B50">
        <w:rPr>
          <w:rStyle w:val="Lbjegyzet-hivatkozs"/>
        </w:rPr>
        <w:t xml:space="preserve"> Műsorgyártás és különleges események</w:t>
      </w:r>
    </w:p>
  </w:footnote>
  <w:footnote w:id="5">
    <w:p w14:paraId="10D42A52" w14:textId="77777777" w:rsidR="007C0BBE" w:rsidRPr="007A6D52" w:rsidRDefault="007C0BBE" w:rsidP="00A369CF">
      <w:pPr>
        <w:pStyle w:val="Lbjegyzetszveg"/>
        <w:tabs>
          <w:tab w:val="left" w:pos="0"/>
        </w:tabs>
        <w:rPr>
          <w:rStyle w:val="Lbjegyzet-hivatkozs"/>
          <w:lang w:val="en-GB"/>
        </w:rPr>
      </w:pPr>
      <w:r w:rsidRPr="007A6D52">
        <w:rPr>
          <w:rStyle w:val="Lbjegyzet-hivatkozs"/>
          <w:lang w:val="en-GB"/>
        </w:rPr>
        <w:footnoteRef/>
      </w:r>
      <w:r w:rsidRPr="007A6D52">
        <w:rPr>
          <w:rStyle w:val="Lbjegyzet-hivatkozs"/>
          <w:lang w:val="en-GB"/>
        </w:rPr>
        <w:t xml:space="preserve"> </w:t>
      </w:r>
      <w:r w:rsidRPr="007A6D52">
        <w:rPr>
          <w:rStyle w:val="Lbjegyzet-hivatkozs"/>
        </w:rPr>
        <w:t xml:space="preserve">M2M: </w:t>
      </w:r>
      <w:r w:rsidRPr="0070634E">
        <w:rPr>
          <w:rStyle w:val="Lbjegyzet-hivatkozs"/>
          <w:lang w:val="en-GB"/>
        </w:rPr>
        <w:t>Machine to Machine</w:t>
      </w:r>
      <w:r w:rsidRPr="007A6D52">
        <w:rPr>
          <w:rStyle w:val="Lbjegyzet-hivatkozs"/>
        </w:rPr>
        <w:t xml:space="preserve"> – gépek közötti kommunikáció</w:t>
      </w:r>
      <w:r w:rsidRPr="0070634E">
        <w:rPr>
          <w:rStyle w:val="Lbjegyzet-hivatkozs"/>
          <w:lang w:val="en-GB"/>
        </w:rPr>
        <w:t xml:space="preserve"> </w:t>
      </w:r>
    </w:p>
  </w:footnote>
  <w:footnote w:id="6">
    <w:p w14:paraId="0A355839" w14:textId="77777777" w:rsidR="007C0BBE" w:rsidRDefault="007C0BBE" w:rsidP="00572F49">
      <w:pPr>
        <w:pStyle w:val="Lbjegyzetszveg"/>
        <w:tabs>
          <w:tab w:val="left" w:pos="0"/>
        </w:tabs>
      </w:pPr>
      <w:r w:rsidRPr="007A6D52">
        <w:rPr>
          <w:rStyle w:val="Lbjegyzet-hivatkozs"/>
          <w:rFonts w:ascii="Arial" w:hAnsi="Arial" w:cs="Arial"/>
          <w:szCs w:val="18"/>
        </w:rPr>
        <w:footnoteRef/>
      </w:r>
      <w:r w:rsidRPr="00623F00">
        <w:rPr>
          <w:rStyle w:val="Lbjegyzet-hivatkozs"/>
          <w:rFonts w:ascii="Arial" w:hAnsi="Arial" w:cs="Arial"/>
          <w:szCs w:val="18"/>
        </w:rPr>
        <w:t xml:space="preserve"> </w:t>
      </w:r>
      <w:r w:rsidRPr="00623F00">
        <w:rPr>
          <w:rStyle w:val="Lbjegyzet-hivatkozs"/>
          <w:rFonts w:ascii="Arial" w:hAnsi="Arial"/>
          <w:szCs w:val="18"/>
        </w:rPr>
        <w:t xml:space="preserve">a VHF III. sáv (174-230 MHz) és az UHF sáv (470-790 MHz) hasznosításáról szóló Nemzeti Ütemtervet, melyet </w:t>
      </w:r>
      <w:r w:rsidRPr="00796B79">
        <w:rPr>
          <w:rStyle w:val="Lbjegyzet-hivatkozs"/>
        </w:rPr>
        <w:t xml:space="preserve">az NMHH </w:t>
      </w:r>
      <w:r w:rsidRPr="00623F00">
        <w:rPr>
          <w:rStyle w:val="Lbjegyzet-hivatkozs"/>
          <w:rFonts w:ascii="Arial" w:hAnsi="Arial"/>
          <w:szCs w:val="18"/>
        </w:rPr>
        <w:t xml:space="preserve">2017. szeptember 8-án tett közzé honlapján: </w:t>
      </w:r>
      <w:hyperlink r:id="rId1" w:history="1">
        <w:r w:rsidRPr="00623F00">
          <w:rPr>
            <w:rStyle w:val="Lbjegyzet-hivatkozs"/>
            <w:rFonts w:ascii="Arial" w:hAnsi="Arial"/>
            <w:szCs w:val="18"/>
          </w:rPr>
          <w:t>http://nmhh.hu/dokumentum/189921/uhf_nemzeti_utemterv.pdf</w:t>
        </w:r>
      </w:hyperlink>
      <w:r w:rsidRPr="00623F00">
        <w:rPr>
          <w:rStyle w:val="Lbjegyzet-hivatkozs"/>
          <w:rFonts w:ascii="Arial" w:hAnsi="Arial"/>
          <w:szCs w:val="18"/>
        </w:rPr>
        <w:t xml:space="preserve"> </w:t>
      </w:r>
    </w:p>
  </w:footnote>
  <w:footnote w:id="7">
    <w:p w14:paraId="2A5D51A4" w14:textId="77777777" w:rsidR="007C0BBE" w:rsidRPr="00163AC8" w:rsidRDefault="007C0BBE" w:rsidP="0055639E">
      <w:pPr>
        <w:pStyle w:val="Lbjegyzetszveg"/>
      </w:pPr>
      <w:r w:rsidRPr="00163AC8">
        <w:rPr>
          <w:rStyle w:val="Lbjegyzet-hivatkozs"/>
        </w:rPr>
        <w:footnoteRef/>
      </w:r>
      <w:r w:rsidRPr="00197020">
        <w:rPr>
          <w:rStyle w:val="Lbjegyzet-hivatkozs"/>
          <w:rFonts w:ascii="Arial" w:hAnsi="Arial" w:cs="Arial"/>
          <w:szCs w:val="18"/>
        </w:rPr>
        <w:t>(EU) 2016/687: A Bizottság (EU) 2016/687 végrehajtási határozata (2016. április 28.) a 694–790 MHz frekvenciasávnak az Unión belül vezeték nélküli szélessávú elektronikus hírközlési szolgáltatások nyújtására alkalmas földfelszíni rendszerek számára és a rugalmas nemzeti használat érdekében történő harmonizálásáról</w:t>
      </w:r>
    </w:p>
  </w:footnote>
  <w:footnote w:id="8">
    <w:p w14:paraId="5911D9F7" w14:textId="77777777" w:rsidR="007C0BBE" w:rsidRPr="00163AC8" w:rsidRDefault="007C0BBE" w:rsidP="0055639E">
      <w:pPr>
        <w:pStyle w:val="Lbjegyzetszveg"/>
      </w:pPr>
      <w:r w:rsidRPr="00163AC8">
        <w:rPr>
          <w:rStyle w:val="Lbjegyzet-hivatkozs"/>
        </w:rPr>
        <w:footnoteRef/>
      </w:r>
      <w:r w:rsidRPr="00163AC8">
        <w:t xml:space="preserve"> </w:t>
      </w:r>
      <w:r w:rsidRPr="00197020">
        <w:rPr>
          <w:rStyle w:val="Lbjegyzet-hivatkozs"/>
          <w:rFonts w:ascii="Arial" w:hAnsi="Arial" w:cs="Arial"/>
          <w:szCs w:val="18"/>
        </w:rPr>
        <w:t>(EU) 2017/899: Az Európai Parlament és a Tanács (EU) 2017/899 határozata (2017. május 17) a 470–790 MHz frekvenciasáv Unión belüli használatáról</w:t>
      </w:r>
    </w:p>
  </w:footnote>
  <w:footnote w:id="9">
    <w:p w14:paraId="2794E099" w14:textId="77777777" w:rsidR="007C0BBE" w:rsidRPr="00247A9A" w:rsidRDefault="007C0BBE" w:rsidP="00080C5C">
      <w:pPr>
        <w:pStyle w:val="Default"/>
        <w:rPr>
          <w:rStyle w:val="Lbjegyzet-hivatkozs"/>
          <w:rFonts w:cstheme="minorHAnsi"/>
          <w:sz w:val="22"/>
          <w:szCs w:val="18"/>
        </w:rPr>
      </w:pPr>
      <w:r w:rsidRPr="007979B8">
        <w:rPr>
          <w:rStyle w:val="Lbjegyzet-hivatkozs"/>
          <w:rFonts w:asciiTheme="minorHAnsi" w:hAnsiTheme="minorHAnsi" w:cstheme="minorBidi"/>
          <w:color w:val="auto"/>
          <w:sz w:val="20"/>
          <w:szCs w:val="18"/>
        </w:rPr>
        <w:footnoteRef/>
      </w:r>
      <w:r w:rsidRPr="007979B8">
        <w:rPr>
          <w:rStyle w:val="Lbjegyzet-hivatkozs"/>
          <w:rFonts w:asciiTheme="minorHAnsi" w:hAnsiTheme="minorHAnsi" w:cstheme="minorBidi"/>
          <w:color w:val="auto"/>
          <w:sz w:val="20"/>
          <w:szCs w:val="18"/>
        </w:rPr>
        <w:t xml:space="preserve"> </w:t>
      </w:r>
      <w:r w:rsidRPr="00163AC8">
        <w:rPr>
          <w:rStyle w:val="Lbjegyzet-hivatkozs"/>
          <w:rFonts w:asciiTheme="minorHAnsi" w:hAnsiTheme="minorHAnsi" w:cstheme="minorBidi"/>
          <w:color w:val="auto"/>
          <w:sz w:val="20"/>
          <w:szCs w:val="18"/>
        </w:rPr>
        <w:t>A Bizottság közleménye az Európai Parlamentnek, a Tanácsnak, az Európai Gazdasági és Szociális Bizottságnak és a Régiók Bizottságának – 5G Európának Cselekvési terv COM</w:t>
      </w:r>
      <w:r w:rsidRPr="002523A0">
        <w:rPr>
          <w:rStyle w:val="Lbjegyzet-hivatkozs"/>
          <w:rFonts w:asciiTheme="minorHAnsi" w:hAnsiTheme="minorHAnsi" w:cstheme="minorBidi"/>
          <w:color w:val="auto"/>
          <w:sz w:val="20"/>
          <w:szCs w:val="18"/>
          <w:lang w:val="en-GB"/>
        </w:rPr>
        <w:t>(2016) 588</w:t>
      </w:r>
      <w:r>
        <w:rPr>
          <w:rStyle w:val="Lbjegyzet-hivatkozs"/>
          <w:rFonts w:asciiTheme="minorHAnsi" w:hAnsiTheme="minorHAnsi" w:cstheme="minorBidi"/>
          <w:color w:val="auto"/>
          <w:sz w:val="20"/>
          <w:szCs w:val="18"/>
          <w:lang w:val="en-GB"/>
        </w:rPr>
        <w:t xml:space="preserve"> </w:t>
      </w:r>
    </w:p>
  </w:footnote>
  <w:footnote w:id="10">
    <w:p w14:paraId="15791BA9" w14:textId="77777777" w:rsidR="007C0BBE" w:rsidRPr="00247A9A" w:rsidRDefault="007C0BBE" w:rsidP="00080C5C">
      <w:pPr>
        <w:pStyle w:val="Lbjegyzetszveg"/>
        <w:jc w:val="both"/>
        <w:rPr>
          <w:rStyle w:val="Lbjegyzet-hivatkozs"/>
          <w:szCs w:val="18"/>
        </w:rPr>
      </w:pPr>
      <w:r w:rsidRPr="00247A9A">
        <w:rPr>
          <w:rStyle w:val="Lbjegyzet-hivatkozs"/>
          <w:szCs w:val="18"/>
        </w:rPr>
        <w:footnoteRef/>
      </w:r>
      <w:r w:rsidRPr="00247A9A">
        <w:rPr>
          <w:rStyle w:val="Lbjegyzet-hivatkozs"/>
          <w:szCs w:val="18"/>
        </w:rPr>
        <w:t xml:space="preserve"> </w:t>
      </w:r>
      <w:r w:rsidRPr="0084499F">
        <w:rPr>
          <w:rStyle w:val="Lbjegyzet-hivatkozs"/>
        </w:rPr>
        <w:t xml:space="preserve">RADIO SPECTRUM POLICY GROUP STRATEGIC ROADMAP TOWARDS 5G FOR EUROPE </w:t>
      </w:r>
      <w:proofErr w:type="spellStart"/>
      <w:r w:rsidRPr="0084499F">
        <w:rPr>
          <w:rStyle w:val="Lbjegyzet-hivatkozs"/>
        </w:rPr>
        <w:t>Opinion</w:t>
      </w:r>
      <w:proofErr w:type="spellEnd"/>
      <w:r w:rsidRPr="0084499F">
        <w:rPr>
          <w:rStyle w:val="Lbjegyzet-hivatkozs"/>
        </w:rPr>
        <w:t xml:space="preserve"> </w:t>
      </w:r>
      <w:proofErr w:type="spellStart"/>
      <w:r w:rsidRPr="0084499F">
        <w:rPr>
          <w:rStyle w:val="Lbjegyzet-hivatkozs"/>
        </w:rPr>
        <w:t>on</w:t>
      </w:r>
      <w:proofErr w:type="spellEnd"/>
      <w:r w:rsidRPr="0084499F">
        <w:rPr>
          <w:rStyle w:val="Lbjegyzet-hivatkozs"/>
        </w:rPr>
        <w:t xml:space="preserve"> </w:t>
      </w:r>
      <w:proofErr w:type="spellStart"/>
      <w:r w:rsidRPr="0084499F">
        <w:rPr>
          <w:rStyle w:val="Lbjegyzet-hivatkozs"/>
        </w:rPr>
        <w:t>spectrum</w:t>
      </w:r>
      <w:proofErr w:type="spellEnd"/>
      <w:r w:rsidRPr="0084499F">
        <w:rPr>
          <w:rStyle w:val="Lbjegyzet-hivatkozs"/>
        </w:rPr>
        <w:t xml:space="preserve"> </w:t>
      </w:r>
      <w:proofErr w:type="spellStart"/>
      <w:r w:rsidRPr="0084499F">
        <w:rPr>
          <w:rStyle w:val="Lbjegyzet-hivatkozs"/>
        </w:rPr>
        <w:t>related</w:t>
      </w:r>
      <w:proofErr w:type="spellEnd"/>
      <w:r w:rsidRPr="0084499F">
        <w:rPr>
          <w:rStyle w:val="Lbjegyzet-hivatkozs"/>
        </w:rPr>
        <w:t xml:space="preserve"> </w:t>
      </w:r>
      <w:proofErr w:type="spellStart"/>
      <w:r w:rsidRPr="0084499F">
        <w:rPr>
          <w:rStyle w:val="Lbjegyzet-hivatkozs"/>
        </w:rPr>
        <w:t>aspects</w:t>
      </w:r>
      <w:proofErr w:type="spellEnd"/>
      <w:r w:rsidRPr="0084499F">
        <w:rPr>
          <w:rStyle w:val="Lbjegyzet-hivatkozs"/>
        </w:rPr>
        <w:t xml:space="preserve"> </w:t>
      </w:r>
      <w:proofErr w:type="spellStart"/>
      <w:r w:rsidRPr="0084499F">
        <w:rPr>
          <w:rStyle w:val="Lbjegyzet-hivatkozs"/>
        </w:rPr>
        <w:t>for</w:t>
      </w:r>
      <w:proofErr w:type="spellEnd"/>
      <w:r w:rsidRPr="0084499F">
        <w:rPr>
          <w:rStyle w:val="Lbjegyzet-hivatkozs"/>
        </w:rPr>
        <w:t xml:space="preserve"> </w:t>
      </w:r>
      <w:proofErr w:type="spellStart"/>
      <w:r w:rsidRPr="0084499F">
        <w:rPr>
          <w:rStyle w:val="Lbjegyzet-hivatkozs"/>
        </w:rPr>
        <w:t>next-generation</w:t>
      </w:r>
      <w:proofErr w:type="spellEnd"/>
      <w:r w:rsidRPr="0084499F">
        <w:rPr>
          <w:rStyle w:val="Lbjegyzet-hivatkozs"/>
        </w:rPr>
        <w:t xml:space="preserve"> </w:t>
      </w:r>
      <w:proofErr w:type="spellStart"/>
      <w:r w:rsidRPr="0084499F">
        <w:rPr>
          <w:rStyle w:val="Lbjegyzet-hivatkozs"/>
        </w:rPr>
        <w:t>wireless</w:t>
      </w:r>
      <w:proofErr w:type="spellEnd"/>
      <w:r w:rsidRPr="0084499F">
        <w:rPr>
          <w:rStyle w:val="Lbjegyzet-hivatkozs"/>
        </w:rPr>
        <w:t xml:space="preserve"> </w:t>
      </w:r>
      <w:proofErr w:type="spellStart"/>
      <w:r w:rsidRPr="0084499F">
        <w:rPr>
          <w:rStyle w:val="Lbjegyzet-hivatkozs"/>
        </w:rPr>
        <w:t>systems</w:t>
      </w:r>
      <w:proofErr w:type="spellEnd"/>
      <w:r w:rsidRPr="0084499F">
        <w:rPr>
          <w:rStyle w:val="Lbjegyzet-hivatkozs"/>
        </w:rPr>
        <w:t xml:space="preserve"> (5G), 9</w:t>
      </w:r>
      <w:r>
        <w:rPr>
          <w:rFonts w:ascii="Arial" w:hAnsi="Arial" w:cs="Arial"/>
          <w:b/>
          <w:bCs/>
          <w:szCs w:val="18"/>
          <w:vertAlign w:val="superscript"/>
        </w:rPr>
        <w:t xml:space="preserve"> </w:t>
      </w:r>
      <w:r w:rsidRPr="0084499F">
        <w:rPr>
          <w:rStyle w:val="Lbjegyzet-hivatkozs"/>
          <w:rFonts w:ascii="Arial" w:hAnsi="Arial" w:cs="Arial"/>
          <w:szCs w:val="18"/>
        </w:rPr>
        <w:t>November 2016</w:t>
      </w:r>
      <w:r w:rsidRPr="0084499F">
        <w:rPr>
          <w:rFonts w:ascii="Arial" w:hAnsi="Arial" w:cs="Arial"/>
          <w:szCs w:val="18"/>
        </w:rPr>
        <w:t xml:space="preserve"> - </w:t>
      </w:r>
      <w:r w:rsidRPr="00DF7F25">
        <w:rPr>
          <w:rStyle w:val="Lbjegyzet-hivatkozs"/>
        </w:rPr>
        <w:t xml:space="preserve">Rádióspektrum Politikai Csoport stratégiai menetrendje az 5G bevezetésére Európában - </w:t>
      </w:r>
      <w:r w:rsidRPr="0084499F">
        <w:rPr>
          <w:rStyle w:val="Lbjegyzet-hivatkozs"/>
        </w:rPr>
        <w:t xml:space="preserve">5G </w:t>
      </w:r>
      <w:r w:rsidRPr="00163AC8">
        <w:rPr>
          <w:rStyle w:val="Lbjegyzet-hivatkozs"/>
        </w:rPr>
        <w:t>spektrum kérdései tárgykörben kiadott szakvélemény, 2016. november 9</w:t>
      </w:r>
    </w:p>
  </w:footnote>
  <w:footnote w:id="11">
    <w:p w14:paraId="5554C728" w14:textId="77777777" w:rsidR="007C0BBE" w:rsidRPr="00B941DA" w:rsidRDefault="007C0BBE" w:rsidP="00AC75E9">
      <w:pPr>
        <w:pStyle w:val="Lbjegyzetszveg"/>
        <w:tabs>
          <w:tab w:val="left" w:pos="0"/>
        </w:tabs>
        <w:rPr>
          <w:rStyle w:val="Lbjegyzet-hivatkozs"/>
        </w:rPr>
      </w:pPr>
      <w:r w:rsidRPr="00E77825">
        <w:rPr>
          <w:rStyle w:val="Lbjegyzet-hivatkozs"/>
          <w:rFonts w:ascii="Arial" w:hAnsi="Arial" w:cs="Arial"/>
          <w:szCs w:val="18"/>
          <w:lang w:val="en-GB"/>
        </w:rPr>
        <w:footnoteRef/>
      </w:r>
      <w:r w:rsidRPr="00E77825">
        <w:rPr>
          <w:rStyle w:val="Lbjegyzet-hivatkozs"/>
          <w:lang w:val="en-GB"/>
        </w:rPr>
        <w:t xml:space="preserve"> International Mobile Telecommunications </w:t>
      </w:r>
      <w:r w:rsidRPr="00163AC8">
        <w:rPr>
          <w:rStyle w:val="Lbjegyzet-hivatkozs"/>
          <w:rFonts w:ascii="Arial" w:hAnsi="Arial" w:cs="Arial"/>
          <w:szCs w:val="18"/>
          <w:lang w:val="en-GB"/>
        </w:rPr>
        <w:t xml:space="preserve">2020 </w:t>
      </w:r>
      <w:r w:rsidRPr="00BA46D1">
        <w:rPr>
          <w:rStyle w:val="Lbjegyzet-hivatkozs"/>
          <w:rFonts w:ascii="Arial" w:hAnsi="Arial" w:cs="Arial"/>
          <w:szCs w:val="18"/>
          <w:lang w:val="en-GB"/>
        </w:rPr>
        <w:t xml:space="preserve">– Nemzetközi </w:t>
      </w:r>
      <w:proofErr w:type="spellStart"/>
      <w:r w:rsidRPr="00BA46D1">
        <w:rPr>
          <w:rStyle w:val="Lbjegyzet-hivatkozs"/>
          <w:rFonts w:ascii="Arial" w:hAnsi="Arial" w:cs="Arial"/>
          <w:szCs w:val="18"/>
          <w:lang w:val="en-GB"/>
        </w:rPr>
        <w:t>mozgó</w:t>
      </w:r>
      <w:proofErr w:type="spellEnd"/>
      <w:r w:rsidRPr="00BA46D1">
        <w:rPr>
          <w:rStyle w:val="Lbjegyzet-hivatkozs"/>
          <w:rFonts w:ascii="Arial" w:hAnsi="Arial" w:cs="Arial"/>
          <w:szCs w:val="18"/>
          <w:lang w:val="en-GB"/>
        </w:rPr>
        <w:t xml:space="preserve"> </w:t>
      </w:r>
      <w:proofErr w:type="spellStart"/>
      <w:r w:rsidRPr="00BA46D1">
        <w:rPr>
          <w:rStyle w:val="Lbjegyzet-hivatkozs"/>
          <w:rFonts w:ascii="Arial" w:hAnsi="Arial" w:cs="Arial"/>
          <w:szCs w:val="18"/>
          <w:lang w:val="en-GB"/>
        </w:rPr>
        <w:t>távközlés</w:t>
      </w:r>
      <w:proofErr w:type="spellEnd"/>
      <w:r w:rsidRPr="00BA46D1">
        <w:rPr>
          <w:rStyle w:val="Lbjegyzet-hivatkozs"/>
          <w:rFonts w:ascii="Arial" w:hAnsi="Arial" w:cs="Arial"/>
          <w:szCs w:val="18"/>
          <w:lang w:val="en-GB"/>
        </w:rPr>
        <w:t xml:space="preserve"> 2020</w:t>
      </w:r>
    </w:p>
  </w:footnote>
  <w:footnote w:id="12">
    <w:p w14:paraId="30691B34" w14:textId="77777777" w:rsidR="007C0BBE" w:rsidRPr="0084499F" w:rsidRDefault="007C0BBE" w:rsidP="00AC75E9">
      <w:pPr>
        <w:pStyle w:val="Lbjegyzetszveg"/>
        <w:rPr>
          <w:rStyle w:val="Lbjegyzet-hivatkozs"/>
        </w:rPr>
      </w:pPr>
      <w:r>
        <w:rPr>
          <w:rStyle w:val="Lbjegyzet-hivatkozs"/>
        </w:rPr>
        <w:footnoteRef/>
      </w:r>
      <w:r>
        <w:t xml:space="preserve"> </w:t>
      </w:r>
      <w:r w:rsidRPr="0084499F">
        <w:rPr>
          <w:rStyle w:val="Lbjegyzet-hivatkozs"/>
        </w:rPr>
        <w:t xml:space="preserve">RSPG: </w:t>
      </w:r>
      <w:proofErr w:type="spellStart"/>
      <w:r w:rsidRPr="0084499F">
        <w:rPr>
          <w:rStyle w:val="Lbjegyzet-hivatkozs"/>
        </w:rPr>
        <w:t>Radio</w:t>
      </w:r>
      <w:proofErr w:type="spellEnd"/>
      <w:r w:rsidRPr="0084499F">
        <w:rPr>
          <w:rStyle w:val="Lbjegyzet-hivatkozs"/>
        </w:rPr>
        <w:t xml:space="preserve"> </w:t>
      </w:r>
      <w:proofErr w:type="spellStart"/>
      <w:r w:rsidRPr="0084499F">
        <w:rPr>
          <w:rStyle w:val="Lbjegyzet-hivatkozs"/>
        </w:rPr>
        <w:t>Spectrum</w:t>
      </w:r>
      <w:proofErr w:type="spellEnd"/>
      <w:r w:rsidRPr="0084499F">
        <w:rPr>
          <w:rStyle w:val="Lbjegyzet-hivatkozs"/>
        </w:rPr>
        <w:t xml:space="preserve"> Policy Group – Rádióspektrum Politikai Csoport (A rádiófrekvencia-politikával foglalkozó csoport létrehozásáról szóló 2002. július 26-i 2002/622/EK bizottsági határozattal létrehozott rádióspektrum Politikai Csoport (RSPG) tanácsadói minőségben a rádióspektrum európai stratégiai kérdéseivel foglalkozik.)</w:t>
      </w:r>
    </w:p>
  </w:footnote>
  <w:footnote w:id="13">
    <w:p w14:paraId="4B457348" w14:textId="77777777" w:rsidR="007C0BBE" w:rsidRPr="0084499F" w:rsidRDefault="007C0BBE" w:rsidP="00AC75E9">
      <w:pPr>
        <w:pStyle w:val="Lbjegyzetszveg"/>
        <w:tabs>
          <w:tab w:val="left" w:pos="0"/>
        </w:tabs>
        <w:rPr>
          <w:rStyle w:val="Lbjegyzet-hivatkozs"/>
        </w:rPr>
      </w:pPr>
      <w:r w:rsidRPr="004E6303">
        <w:rPr>
          <w:rStyle w:val="Lbjegyzet-hivatkozs"/>
          <w:rFonts w:ascii="Arial" w:hAnsi="Arial" w:cs="Arial"/>
          <w:szCs w:val="18"/>
          <w:lang w:val="en-GB"/>
        </w:rPr>
        <w:footnoteRef/>
      </w:r>
      <w:r w:rsidRPr="0084499F">
        <w:rPr>
          <w:rStyle w:val="Lbjegyzet-hivatkozs"/>
          <w:rFonts w:ascii="Arial" w:hAnsi="Arial" w:cs="Arial"/>
          <w:szCs w:val="18"/>
        </w:rPr>
        <w:t xml:space="preserve"> </w:t>
      </w:r>
      <w:r w:rsidRPr="002A763E">
        <w:rPr>
          <w:rFonts w:ascii="Arial" w:hAnsi="Arial" w:cs="Arial"/>
          <w:szCs w:val="18"/>
          <w:vertAlign w:val="superscript"/>
        </w:rPr>
        <w:t xml:space="preserve"> </w:t>
      </w:r>
      <w:r w:rsidRPr="0084499F">
        <w:rPr>
          <w:rStyle w:val="Lbjegyzet-hivatkozs"/>
        </w:rPr>
        <w:t xml:space="preserve">RADIO SPECTRUM POLICY GROUP STRATEGIC ROADMAP TOWARDS 5G FOR EUROPE </w:t>
      </w:r>
      <w:proofErr w:type="spellStart"/>
      <w:r w:rsidRPr="0084499F">
        <w:rPr>
          <w:rStyle w:val="Lbjegyzet-hivatkozs"/>
        </w:rPr>
        <w:t>Opinion</w:t>
      </w:r>
      <w:proofErr w:type="spellEnd"/>
      <w:r w:rsidRPr="0084499F">
        <w:rPr>
          <w:rStyle w:val="Lbjegyzet-hivatkozs"/>
        </w:rPr>
        <w:t xml:space="preserve"> </w:t>
      </w:r>
      <w:proofErr w:type="spellStart"/>
      <w:r w:rsidRPr="0084499F">
        <w:rPr>
          <w:rStyle w:val="Lbjegyzet-hivatkozs"/>
        </w:rPr>
        <w:t>on</w:t>
      </w:r>
      <w:proofErr w:type="spellEnd"/>
      <w:r w:rsidRPr="0084499F">
        <w:rPr>
          <w:rStyle w:val="Lbjegyzet-hivatkozs"/>
        </w:rPr>
        <w:t xml:space="preserve"> </w:t>
      </w:r>
      <w:proofErr w:type="spellStart"/>
      <w:r w:rsidRPr="0084499F">
        <w:rPr>
          <w:rStyle w:val="Lbjegyzet-hivatkozs"/>
        </w:rPr>
        <w:t>spectrum</w:t>
      </w:r>
      <w:proofErr w:type="spellEnd"/>
      <w:r w:rsidRPr="0084499F">
        <w:rPr>
          <w:rStyle w:val="Lbjegyzet-hivatkozs"/>
        </w:rPr>
        <w:t xml:space="preserve"> </w:t>
      </w:r>
      <w:proofErr w:type="spellStart"/>
      <w:r w:rsidRPr="0084499F">
        <w:rPr>
          <w:rStyle w:val="Lbjegyzet-hivatkozs"/>
        </w:rPr>
        <w:t>related</w:t>
      </w:r>
      <w:proofErr w:type="spellEnd"/>
      <w:r w:rsidRPr="0084499F">
        <w:rPr>
          <w:rStyle w:val="Lbjegyzet-hivatkozs"/>
        </w:rPr>
        <w:t xml:space="preserve"> </w:t>
      </w:r>
      <w:proofErr w:type="spellStart"/>
      <w:r w:rsidRPr="0084499F">
        <w:rPr>
          <w:rStyle w:val="Lbjegyzet-hivatkozs"/>
        </w:rPr>
        <w:t>aspects</w:t>
      </w:r>
      <w:proofErr w:type="spellEnd"/>
      <w:r w:rsidRPr="0084499F">
        <w:rPr>
          <w:rStyle w:val="Lbjegyzet-hivatkozs"/>
        </w:rPr>
        <w:t xml:space="preserve"> </w:t>
      </w:r>
      <w:proofErr w:type="spellStart"/>
      <w:r w:rsidRPr="0084499F">
        <w:rPr>
          <w:rStyle w:val="Lbjegyzet-hivatkozs"/>
        </w:rPr>
        <w:t>for</w:t>
      </w:r>
      <w:proofErr w:type="spellEnd"/>
      <w:r w:rsidRPr="0084499F">
        <w:rPr>
          <w:rStyle w:val="Lbjegyzet-hivatkozs"/>
        </w:rPr>
        <w:t xml:space="preserve"> </w:t>
      </w:r>
      <w:proofErr w:type="spellStart"/>
      <w:r w:rsidRPr="0084499F">
        <w:rPr>
          <w:rStyle w:val="Lbjegyzet-hivatkozs"/>
        </w:rPr>
        <w:t>next-generation</w:t>
      </w:r>
      <w:proofErr w:type="spellEnd"/>
      <w:r w:rsidRPr="0084499F">
        <w:rPr>
          <w:rStyle w:val="Lbjegyzet-hivatkozs"/>
        </w:rPr>
        <w:t xml:space="preserve"> </w:t>
      </w:r>
      <w:proofErr w:type="spellStart"/>
      <w:r w:rsidRPr="0084499F">
        <w:rPr>
          <w:rStyle w:val="Lbjegyzet-hivatkozs"/>
        </w:rPr>
        <w:t>wireless</w:t>
      </w:r>
      <w:proofErr w:type="spellEnd"/>
      <w:r w:rsidRPr="0084499F">
        <w:rPr>
          <w:rStyle w:val="Lbjegyzet-hivatkozs"/>
        </w:rPr>
        <w:t xml:space="preserve"> </w:t>
      </w:r>
      <w:proofErr w:type="spellStart"/>
      <w:r w:rsidRPr="0084499F">
        <w:rPr>
          <w:rStyle w:val="Lbjegyzet-hivatkozs"/>
        </w:rPr>
        <w:t>systems</w:t>
      </w:r>
      <w:proofErr w:type="spellEnd"/>
      <w:r w:rsidRPr="0084499F">
        <w:rPr>
          <w:rStyle w:val="Lbjegyzet-hivatkozs"/>
        </w:rPr>
        <w:t xml:space="preserve"> (5G), 9 November 2016</w:t>
      </w:r>
      <w:r w:rsidRPr="00DF7F25">
        <w:rPr>
          <w:rStyle w:val="Lbjegyzet-hivatkozs"/>
        </w:rPr>
        <w:t xml:space="preserve"> – Rádióspektrum Politikai Csoport stratégiai menetrendje az 5G bevezetésére Európában - </w:t>
      </w:r>
      <w:r w:rsidRPr="0084499F">
        <w:rPr>
          <w:rStyle w:val="Lbjegyzet-hivatkozs"/>
        </w:rPr>
        <w:t>5G spektrum kérdései tárgykörben kiadott szakvélemény, 2016. november 9</w:t>
      </w:r>
    </w:p>
  </w:footnote>
  <w:footnote w:id="14">
    <w:p w14:paraId="3932DEEA" w14:textId="77777777" w:rsidR="007C0BBE" w:rsidRPr="0084499F" w:rsidRDefault="007C0BBE" w:rsidP="007D4158">
      <w:pPr>
        <w:pStyle w:val="Lbjegyzetszveg"/>
        <w:tabs>
          <w:tab w:val="left" w:pos="0"/>
        </w:tabs>
        <w:rPr>
          <w:rStyle w:val="Lbjegyzet-hivatkozs"/>
          <w:rFonts w:ascii="Arial" w:hAnsi="Arial" w:cs="Arial"/>
          <w:szCs w:val="18"/>
        </w:rPr>
      </w:pPr>
      <w:r w:rsidRPr="00CF1845">
        <w:rPr>
          <w:rStyle w:val="Lbjegyzet-hivatkozs"/>
          <w:rFonts w:ascii="Arial" w:hAnsi="Arial" w:cs="Arial"/>
          <w:szCs w:val="18"/>
          <w:lang w:val="en-GB"/>
        </w:rPr>
        <w:footnoteRef/>
      </w:r>
      <w:r w:rsidRPr="0084499F">
        <w:rPr>
          <w:rStyle w:val="Lbjegyzet-hivatkozs"/>
          <w:rFonts w:ascii="Arial" w:hAnsi="Arial" w:cs="Arial"/>
          <w:szCs w:val="18"/>
        </w:rPr>
        <w:t xml:space="preserve"> ITU: International </w:t>
      </w:r>
      <w:proofErr w:type="spellStart"/>
      <w:r w:rsidRPr="0084499F">
        <w:rPr>
          <w:rStyle w:val="Lbjegyzet-hivatkozs"/>
          <w:rFonts w:ascii="Arial" w:hAnsi="Arial" w:cs="Arial"/>
          <w:szCs w:val="18"/>
        </w:rPr>
        <w:t>Telecommunication</w:t>
      </w:r>
      <w:proofErr w:type="spellEnd"/>
      <w:r w:rsidRPr="0084499F">
        <w:rPr>
          <w:rStyle w:val="Lbjegyzet-hivatkozs"/>
          <w:rFonts w:ascii="Arial" w:hAnsi="Arial" w:cs="Arial"/>
          <w:szCs w:val="18"/>
        </w:rPr>
        <w:t xml:space="preserve"> Union –</w:t>
      </w:r>
      <w:r w:rsidRPr="0084499F">
        <w:rPr>
          <w:rFonts w:ascii="Arial" w:hAnsi="Arial" w:cs="Arial"/>
          <w:szCs w:val="18"/>
        </w:rPr>
        <w:t xml:space="preserve"> </w:t>
      </w:r>
      <w:r w:rsidRPr="0084499F">
        <w:rPr>
          <w:rStyle w:val="Lbjegyzet-hivatkozs"/>
          <w:rFonts w:ascii="Arial" w:hAnsi="Arial" w:cs="Arial"/>
          <w:szCs w:val="18"/>
        </w:rPr>
        <w:t>Nemzetközi Távközlési Egyesület</w:t>
      </w:r>
    </w:p>
  </w:footnote>
  <w:footnote w:id="15">
    <w:p w14:paraId="6F9E8C0D" w14:textId="77777777" w:rsidR="007C0BBE" w:rsidRPr="00CF1845" w:rsidRDefault="007C0BBE" w:rsidP="007D4158">
      <w:pPr>
        <w:pStyle w:val="Lbjegyzetszveg"/>
        <w:tabs>
          <w:tab w:val="left" w:pos="0"/>
        </w:tabs>
        <w:rPr>
          <w:rStyle w:val="Lbjegyzet-hivatkozs"/>
          <w:rFonts w:ascii="Arial" w:hAnsi="Arial" w:cs="Arial"/>
          <w:szCs w:val="18"/>
          <w:lang w:val="en-GB"/>
        </w:rPr>
      </w:pPr>
      <w:r w:rsidRPr="00CF1845">
        <w:rPr>
          <w:rStyle w:val="Lbjegyzet-hivatkozs"/>
          <w:rFonts w:ascii="Arial" w:hAnsi="Arial" w:cs="Arial"/>
          <w:szCs w:val="18"/>
          <w:lang w:val="en-GB"/>
        </w:rPr>
        <w:footnoteRef/>
      </w:r>
      <w:r w:rsidRPr="00CF1845">
        <w:rPr>
          <w:rStyle w:val="Lbjegyzet-hivatkozs"/>
          <w:rFonts w:ascii="Arial" w:hAnsi="Arial" w:cs="Arial"/>
          <w:szCs w:val="18"/>
          <w:lang w:val="en-GB"/>
        </w:rPr>
        <w:t xml:space="preserve"> CEPT: </w:t>
      </w:r>
      <w:proofErr w:type="spellStart"/>
      <w:r w:rsidRPr="00CF1845">
        <w:rPr>
          <w:rStyle w:val="Lbjegyzet-hivatkozs"/>
          <w:rFonts w:ascii="Arial" w:hAnsi="Arial" w:cs="Arial"/>
          <w:szCs w:val="18"/>
          <w:lang w:val="en-GB"/>
        </w:rPr>
        <w:t>Conférence</w:t>
      </w:r>
      <w:proofErr w:type="spellEnd"/>
      <w:r w:rsidRPr="00CF1845">
        <w:rPr>
          <w:rStyle w:val="Lbjegyzet-hivatkozs"/>
          <w:rFonts w:ascii="Arial" w:hAnsi="Arial" w:cs="Arial"/>
          <w:szCs w:val="18"/>
          <w:lang w:val="en-GB"/>
        </w:rPr>
        <w:t xml:space="preserve"> </w:t>
      </w:r>
      <w:proofErr w:type="spellStart"/>
      <w:r w:rsidRPr="00CF1845">
        <w:rPr>
          <w:rStyle w:val="Lbjegyzet-hivatkozs"/>
          <w:rFonts w:ascii="Arial" w:hAnsi="Arial" w:cs="Arial"/>
          <w:szCs w:val="18"/>
          <w:lang w:val="en-GB"/>
        </w:rPr>
        <w:t>européenne</w:t>
      </w:r>
      <w:proofErr w:type="spellEnd"/>
      <w:r w:rsidRPr="00CF1845">
        <w:rPr>
          <w:rStyle w:val="Lbjegyzet-hivatkozs"/>
          <w:rFonts w:ascii="Arial" w:hAnsi="Arial" w:cs="Arial"/>
          <w:szCs w:val="18"/>
          <w:lang w:val="en-GB"/>
        </w:rPr>
        <w:t xml:space="preserve"> des Administrations des </w:t>
      </w:r>
      <w:proofErr w:type="spellStart"/>
      <w:r w:rsidRPr="00CF1845">
        <w:rPr>
          <w:rStyle w:val="Lbjegyzet-hivatkozs"/>
          <w:rFonts w:ascii="Arial" w:hAnsi="Arial" w:cs="Arial"/>
          <w:szCs w:val="18"/>
          <w:lang w:val="en-GB"/>
        </w:rPr>
        <w:t>postes</w:t>
      </w:r>
      <w:proofErr w:type="spellEnd"/>
      <w:r w:rsidRPr="00CF1845">
        <w:rPr>
          <w:rStyle w:val="Lbjegyzet-hivatkozs"/>
          <w:rFonts w:ascii="Arial" w:hAnsi="Arial" w:cs="Arial"/>
          <w:szCs w:val="18"/>
          <w:lang w:val="en-GB"/>
        </w:rPr>
        <w:t xml:space="preserve"> et des </w:t>
      </w:r>
      <w:proofErr w:type="spellStart"/>
      <w:r w:rsidRPr="00CF1845">
        <w:rPr>
          <w:rStyle w:val="Lbjegyzet-hivatkozs"/>
          <w:rFonts w:ascii="Arial" w:hAnsi="Arial" w:cs="Arial"/>
          <w:szCs w:val="18"/>
          <w:lang w:val="en-GB"/>
        </w:rPr>
        <w:t>télécommunications</w:t>
      </w:r>
      <w:proofErr w:type="spellEnd"/>
      <w:r w:rsidRPr="00CF1845">
        <w:rPr>
          <w:rStyle w:val="Lbjegyzet-hivatkozs"/>
          <w:rFonts w:ascii="Arial" w:hAnsi="Arial" w:cs="Arial"/>
          <w:szCs w:val="18"/>
          <w:lang w:val="en-GB"/>
        </w:rPr>
        <w:t xml:space="preserve"> – </w:t>
      </w:r>
      <w:r w:rsidRPr="00BA3585">
        <w:rPr>
          <w:rStyle w:val="Lbjegyzet-hivatkozs"/>
          <w:rFonts w:ascii="Arial" w:hAnsi="Arial" w:cs="Arial"/>
          <w:szCs w:val="18"/>
        </w:rPr>
        <w:t>Postai és Távközlési Igazgatások Európai Értekezlete</w:t>
      </w:r>
    </w:p>
  </w:footnote>
  <w:footnote w:id="16">
    <w:p w14:paraId="306FAEC8" w14:textId="77777777" w:rsidR="007C0BBE" w:rsidRPr="00CF1845" w:rsidRDefault="007C0BBE" w:rsidP="007D4158">
      <w:pPr>
        <w:pStyle w:val="Lbjegyzetszveg"/>
        <w:tabs>
          <w:tab w:val="left" w:pos="0"/>
        </w:tabs>
        <w:rPr>
          <w:rStyle w:val="Lbjegyzet-hivatkozs"/>
          <w:rFonts w:ascii="Arial" w:hAnsi="Arial" w:cs="Arial"/>
          <w:szCs w:val="18"/>
          <w:lang w:val="en-GB"/>
        </w:rPr>
      </w:pPr>
      <w:r w:rsidRPr="00CF1845">
        <w:rPr>
          <w:rStyle w:val="Lbjegyzet-hivatkozs"/>
          <w:rFonts w:ascii="Arial" w:hAnsi="Arial" w:cs="Arial"/>
          <w:szCs w:val="18"/>
          <w:lang w:val="en-GB"/>
        </w:rPr>
        <w:footnoteRef/>
      </w:r>
      <w:r w:rsidRPr="00CF1845">
        <w:rPr>
          <w:rStyle w:val="Lbjegyzet-hivatkozs"/>
          <w:rFonts w:ascii="Arial" w:hAnsi="Arial" w:cs="Arial"/>
          <w:szCs w:val="18"/>
          <w:lang w:val="en-GB"/>
        </w:rPr>
        <w:t xml:space="preserve"> RSPG: Radio Spectrum Policy Group – </w:t>
      </w:r>
      <w:r w:rsidRPr="00BA3585">
        <w:rPr>
          <w:rStyle w:val="Lbjegyzet-hivatkozs"/>
          <w:rFonts w:ascii="Arial" w:hAnsi="Arial" w:cs="Arial"/>
          <w:szCs w:val="18"/>
        </w:rPr>
        <w:t>Rádióspektrum Politikai Csoport</w:t>
      </w:r>
    </w:p>
  </w:footnote>
  <w:footnote w:id="17">
    <w:p w14:paraId="47910366" w14:textId="77777777" w:rsidR="007C0BBE" w:rsidRPr="00CF1845" w:rsidRDefault="007C0BBE" w:rsidP="007D4158">
      <w:pPr>
        <w:pStyle w:val="Lbjegyzetszveg"/>
        <w:tabs>
          <w:tab w:val="left" w:pos="0"/>
        </w:tabs>
        <w:rPr>
          <w:rStyle w:val="Lbjegyzet-hivatkozs"/>
          <w:rFonts w:ascii="Arial" w:hAnsi="Arial" w:cs="Arial"/>
          <w:szCs w:val="18"/>
          <w:lang w:val="en-GB"/>
        </w:rPr>
      </w:pPr>
      <w:r w:rsidRPr="00CF1845">
        <w:rPr>
          <w:rStyle w:val="Lbjegyzet-hivatkozs"/>
          <w:rFonts w:ascii="Arial" w:hAnsi="Arial" w:cs="Arial"/>
          <w:szCs w:val="18"/>
          <w:lang w:val="en-GB"/>
        </w:rPr>
        <w:footnoteRef/>
      </w:r>
      <w:r w:rsidRPr="00CF1845">
        <w:rPr>
          <w:rStyle w:val="Lbjegyzet-hivatkozs"/>
          <w:rFonts w:ascii="Arial" w:hAnsi="Arial" w:cs="Arial"/>
          <w:szCs w:val="18"/>
          <w:lang w:val="en-GB"/>
        </w:rPr>
        <w:t xml:space="preserve"> RSC: Radio Spectrum Committee – </w:t>
      </w:r>
      <w:r w:rsidRPr="00BA3585">
        <w:rPr>
          <w:rStyle w:val="Lbjegyzet-hivatkozs"/>
          <w:rFonts w:ascii="Arial" w:hAnsi="Arial" w:cs="Arial"/>
          <w:szCs w:val="18"/>
        </w:rPr>
        <w:t>Rádióspektrum Bizottság</w:t>
      </w:r>
    </w:p>
  </w:footnote>
  <w:footnote w:id="18">
    <w:p w14:paraId="213C4A9B" w14:textId="77777777" w:rsidR="007C0BBE" w:rsidRPr="00382B4B" w:rsidRDefault="007C0BBE" w:rsidP="00007470">
      <w:pPr>
        <w:keepNext/>
        <w:keepLines/>
        <w:spacing w:after="0" w:line="240" w:lineRule="auto"/>
        <w:rPr>
          <w:rFonts w:ascii="Arial" w:hAnsi="Arial" w:cs="Arial"/>
        </w:rPr>
      </w:pPr>
      <w:r w:rsidRPr="00605255">
        <w:rPr>
          <w:rStyle w:val="Lbjegyzet-hivatkozs"/>
          <w:rFonts w:ascii="Arial" w:hAnsi="Arial"/>
          <w:szCs w:val="18"/>
        </w:rPr>
        <w:footnoteRef/>
      </w:r>
      <w:r w:rsidRPr="00382B4B">
        <w:rPr>
          <w:rFonts w:ascii="Arial" w:hAnsi="Arial" w:cs="Arial"/>
        </w:rPr>
        <w:t xml:space="preserve"> </w:t>
      </w:r>
      <w:proofErr w:type="spellStart"/>
      <w:r w:rsidRPr="00BC1C9C">
        <w:rPr>
          <w:rStyle w:val="Lbjegyzet-hivatkozs"/>
          <w:rFonts w:ascii="Arial" w:hAnsi="Arial"/>
          <w:szCs w:val="18"/>
        </w:rPr>
        <w:t>Regional</w:t>
      </w:r>
      <w:proofErr w:type="spellEnd"/>
      <w:r w:rsidRPr="00BC1C9C">
        <w:rPr>
          <w:rStyle w:val="Lbjegyzet-hivatkozs"/>
          <w:rFonts w:ascii="Arial" w:hAnsi="Arial"/>
          <w:szCs w:val="18"/>
        </w:rPr>
        <w:t xml:space="preserve"> </w:t>
      </w:r>
      <w:proofErr w:type="spellStart"/>
      <w:r w:rsidRPr="00BC1C9C">
        <w:rPr>
          <w:rStyle w:val="Lbjegyzet-hivatkozs"/>
          <w:rFonts w:ascii="Arial" w:hAnsi="Arial"/>
          <w:szCs w:val="18"/>
        </w:rPr>
        <w:t>Radiocommunication</w:t>
      </w:r>
      <w:proofErr w:type="spellEnd"/>
      <w:r w:rsidRPr="00BC1C9C">
        <w:rPr>
          <w:rStyle w:val="Lbjegyzet-hivatkozs"/>
          <w:rFonts w:ascii="Arial" w:hAnsi="Arial"/>
          <w:szCs w:val="18"/>
        </w:rPr>
        <w:t xml:space="preserve"> </w:t>
      </w:r>
      <w:proofErr w:type="spellStart"/>
      <w:r w:rsidRPr="00BC1C9C">
        <w:rPr>
          <w:rStyle w:val="Lbjegyzet-hivatkozs"/>
          <w:rFonts w:ascii="Arial" w:hAnsi="Arial"/>
          <w:szCs w:val="18"/>
        </w:rPr>
        <w:t>Conference</w:t>
      </w:r>
      <w:proofErr w:type="spellEnd"/>
      <w:r w:rsidRPr="00BC1C9C">
        <w:rPr>
          <w:rStyle w:val="Lbjegyzet-hivatkozs"/>
          <w:rFonts w:ascii="Arial" w:hAnsi="Arial"/>
          <w:szCs w:val="18"/>
        </w:rPr>
        <w:t xml:space="preserve"> (RRC</w:t>
      </w:r>
      <w:r w:rsidRPr="00BC1C9C">
        <w:rPr>
          <w:rStyle w:val="Lbjegyzet-hivatkozs"/>
          <w:rFonts w:ascii="Arial" w:hAnsi="Arial"/>
          <w:szCs w:val="18"/>
        </w:rPr>
        <w:noBreakHyphen/>
        <w:t xml:space="preserve">06), </w:t>
      </w:r>
      <w:proofErr w:type="spellStart"/>
      <w:r w:rsidRPr="00BC1C9C">
        <w:rPr>
          <w:rStyle w:val="Lbjegyzet-hivatkozs"/>
          <w:rFonts w:ascii="Arial" w:hAnsi="Arial"/>
          <w:szCs w:val="18"/>
        </w:rPr>
        <w:t>Geneva</w:t>
      </w:r>
      <w:proofErr w:type="spellEnd"/>
      <w:r w:rsidRPr="00BC1C9C">
        <w:rPr>
          <w:rStyle w:val="Lbjegyzet-hivatkozs"/>
          <w:rFonts w:ascii="Arial" w:hAnsi="Arial"/>
          <w:szCs w:val="18"/>
        </w:rPr>
        <w:t xml:space="preserve">, 2006 - Rádiótávközlési </w:t>
      </w:r>
      <w:r w:rsidRPr="00BA3585">
        <w:rPr>
          <w:rStyle w:val="Lbjegyzet-hivatkozs"/>
          <w:rFonts w:ascii="Arial" w:hAnsi="Arial"/>
          <w:szCs w:val="18"/>
        </w:rPr>
        <w:t>körzeti értekezlet (RRC</w:t>
      </w:r>
      <w:r w:rsidRPr="00BA3585">
        <w:rPr>
          <w:rStyle w:val="Lbjegyzet-hivatkozs"/>
          <w:rFonts w:ascii="Arial" w:hAnsi="Arial"/>
          <w:szCs w:val="18"/>
        </w:rPr>
        <w:noBreakHyphen/>
        <w:t>06), Genf,</w:t>
      </w:r>
      <w:r w:rsidRPr="00BC1C9C">
        <w:rPr>
          <w:rStyle w:val="Lbjegyzet-hivatkozs"/>
          <w:rFonts w:ascii="Arial" w:hAnsi="Arial"/>
          <w:szCs w:val="18"/>
        </w:rPr>
        <w:t xml:space="preserve"> 2006</w:t>
      </w:r>
      <w:r w:rsidRPr="00BC1C9C">
        <w:rPr>
          <w:rFonts w:ascii="Arial" w:hAnsi="Arial"/>
          <w:szCs w:val="18"/>
        </w:rPr>
        <w:t xml:space="preserve"> </w:t>
      </w:r>
    </w:p>
  </w:footnote>
  <w:footnote w:id="19">
    <w:p w14:paraId="2106DB07" w14:textId="77777777" w:rsidR="007C0BBE" w:rsidRPr="00382B4B" w:rsidRDefault="007C0BBE" w:rsidP="00007470">
      <w:pPr>
        <w:keepNext/>
        <w:keepLines/>
        <w:spacing w:after="0" w:line="240" w:lineRule="auto"/>
        <w:rPr>
          <w:rFonts w:ascii="Arial" w:hAnsi="Arial" w:cs="Arial"/>
        </w:rPr>
      </w:pPr>
      <w:r w:rsidRPr="00605255">
        <w:rPr>
          <w:rStyle w:val="Lbjegyzet-hivatkozs"/>
          <w:rFonts w:ascii="Arial" w:hAnsi="Arial"/>
          <w:szCs w:val="18"/>
        </w:rPr>
        <w:footnoteRef/>
      </w:r>
      <w:r w:rsidRPr="00382B4B">
        <w:rPr>
          <w:rFonts w:ascii="Arial" w:hAnsi="Arial" w:cs="Arial"/>
        </w:rPr>
        <w:t xml:space="preserve"> </w:t>
      </w:r>
      <w:r w:rsidRPr="0084499F">
        <w:rPr>
          <w:rStyle w:val="Lbjegyzet-hivatkozs"/>
          <w:sz w:val="20"/>
          <w:szCs w:val="18"/>
        </w:rPr>
        <w:t xml:space="preserve">GE06 - </w:t>
      </w:r>
      <w:proofErr w:type="spellStart"/>
      <w:r w:rsidRPr="0084499F">
        <w:rPr>
          <w:rStyle w:val="Lbjegyzet-hivatkozs"/>
          <w:rFonts w:ascii="Arial" w:hAnsi="Arial"/>
          <w:szCs w:val="18"/>
        </w:rPr>
        <w:t>Final</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Acts</w:t>
      </w:r>
      <w:proofErr w:type="spellEnd"/>
      <w:r w:rsidRPr="0084499F">
        <w:rPr>
          <w:rStyle w:val="Lbjegyzet-hivatkozs"/>
          <w:rFonts w:ascii="Arial" w:hAnsi="Arial"/>
          <w:szCs w:val="18"/>
        </w:rPr>
        <w:t xml:space="preserve"> of </w:t>
      </w:r>
      <w:proofErr w:type="spellStart"/>
      <w:r w:rsidRPr="0084499F">
        <w:rPr>
          <w:rStyle w:val="Lbjegyzet-hivatkozs"/>
          <w:rFonts w:ascii="Arial" w:hAnsi="Arial"/>
          <w:szCs w:val="18"/>
        </w:rPr>
        <w:t>the</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Regional</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Radiocommunication</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Conference</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for</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planning</w:t>
      </w:r>
      <w:proofErr w:type="spellEnd"/>
      <w:r w:rsidRPr="0084499F">
        <w:rPr>
          <w:rStyle w:val="Lbjegyzet-hivatkozs"/>
          <w:rFonts w:ascii="Arial" w:hAnsi="Arial"/>
          <w:szCs w:val="18"/>
        </w:rPr>
        <w:t xml:space="preserve"> of </w:t>
      </w:r>
      <w:proofErr w:type="spellStart"/>
      <w:r w:rsidRPr="0084499F">
        <w:rPr>
          <w:rStyle w:val="Lbjegyzet-hivatkozs"/>
          <w:rFonts w:ascii="Arial" w:hAnsi="Arial"/>
          <w:szCs w:val="18"/>
        </w:rPr>
        <w:t>the</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digital</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terrestrial</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broadcasting</w:t>
      </w:r>
      <w:proofErr w:type="spellEnd"/>
      <w:r w:rsidRPr="0084499F">
        <w:rPr>
          <w:rStyle w:val="Lbjegyzet-hivatkozs"/>
          <w:rFonts w:ascii="Arial" w:hAnsi="Arial"/>
          <w:szCs w:val="18"/>
        </w:rPr>
        <w:t xml:space="preserve"> service in </w:t>
      </w:r>
      <w:proofErr w:type="spellStart"/>
      <w:r w:rsidRPr="0084499F">
        <w:rPr>
          <w:rStyle w:val="Lbjegyzet-hivatkozs"/>
          <w:rFonts w:ascii="Arial" w:hAnsi="Arial"/>
          <w:szCs w:val="18"/>
        </w:rPr>
        <w:t>parts</w:t>
      </w:r>
      <w:proofErr w:type="spellEnd"/>
      <w:r w:rsidRPr="0084499F">
        <w:rPr>
          <w:rStyle w:val="Lbjegyzet-hivatkozs"/>
          <w:rFonts w:ascii="Arial" w:hAnsi="Arial"/>
          <w:szCs w:val="18"/>
        </w:rPr>
        <w:t xml:space="preserve"> of </w:t>
      </w:r>
      <w:proofErr w:type="spellStart"/>
      <w:r w:rsidRPr="0084499F">
        <w:rPr>
          <w:rStyle w:val="Lbjegyzet-hivatkozs"/>
          <w:rFonts w:ascii="Arial" w:hAnsi="Arial"/>
          <w:szCs w:val="18"/>
        </w:rPr>
        <w:t>Regions</w:t>
      </w:r>
      <w:proofErr w:type="spellEnd"/>
      <w:r w:rsidRPr="0084499F">
        <w:rPr>
          <w:rStyle w:val="Lbjegyzet-hivatkozs"/>
          <w:rFonts w:ascii="Arial" w:hAnsi="Arial"/>
          <w:szCs w:val="18"/>
        </w:rPr>
        <w:t xml:space="preserve"> 1 and </w:t>
      </w:r>
      <w:smartTag w:uri="urn:schemas-microsoft-com:office:smarttags" w:element="metricconverter">
        <w:smartTagPr>
          <w:attr w:name="ProductID" w:val="3, in"/>
        </w:smartTagPr>
        <w:r w:rsidRPr="0084499F">
          <w:rPr>
            <w:rStyle w:val="Lbjegyzet-hivatkozs"/>
            <w:rFonts w:ascii="Arial" w:hAnsi="Arial"/>
            <w:szCs w:val="18"/>
          </w:rPr>
          <w:t>3, in</w:t>
        </w:r>
      </w:smartTag>
      <w:r w:rsidRPr="0084499F">
        <w:rPr>
          <w:rStyle w:val="Lbjegyzet-hivatkozs"/>
          <w:rFonts w:ascii="Arial" w:hAnsi="Arial"/>
          <w:szCs w:val="18"/>
        </w:rPr>
        <w:t xml:space="preserve"> </w:t>
      </w:r>
      <w:proofErr w:type="spellStart"/>
      <w:r w:rsidRPr="0084499F">
        <w:rPr>
          <w:rStyle w:val="Lbjegyzet-hivatkozs"/>
          <w:rFonts w:ascii="Arial" w:hAnsi="Arial"/>
          <w:szCs w:val="18"/>
        </w:rPr>
        <w:t>the</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frequency</w:t>
      </w:r>
      <w:proofErr w:type="spellEnd"/>
      <w:r w:rsidRPr="0084499F">
        <w:rPr>
          <w:rStyle w:val="Lbjegyzet-hivatkozs"/>
          <w:rFonts w:ascii="Arial" w:hAnsi="Arial"/>
          <w:szCs w:val="18"/>
        </w:rPr>
        <w:t xml:space="preserve"> </w:t>
      </w:r>
      <w:proofErr w:type="spellStart"/>
      <w:r w:rsidRPr="0084499F">
        <w:rPr>
          <w:rStyle w:val="Lbjegyzet-hivatkozs"/>
          <w:rFonts w:ascii="Arial" w:hAnsi="Arial"/>
          <w:szCs w:val="18"/>
        </w:rPr>
        <w:t>bands</w:t>
      </w:r>
      <w:proofErr w:type="spellEnd"/>
      <w:r w:rsidRPr="0084499F">
        <w:rPr>
          <w:rStyle w:val="Lbjegyzet-hivatkozs"/>
          <w:rFonts w:ascii="Arial" w:hAnsi="Arial"/>
          <w:szCs w:val="18"/>
        </w:rPr>
        <w:t xml:space="preserve"> 174-230 MHz and 470</w:t>
      </w:r>
      <w:r w:rsidRPr="0084499F">
        <w:rPr>
          <w:rStyle w:val="Lbjegyzet-hivatkozs"/>
          <w:rFonts w:ascii="Arial" w:hAnsi="Arial"/>
          <w:szCs w:val="18"/>
        </w:rPr>
        <w:noBreakHyphen/>
        <w:t>862 MHz (RRC</w:t>
      </w:r>
      <w:r w:rsidRPr="0084499F">
        <w:rPr>
          <w:rStyle w:val="Lbjegyzet-hivatkozs"/>
          <w:rFonts w:ascii="Arial" w:hAnsi="Arial"/>
          <w:szCs w:val="18"/>
        </w:rPr>
        <w:noBreakHyphen/>
        <w:t xml:space="preserve">06), </w:t>
      </w:r>
      <w:proofErr w:type="spellStart"/>
      <w:r w:rsidRPr="0084499F">
        <w:rPr>
          <w:rStyle w:val="Lbjegyzet-hivatkozs"/>
          <w:rFonts w:ascii="Arial" w:hAnsi="Arial"/>
          <w:szCs w:val="18"/>
        </w:rPr>
        <w:t>Geneva</w:t>
      </w:r>
      <w:proofErr w:type="spellEnd"/>
      <w:r w:rsidRPr="0084499F">
        <w:rPr>
          <w:rStyle w:val="Lbjegyzet-hivatkozs"/>
          <w:rFonts w:ascii="Arial" w:hAnsi="Arial"/>
          <w:szCs w:val="18"/>
        </w:rPr>
        <w:t xml:space="preserve">, 2006 - </w:t>
      </w:r>
      <w:r w:rsidRPr="00280A1B">
        <w:rPr>
          <w:rStyle w:val="Lbjegyzet-hivatkozs"/>
          <w:rFonts w:ascii="Arial" w:hAnsi="Arial"/>
          <w:szCs w:val="18"/>
        </w:rPr>
        <w:t>Az 1. és a 3. Körzet egy részében, a 174</w:t>
      </w:r>
      <w:r w:rsidRPr="00280A1B">
        <w:rPr>
          <w:rStyle w:val="Lbjegyzet-hivatkozs"/>
          <w:rFonts w:ascii="Arial" w:hAnsi="Arial"/>
          <w:szCs w:val="18"/>
        </w:rPr>
        <w:sym w:font="Symbol" w:char="F02D"/>
      </w:r>
      <w:r w:rsidRPr="00280A1B">
        <w:rPr>
          <w:rStyle w:val="Lbjegyzet-hivatkozs"/>
          <w:rFonts w:ascii="Arial" w:hAnsi="Arial"/>
          <w:szCs w:val="18"/>
        </w:rPr>
        <w:t>230 MHz és a 470</w:t>
      </w:r>
      <w:r w:rsidRPr="00280A1B">
        <w:rPr>
          <w:rStyle w:val="Lbjegyzet-hivatkozs"/>
          <w:rFonts w:ascii="Arial" w:hAnsi="Arial"/>
          <w:szCs w:val="18"/>
        </w:rPr>
        <w:sym w:font="Symbol" w:char="F02D"/>
      </w:r>
      <w:r w:rsidRPr="00280A1B">
        <w:rPr>
          <w:rStyle w:val="Lbjegyzet-hivatkozs"/>
          <w:rFonts w:ascii="Arial" w:hAnsi="Arial"/>
          <w:szCs w:val="18"/>
        </w:rPr>
        <w:t>862 MHz sávban üzemelő digitális földfelszíni műsorszóró szolgálat tervezéséve</w:t>
      </w:r>
      <w:r w:rsidRPr="00A138B7">
        <w:rPr>
          <w:rStyle w:val="Lbjegyzet-hivatkozs"/>
          <w:rFonts w:ascii="Arial" w:hAnsi="Arial"/>
          <w:szCs w:val="18"/>
        </w:rPr>
        <w:t>l megbízott rádiótávközlési körzeti értekezlet (RRC</w:t>
      </w:r>
      <w:r w:rsidRPr="00A138B7">
        <w:rPr>
          <w:rStyle w:val="Lbjegyzet-hivatkozs"/>
          <w:rFonts w:ascii="Arial" w:hAnsi="Arial"/>
          <w:szCs w:val="18"/>
        </w:rPr>
        <w:noBreakHyphen/>
        <w:t>06) záróokiratai, Genf, 2006</w:t>
      </w:r>
      <w:r w:rsidRPr="0084499F">
        <w:rPr>
          <w:rFonts w:ascii="Arial" w:hAnsi="Arial"/>
          <w:szCs w:val="18"/>
        </w:rPr>
        <w:t xml:space="preserve"> </w:t>
      </w:r>
    </w:p>
  </w:footnote>
  <w:footnote w:id="20">
    <w:p w14:paraId="1F0D504B" w14:textId="77777777" w:rsidR="007C0BBE" w:rsidRPr="00CA309E" w:rsidRDefault="007C0BBE" w:rsidP="00CA309E">
      <w:pPr>
        <w:keepNext/>
        <w:keepLines/>
        <w:spacing w:after="0" w:line="240" w:lineRule="auto"/>
        <w:rPr>
          <w:rStyle w:val="Lbjegyzet-hivatkozs"/>
          <w:rFonts w:ascii="Arial" w:hAnsi="Arial"/>
          <w:szCs w:val="18"/>
          <w:lang w:val="en-GB"/>
        </w:rPr>
      </w:pPr>
      <w:r w:rsidRPr="00B7054C">
        <w:rPr>
          <w:rStyle w:val="Lbjegyzet-hivatkozs"/>
          <w:rFonts w:ascii="Arial" w:hAnsi="Arial" w:cs="Arial"/>
          <w:szCs w:val="18"/>
        </w:rPr>
        <w:footnoteRef/>
      </w:r>
      <w:r w:rsidRPr="00B941DA">
        <w:rPr>
          <w:rStyle w:val="Lbjegyzet-hivatkozs"/>
          <w:rFonts w:ascii="Arial" w:hAnsi="Arial" w:cs="Arial"/>
          <w:szCs w:val="18"/>
        </w:rPr>
        <w:t xml:space="preserve"> Európa, Afrika és Ázsia egy része</w:t>
      </w:r>
    </w:p>
  </w:footnote>
  <w:footnote w:id="21">
    <w:p w14:paraId="2B2D298B" w14:textId="235BD7C0" w:rsidR="007C0BBE" w:rsidRPr="00CA309E" w:rsidRDefault="007C0BBE" w:rsidP="00CA309E">
      <w:pPr>
        <w:keepNext/>
        <w:keepLines/>
        <w:spacing w:after="0" w:line="240" w:lineRule="auto"/>
        <w:rPr>
          <w:rStyle w:val="Lbjegyzet-hivatkozs"/>
          <w:rFonts w:ascii="Arial" w:hAnsi="Arial"/>
          <w:szCs w:val="18"/>
          <w:lang w:val="en-GB"/>
        </w:rPr>
      </w:pPr>
      <w:r w:rsidRPr="00CA309E">
        <w:rPr>
          <w:rStyle w:val="Lbjegyzet-hivatkozs"/>
        </w:rPr>
        <w:footnoteRef/>
      </w:r>
      <w:r w:rsidRPr="00CA309E">
        <w:rPr>
          <w:rStyle w:val="Lbjegyzet-hivatkozs"/>
          <w:rFonts w:ascii="Arial" w:hAnsi="Arial"/>
          <w:szCs w:val="18"/>
          <w:lang w:val="en-GB"/>
        </w:rPr>
        <w:t xml:space="preserve"> 2015-ös </w:t>
      </w:r>
      <w:proofErr w:type="spellStart"/>
      <w:r w:rsidRPr="00CA309E">
        <w:rPr>
          <w:rStyle w:val="Lbjegyzet-hivatkozs"/>
          <w:rFonts w:ascii="Arial" w:hAnsi="Arial"/>
          <w:szCs w:val="18"/>
          <w:lang w:val="en-GB"/>
        </w:rPr>
        <w:t>Rádiótávközlési</w:t>
      </w:r>
      <w:proofErr w:type="spellEnd"/>
      <w:r w:rsidRPr="00CA309E">
        <w:rPr>
          <w:rStyle w:val="Lbjegyzet-hivatkozs"/>
          <w:rFonts w:ascii="Arial" w:hAnsi="Arial"/>
          <w:szCs w:val="18"/>
          <w:lang w:val="en-GB"/>
        </w:rPr>
        <w:t xml:space="preserve"> </w:t>
      </w:r>
      <w:proofErr w:type="spellStart"/>
      <w:r w:rsidRPr="00CA309E">
        <w:rPr>
          <w:rStyle w:val="Lbjegyzet-hivatkozs"/>
          <w:rFonts w:ascii="Arial" w:hAnsi="Arial"/>
          <w:szCs w:val="18"/>
          <w:lang w:val="en-GB"/>
        </w:rPr>
        <w:t>Világértekezlet</w:t>
      </w:r>
      <w:proofErr w:type="spellEnd"/>
    </w:p>
  </w:footnote>
  <w:footnote w:id="22">
    <w:p w14:paraId="5CCE224A" w14:textId="77777777" w:rsidR="007C0BBE" w:rsidRPr="00F22714" w:rsidRDefault="007C0BBE" w:rsidP="00CA309E">
      <w:pPr>
        <w:keepNext/>
        <w:keepLines/>
        <w:spacing w:after="0" w:line="240" w:lineRule="auto"/>
        <w:rPr>
          <w:rStyle w:val="Lbjegyzet-hivatkozs"/>
          <w:rFonts w:ascii="Arial" w:hAnsi="Arial" w:cs="Arial"/>
          <w:szCs w:val="18"/>
          <w:lang w:val="en-GB"/>
        </w:rPr>
      </w:pPr>
      <w:r w:rsidRPr="00CA309E">
        <w:rPr>
          <w:rStyle w:val="Lbjegyzet-hivatkozs"/>
          <w:rFonts w:ascii="Arial" w:hAnsi="Arial"/>
          <w:szCs w:val="18"/>
          <w:lang w:val="en-GB"/>
        </w:rPr>
        <w:footnoteRef/>
      </w:r>
      <w:r w:rsidRPr="00CA309E">
        <w:rPr>
          <w:rStyle w:val="Lbjegyzet-hivatkozs"/>
          <w:rFonts w:ascii="Arial" w:hAnsi="Arial"/>
          <w:szCs w:val="18"/>
          <w:lang w:val="en-GB"/>
        </w:rPr>
        <w:t xml:space="preserve"> RESOLUTION 760 (WRC-15) Provisions relating to the use of the frequency band 694-790 MHz in Region 1 by the mobile, except aeronautical mobile, </w:t>
      </w:r>
      <w:r w:rsidRPr="00F22714">
        <w:rPr>
          <w:rStyle w:val="Lbjegyzet-hivatkozs"/>
          <w:rFonts w:ascii="Arial" w:hAnsi="Arial" w:cs="Arial"/>
          <w:szCs w:val="18"/>
          <w:lang w:val="en-GB"/>
        </w:rPr>
        <w:t>service and by other services</w:t>
      </w:r>
      <w:r w:rsidRPr="0006062E">
        <w:rPr>
          <w:rStyle w:val="Lbjegyzet-hivatkozs"/>
        </w:rPr>
        <w:t xml:space="preserve"> </w:t>
      </w:r>
      <w:r>
        <w:rPr>
          <w:rStyle w:val="Lbjegyzet-hivatkozs"/>
        </w:rPr>
        <w:t>–</w:t>
      </w:r>
      <w:r w:rsidRPr="0006062E">
        <w:rPr>
          <w:rStyle w:val="Lbjegyzet-hivatkozs"/>
        </w:rPr>
        <w:t xml:space="preserve"> 760</w:t>
      </w:r>
      <w:r w:rsidRPr="00E33BBC">
        <w:rPr>
          <w:rStyle w:val="Lbjegyzet-hivatkozs"/>
          <w:rFonts w:ascii="Arial" w:hAnsi="Arial" w:cs="Arial"/>
          <w:szCs w:val="18"/>
          <w:lang w:val="en-GB"/>
        </w:rPr>
        <w:t>. (</w:t>
      </w:r>
      <w:r w:rsidRPr="0006062E">
        <w:rPr>
          <w:rStyle w:val="Lbjegyzet-hivatkozs"/>
        </w:rPr>
        <w:t>WRC-15) H</w:t>
      </w:r>
      <w:r>
        <w:rPr>
          <w:rStyle w:val="Lbjegyzet-hivatkozs"/>
        </w:rPr>
        <w:t>ATÁROZAT</w:t>
      </w:r>
      <w:r w:rsidRPr="0006062E">
        <w:rPr>
          <w:rStyle w:val="Lbjegyzet-hivatkozs"/>
        </w:rPr>
        <w:t>: A 694-790 MHz sáv mozgószolgálat (kivéve a légi mozgó) és egyéb szolgálatok általi felhasználásával kapcsolatos előírások az 1. Régióban</w:t>
      </w:r>
    </w:p>
  </w:footnote>
  <w:footnote w:id="23">
    <w:p w14:paraId="6B0650F0" w14:textId="77777777" w:rsidR="007C0BBE" w:rsidRPr="00F22714" w:rsidRDefault="007C0BBE" w:rsidP="00E33BBC">
      <w:pPr>
        <w:pStyle w:val="Lbjegyzetszveg"/>
        <w:tabs>
          <w:tab w:val="left" w:pos="0"/>
        </w:tabs>
        <w:rPr>
          <w:rStyle w:val="Lbjegyzet-hivatkozs"/>
          <w:rFonts w:ascii="Arial" w:hAnsi="Arial" w:cs="Arial"/>
          <w:szCs w:val="18"/>
          <w:lang w:val="en-GB"/>
        </w:rPr>
      </w:pPr>
      <w:r w:rsidRPr="00F22714">
        <w:rPr>
          <w:rStyle w:val="Lbjegyzet-hivatkozs"/>
          <w:rFonts w:ascii="Arial" w:hAnsi="Arial" w:cs="Arial"/>
          <w:szCs w:val="18"/>
          <w:lang w:val="en-GB"/>
        </w:rPr>
        <w:footnoteRef/>
      </w:r>
      <w:r w:rsidRPr="00F22714">
        <w:rPr>
          <w:rStyle w:val="Lbjegyzet-hivatkozs"/>
          <w:rFonts w:ascii="Arial" w:hAnsi="Arial" w:cs="Arial"/>
          <w:szCs w:val="18"/>
          <w:lang w:val="en-GB"/>
        </w:rPr>
        <w:t xml:space="preserve"> RESOLUTION 224 (REV.WRC-15); Frequency bands for the terrestrial component of International</w:t>
      </w:r>
      <w:r w:rsidRPr="0006062E">
        <w:rPr>
          <w:rStyle w:val="Lbjegyzet-hivatkozs"/>
          <w:rFonts w:ascii="Arial" w:hAnsi="Arial" w:cs="Arial"/>
          <w:szCs w:val="18"/>
          <w:lang w:val="en-GB"/>
        </w:rPr>
        <w:t xml:space="preserve"> </w:t>
      </w:r>
      <w:r w:rsidRPr="00F22714">
        <w:rPr>
          <w:rStyle w:val="Lbjegyzet-hivatkozs"/>
          <w:rFonts w:ascii="Arial" w:hAnsi="Arial" w:cs="Arial"/>
          <w:szCs w:val="18"/>
          <w:lang w:val="en-GB"/>
        </w:rPr>
        <w:t>Mobile Telecommunications below 1 GHz</w:t>
      </w:r>
      <w:r>
        <w:rPr>
          <w:rFonts w:ascii="Arial" w:hAnsi="Arial" w:cs="Arial"/>
          <w:szCs w:val="18"/>
          <w:lang w:val="en-GB"/>
        </w:rPr>
        <w:t xml:space="preserve"> - </w:t>
      </w:r>
      <w:r w:rsidRPr="00F22714">
        <w:rPr>
          <w:rStyle w:val="Lbjegyzet-hivatkozs"/>
          <w:rFonts w:ascii="Arial" w:hAnsi="Arial" w:cs="Arial"/>
          <w:szCs w:val="18"/>
          <w:lang w:val="en-GB"/>
        </w:rPr>
        <w:t>224 (REV.WRC-15)</w:t>
      </w:r>
      <w:r w:rsidRPr="005D04F4">
        <w:rPr>
          <w:rStyle w:val="Lbjegyzet-hivatkozs"/>
        </w:rPr>
        <w:t xml:space="preserve"> HATÁROZAT: </w:t>
      </w:r>
      <w:proofErr w:type="spellStart"/>
      <w:r w:rsidRPr="005D04F4">
        <w:rPr>
          <w:rStyle w:val="Lbjegyzet-hivatkozs"/>
          <w:rFonts w:ascii="Arial" w:hAnsi="Arial" w:cs="Arial"/>
          <w:szCs w:val="18"/>
          <w:lang w:val="en-GB"/>
        </w:rPr>
        <w:t>Frekvenciasávok</w:t>
      </w:r>
      <w:proofErr w:type="spellEnd"/>
      <w:r w:rsidRPr="005D04F4">
        <w:rPr>
          <w:rStyle w:val="Lbjegyzet-hivatkozs"/>
          <w:rFonts w:ascii="Arial" w:hAnsi="Arial" w:cs="Arial"/>
          <w:szCs w:val="18"/>
          <w:lang w:val="en-GB"/>
        </w:rPr>
        <w:t xml:space="preserve"> a </w:t>
      </w:r>
      <w:proofErr w:type="spellStart"/>
      <w:r w:rsidRPr="005D04F4">
        <w:rPr>
          <w:rStyle w:val="Lbjegyzet-hivatkozs"/>
          <w:rFonts w:ascii="Arial" w:hAnsi="Arial" w:cs="Arial"/>
          <w:szCs w:val="18"/>
          <w:lang w:val="en-GB"/>
        </w:rPr>
        <w:t>nemzetközi</w:t>
      </w:r>
      <w:proofErr w:type="spellEnd"/>
      <w:r w:rsidRPr="005D04F4">
        <w:rPr>
          <w:rStyle w:val="Lbjegyzet-hivatkozs"/>
          <w:rFonts w:ascii="Arial" w:hAnsi="Arial" w:cs="Arial"/>
          <w:szCs w:val="18"/>
          <w:lang w:val="en-GB"/>
        </w:rPr>
        <w:t xml:space="preserve"> </w:t>
      </w:r>
      <w:proofErr w:type="spellStart"/>
      <w:r w:rsidRPr="005D04F4">
        <w:rPr>
          <w:rStyle w:val="Lbjegyzet-hivatkozs"/>
          <w:rFonts w:ascii="Arial" w:hAnsi="Arial" w:cs="Arial"/>
          <w:szCs w:val="18"/>
          <w:lang w:val="en-GB"/>
        </w:rPr>
        <w:t>mozgó</w:t>
      </w:r>
      <w:proofErr w:type="spellEnd"/>
      <w:r w:rsidRPr="005D04F4">
        <w:rPr>
          <w:rStyle w:val="Lbjegyzet-hivatkozs"/>
          <w:rFonts w:ascii="Arial" w:hAnsi="Arial" w:cs="Arial"/>
          <w:szCs w:val="18"/>
          <w:lang w:val="en-GB"/>
        </w:rPr>
        <w:t xml:space="preserve"> </w:t>
      </w:r>
      <w:proofErr w:type="spellStart"/>
      <w:r w:rsidRPr="005D04F4">
        <w:rPr>
          <w:rStyle w:val="Lbjegyzet-hivatkozs"/>
          <w:rFonts w:ascii="Arial" w:hAnsi="Arial" w:cs="Arial"/>
          <w:szCs w:val="18"/>
          <w:lang w:val="en-GB"/>
        </w:rPr>
        <w:t>távközlés</w:t>
      </w:r>
      <w:proofErr w:type="spellEnd"/>
      <w:r w:rsidRPr="005D04F4">
        <w:rPr>
          <w:rStyle w:val="Lbjegyzet-hivatkozs"/>
          <w:rFonts w:ascii="Arial" w:hAnsi="Arial" w:cs="Arial"/>
          <w:szCs w:val="18"/>
          <w:lang w:val="en-GB"/>
        </w:rPr>
        <w:t xml:space="preserve">  </w:t>
      </w:r>
      <w:proofErr w:type="spellStart"/>
      <w:r w:rsidRPr="005D04F4">
        <w:rPr>
          <w:rStyle w:val="Lbjegyzet-hivatkozs"/>
          <w:rFonts w:ascii="Arial" w:hAnsi="Arial" w:cs="Arial"/>
          <w:szCs w:val="18"/>
          <w:lang w:val="en-GB"/>
        </w:rPr>
        <w:t>földfelszíni</w:t>
      </w:r>
      <w:proofErr w:type="spellEnd"/>
      <w:r w:rsidRPr="005D04F4">
        <w:rPr>
          <w:rStyle w:val="Lbjegyzet-hivatkozs"/>
          <w:rFonts w:ascii="Arial" w:hAnsi="Arial" w:cs="Arial"/>
          <w:szCs w:val="18"/>
          <w:lang w:val="en-GB"/>
        </w:rPr>
        <w:t xml:space="preserve"> </w:t>
      </w:r>
      <w:proofErr w:type="spellStart"/>
      <w:r w:rsidRPr="005D04F4">
        <w:rPr>
          <w:rStyle w:val="Lbjegyzet-hivatkozs"/>
          <w:rFonts w:ascii="Arial" w:hAnsi="Arial" w:cs="Arial"/>
          <w:szCs w:val="18"/>
          <w:lang w:val="en-GB"/>
        </w:rPr>
        <w:t>komponensére</w:t>
      </w:r>
      <w:proofErr w:type="spellEnd"/>
      <w:r w:rsidRPr="005D04F4">
        <w:rPr>
          <w:rStyle w:val="Lbjegyzet-hivatkozs"/>
          <w:rFonts w:ascii="Arial" w:hAnsi="Arial" w:cs="Arial"/>
          <w:szCs w:val="18"/>
          <w:lang w:val="en-GB"/>
        </w:rPr>
        <w:t xml:space="preserve"> 1 GHz </w:t>
      </w:r>
      <w:proofErr w:type="spellStart"/>
      <w:r w:rsidRPr="005D04F4">
        <w:rPr>
          <w:rStyle w:val="Lbjegyzet-hivatkozs"/>
          <w:rFonts w:ascii="Arial" w:hAnsi="Arial" w:cs="Arial"/>
          <w:szCs w:val="18"/>
          <w:lang w:val="en-GB"/>
        </w:rPr>
        <w:t>alatt</w:t>
      </w:r>
      <w:proofErr w:type="spellEnd"/>
    </w:p>
  </w:footnote>
  <w:footnote w:id="24">
    <w:p w14:paraId="6C5C0224" w14:textId="77777777" w:rsidR="007C0BBE" w:rsidRPr="00247A9A" w:rsidRDefault="007C0BBE" w:rsidP="00EE5A4C">
      <w:pPr>
        <w:pStyle w:val="Lbjegyzetszveg"/>
        <w:jc w:val="both"/>
        <w:rPr>
          <w:rStyle w:val="Lbjegyzet-hivatkozs"/>
          <w:szCs w:val="18"/>
        </w:rPr>
      </w:pPr>
      <w:r w:rsidRPr="00247A9A">
        <w:rPr>
          <w:rStyle w:val="Lbjegyzet-hivatkozs"/>
          <w:szCs w:val="18"/>
        </w:rPr>
        <w:footnoteRef/>
      </w:r>
      <w:r w:rsidRPr="00247A9A">
        <w:rPr>
          <w:rStyle w:val="Lbjegyzet-hivatkozs"/>
          <w:szCs w:val="18"/>
        </w:rPr>
        <w:t xml:space="preserve"> IMT: </w:t>
      </w:r>
      <w:r w:rsidRPr="0033257E">
        <w:rPr>
          <w:rStyle w:val="Lbjegyzet-hivatkozs"/>
          <w:szCs w:val="18"/>
          <w:lang w:val="en-GB"/>
        </w:rPr>
        <w:t>International Mobile Telecommunications</w:t>
      </w:r>
      <w:r w:rsidRPr="00247A9A">
        <w:rPr>
          <w:rStyle w:val="Lbjegyzet-hivatkozs"/>
          <w:szCs w:val="18"/>
        </w:rPr>
        <w:t xml:space="preserve"> – Nemzetközi mozgó távközlés</w:t>
      </w:r>
    </w:p>
  </w:footnote>
  <w:footnote w:id="25">
    <w:p w14:paraId="20CB2221" w14:textId="77777777" w:rsidR="007C0BBE" w:rsidRPr="00A138B7" w:rsidRDefault="007C0BBE" w:rsidP="00B11DDE">
      <w:pPr>
        <w:autoSpaceDE w:val="0"/>
        <w:autoSpaceDN w:val="0"/>
        <w:adjustRightInd w:val="0"/>
        <w:spacing w:after="0" w:line="240" w:lineRule="auto"/>
        <w:jc w:val="left"/>
        <w:rPr>
          <w:rStyle w:val="Lbjegyzet-hivatkozs"/>
          <w:rFonts w:cstheme="minorBidi"/>
          <w:sz w:val="20"/>
          <w:szCs w:val="20"/>
        </w:rPr>
      </w:pPr>
      <w:r w:rsidRPr="005D04F4">
        <w:rPr>
          <w:rStyle w:val="Lbjegyzet-hivatkozs"/>
          <w:rFonts w:ascii="Arial" w:hAnsi="Arial" w:cs="Arial"/>
          <w:sz w:val="20"/>
          <w:szCs w:val="18"/>
          <w:lang w:val="en-GB"/>
        </w:rPr>
        <w:footnoteRef/>
      </w:r>
      <w:r w:rsidRPr="005D04F4">
        <w:rPr>
          <w:rStyle w:val="Lbjegyzet-hivatkozs"/>
          <w:rFonts w:ascii="Arial" w:hAnsi="Arial" w:cs="Arial"/>
          <w:sz w:val="20"/>
          <w:szCs w:val="18"/>
          <w:lang w:val="en-GB"/>
        </w:rPr>
        <w:t xml:space="preserve"> RESOLUTION 749 (REV.WRC-15) Use of the frequency band 790-862 MHz in countries of Region 1 and the Islamic Republic of Iran by mobile applications and by other services – 749. (WRC-15) HATÁROZAT: A 790-862 MHz </w:t>
      </w:r>
      <w:r w:rsidRPr="00CA309E">
        <w:rPr>
          <w:rStyle w:val="Lbjegyzet-hivatkozs"/>
          <w:rFonts w:ascii="Arial" w:hAnsi="Arial" w:cs="Arial"/>
          <w:sz w:val="20"/>
          <w:szCs w:val="18"/>
        </w:rPr>
        <w:t>sávnak</w:t>
      </w:r>
      <w:r w:rsidRPr="005D04F4">
        <w:rPr>
          <w:rStyle w:val="Lbjegyzet-hivatkozs"/>
          <w:rFonts w:ascii="Arial" w:hAnsi="Arial" w:cs="Arial"/>
          <w:sz w:val="20"/>
          <w:szCs w:val="18"/>
          <w:lang w:val="en-GB"/>
        </w:rPr>
        <w:t xml:space="preserve"> a</w:t>
      </w:r>
      <w:r w:rsidRPr="005D04F4">
        <w:rPr>
          <w:rStyle w:val="Lbjegyzet-hivatkozs"/>
          <w:rFonts w:ascii="Arial" w:hAnsi="Arial" w:cs="Arial"/>
          <w:szCs w:val="18"/>
          <w:lang w:val="en-GB"/>
        </w:rPr>
        <w:t xml:space="preserve"> </w:t>
      </w:r>
      <w:r w:rsidRPr="00A138B7">
        <w:rPr>
          <w:rStyle w:val="Lbjegyzet-hivatkozs"/>
          <w:rFonts w:ascii="Arial" w:hAnsi="Arial" w:cs="Arial"/>
          <w:sz w:val="20"/>
          <w:szCs w:val="18"/>
        </w:rPr>
        <w:t>mozgószolgálati alkalmazások és egyéb szolgálatok</w:t>
      </w:r>
      <w:r w:rsidRPr="00A138B7">
        <w:rPr>
          <w:rStyle w:val="Lbjegyzet-hivatkozs"/>
          <w:rFonts w:cstheme="minorBidi"/>
          <w:sz w:val="20"/>
          <w:szCs w:val="20"/>
        </w:rPr>
        <w:t xml:space="preserve"> általi felhasználása az 1. Régió országaiban és az Iráni Iszlám Köztársaságban</w:t>
      </w:r>
    </w:p>
  </w:footnote>
  <w:footnote w:id="26">
    <w:p w14:paraId="2BE919FD" w14:textId="77777777" w:rsidR="007C0BBE" w:rsidRPr="005D04F4" w:rsidRDefault="007C0BBE" w:rsidP="00BE7933">
      <w:pPr>
        <w:pStyle w:val="Lbjegyzetszveg"/>
        <w:jc w:val="both"/>
        <w:rPr>
          <w:rStyle w:val="Lbjegyzet-hivatkozs"/>
          <w:szCs w:val="18"/>
        </w:rPr>
      </w:pPr>
      <w:r w:rsidRPr="00F01D01">
        <w:rPr>
          <w:rStyle w:val="Lbjegyzet-hivatkozs"/>
          <w:rFonts w:ascii="Arial" w:hAnsi="Arial" w:cs="Arial"/>
        </w:rPr>
        <w:footnoteRef/>
      </w:r>
      <w:r w:rsidRPr="004B20D3">
        <w:rPr>
          <w:rFonts w:ascii="Arial" w:hAnsi="Arial" w:cs="Arial"/>
        </w:rPr>
        <w:t xml:space="preserve"> </w:t>
      </w:r>
      <w:proofErr w:type="spellStart"/>
      <w:r w:rsidRPr="00BC1C9C">
        <w:rPr>
          <w:rStyle w:val="Lbjegyzet-hivatkozs"/>
          <w:szCs w:val="18"/>
        </w:rPr>
        <w:t>Recommendation</w:t>
      </w:r>
      <w:proofErr w:type="spellEnd"/>
      <w:r w:rsidRPr="00BC1C9C">
        <w:rPr>
          <w:rStyle w:val="Lbjegyzet-hivatkozs"/>
          <w:szCs w:val="18"/>
        </w:rPr>
        <w:t xml:space="preserve">  ITU-R  M.1036-5 (10/2015) </w:t>
      </w:r>
      <w:proofErr w:type="spellStart"/>
      <w:r w:rsidRPr="00BC1C9C">
        <w:rPr>
          <w:rStyle w:val="Lbjegyzet-hivatkozs"/>
          <w:szCs w:val="18"/>
        </w:rPr>
        <w:t>Frequency</w:t>
      </w:r>
      <w:proofErr w:type="spellEnd"/>
      <w:r w:rsidRPr="00BC1C9C">
        <w:rPr>
          <w:rStyle w:val="Lbjegyzet-hivatkozs"/>
          <w:szCs w:val="18"/>
        </w:rPr>
        <w:t xml:space="preserve"> </w:t>
      </w:r>
      <w:proofErr w:type="spellStart"/>
      <w:r w:rsidRPr="00BC1C9C">
        <w:rPr>
          <w:rStyle w:val="Lbjegyzet-hivatkozs"/>
          <w:szCs w:val="18"/>
        </w:rPr>
        <w:t>arrangements</w:t>
      </w:r>
      <w:proofErr w:type="spellEnd"/>
      <w:r w:rsidRPr="00BC1C9C">
        <w:rPr>
          <w:rStyle w:val="Lbjegyzet-hivatkozs"/>
          <w:szCs w:val="18"/>
        </w:rPr>
        <w:t xml:space="preserve"> </w:t>
      </w:r>
      <w:proofErr w:type="spellStart"/>
      <w:r w:rsidRPr="00BC1C9C">
        <w:rPr>
          <w:rStyle w:val="Lbjegyzet-hivatkozs"/>
          <w:szCs w:val="18"/>
        </w:rPr>
        <w:t>for</w:t>
      </w:r>
      <w:proofErr w:type="spellEnd"/>
      <w:r w:rsidRPr="00BC1C9C">
        <w:rPr>
          <w:rStyle w:val="Lbjegyzet-hivatkozs"/>
          <w:szCs w:val="18"/>
        </w:rPr>
        <w:t xml:space="preserve"> </w:t>
      </w:r>
      <w:proofErr w:type="spellStart"/>
      <w:r w:rsidRPr="00BC1C9C">
        <w:rPr>
          <w:rStyle w:val="Lbjegyzet-hivatkozs"/>
          <w:szCs w:val="18"/>
        </w:rPr>
        <w:t>implementation</w:t>
      </w:r>
      <w:proofErr w:type="spellEnd"/>
      <w:r w:rsidRPr="00BC1C9C">
        <w:rPr>
          <w:rStyle w:val="Lbjegyzet-hivatkozs"/>
          <w:szCs w:val="18"/>
        </w:rPr>
        <w:t xml:space="preserve"> of </w:t>
      </w:r>
      <w:proofErr w:type="spellStart"/>
      <w:r w:rsidRPr="00BC1C9C">
        <w:rPr>
          <w:rStyle w:val="Lbjegyzet-hivatkozs"/>
          <w:szCs w:val="18"/>
        </w:rPr>
        <w:t>the</w:t>
      </w:r>
      <w:proofErr w:type="spellEnd"/>
      <w:r w:rsidRPr="00BC1C9C">
        <w:rPr>
          <w:rStyle w:val="Lbjegyzet-hivatkozs"/>
          <w:szCs w:val="18"/>
        </w:rPr>
        <w:t xml:space="preserve"> </w:t>
      </w:r>
      <w:proofErr w:type="spellStart"/>
      <w:r w:rsidRPr="00BC1C9C">
        <w:rPr>
          <w:rStyle w:val="Lbjegyzet-hivatkozs"/>
          <w:szCs w:val="18"/>
        </w:rPr>
        <w:t>terrestrial</w:t>
      </w:r>
      <w:proofErr w:type="spellEnd"/>
      <w:r w:rsidRPr="00BC1C9C">
        <w:rPr>
          <w:rStyle w:val="Lbjegyzet-hivatkozs"/>
          <w:szCs w:val="18"/>
        </w:rPr>
        <w:t xml:space="preserve"> </w:t>
      </w:r>
      <w:proofErr w:type="spellStart"/>
      <w:r w:rsidRPr="00BC1C9C">
        <w:rPr>
          <w:rStyle w:val="Lbjegyzet-hivatkozs"/>
          <w:szCs w:val="18"/>
        </w:rPr>
        <w:t>component</w:t>
      </w:r>
      <w:proofErr w:type="spellEnd"/>
      <w:r w:rsidRPr="00BC1C9C">
        <w:rPr>
          <w:rStyle w:val="Lbjegyzet-hivatkozs"/>
          <w:szCs w:val="18"/>
        </w:rPr>
        <w:t xml:space="preserve"> of International Mobile </w:t>
      </w:r>
      <w:proofErr w:type="spellStart"/>
      <w:r w:rsidRPr="00BC1C9C">
        <w:rPr>
          <w:rStyle w:val="Lbjegyzet-hivatkozs"/>
          <w:szCs w:val="18"/>
        </w:rPr>
        <w:t>Telecommunications</w:t>
      </w:r>
      <w:proofErr w:type="spellEnd"/>
      <w:r w:rsidRPr="00BC1C9C">
        <w:rPr>
          <w:rStyle w:val="Lbjegyzet-hivatkozs"/>
          <w:szCs w:val="18"/>
        </w:rPr>
        <w:t xml:space="preserve"> (IMT) in </w:t>
      </w:r>
      <w:proofErr w:type="spellStart"/>
      <w:r w:rsidRPr="00BC1C9C">
        <w:rPr>
          <w:rStyle w:val="Lbjegyzet-hivatkozs"/>
          <w:szCs w:val="18"/>
        </w:rPr>
        <w:t>the</w:t>
      </w:r>
      <w:proofErr w:type="spellEnd"/>
      <w:r w:rsidRPr="00BC1C9C">
        <w:rPr>
          <w:rStyle w:val="Lbjegyzet-hivatkozs"/>
          <w:szCs w:val="18"/>
        </w:rPr>
        <w:t xml:space="preserve"> </w:t>
      </w:r>
      <w:proofErr w:type="spellStart"/>
      <w:r w:rsidRPr="00BC1C9C">
        <w:rPr>
          <w:rStyle w:val="Lbjegyzet-hivatkozs"/>
          <w:szCs w:val="18"/>
        </w:rPr>
        <w:t>bands</w:t>
      </w:r>
      <w:proofErr w:type="spellEnd"/>
      <w:r w:rsidRPr="00BC1C9C">
        <w:rPr>
          <w:rStyle w:val="Lbjegyzet-hivatkozs"/>
          <w:szCs w:val="18"/>
        </w:rPr>
        <w:t xml:space="preserve"> </w:t>
      </w:r>
      <w:proofErr w:type="spellStart"/>
      <w:r w:rsidRPr="00BC1C9C">
        <w:rPr>
          <w:rStyle w:val="Lbjegyzet-hivatkozs"/>
          <w:szCs w:val="18"/>
        </w:rPr>
        <w:t>identified</w:t>
      </w:r>
      <w:proofErr w:type="spellEnd"/>
      <w:r w:rsidRPr="00BC1C9C">
        <w:rPr>
          <w:rStyle w:val="Lbjegyzet-hivatkozs"/>
          <w:szCs w:val="18"/>
        </w:rPr>
        <w:t xml:space="preserve"> </w:t>
      </w:r>
      <w:proofErr w:type="spellStart"/>
      <w:r w:rsidRPr="00BC1C9C">
        <w:rPr>
          <w:rStyle w:val="Lbjegyzet-hivatkozs"/>
          <w:szCs w:val="18"/>
        </w:rPr>
        <w:t>for</w:t>
      </w:r>
      <w:proofErr w:type="spellEnd"/>
      <w:r w:rsidRPr="00BC1C9C">
        <w:rPr>
          <w:rStyle w:val="Lbjegyzet-hivatkozs"/>
          <w:szCs w:val="18"/>
        </w:rPr>
        <w:t xml:space="preserve"> IMT  in </w:t>
      </w:r>
      <w:proofErr w:type="spellStart"/>
      <w:r w:rsidRPr="00BC1C9C">
        <w:rPr>
          <w:rStyle w:val="Lbjegyzet-hivatkozs"/>
          <w:szCs w:val="18"/>
        </w:rPr>
        <w:t>the</w:t>
      </w:r>
      <w:proofErr w:type="spellEnd"/>
      <w:r w:rsidRPr="00BC1C9C">
        <w:rPr>
          <w:rStyle w:val="Lbjegyzet-hivatkozs"/>
          <w:szCs w:val="18"/>
        </w:rPr>
        <w:t xml:space="preserve"> </w:t>
      </w:r>
      <w:proofErr w:type="spellStart"/>
      <w:r w:rsidRPr="00BC1C9C">
        <w:rPr>
          <w:rStyle w:val="Lbjegyzet-hivatkozs"/>
          <w:szCs w:val="18"/>
        </w:rPr>
        <w:t>Radio</w:t>
      </w:r>
      <w:proofErr w:type="spellEnd"/>
      <w:r w:rsidRPr="00BC1C9C">
        <w:rPr>
          <w:rStyle w:val="Lbjegyzet-hivatkozs"/>
          <w:szCs w:val="18"/>
        </w:rPr>
        <w:t xml:space="preserve"> </w:t>
      </w:r>
      <w:proofErr w:type="spellStart"/>
      <w:r w:rsidRPr="00BC1C9C">
        <w:rPr>
          <w:rStyle w:val="Lbjegyzet-hivatkozs"/>
          <w:szCs w:val="18"/>
        </w:rPr>
        <w:t>Regulations</w:t>
      </w:r>
      <w:proofErr w:type="spellEnd"/>
      <w:r w:rsidRPr="00BC1C9C">
        <w:rPr>
          <w:rStyle w:val="Lbjegyzet-hivatkozs"/>
          <w:szCs w:val="18"/>
        </w:rPr>
        <w:t xml:space="preserve"> (RR</w:t>
      </w:r>
      <w:r w:rsidRPr="00BC1C9C">
        <w:rPr>
          <w:rStyle w:val="Lbjegyzet-hivatkozs"/>
          <w:rFonts w:ascii="Arial" w:hAnsi="Arial" w:cs="Arial"/>
          <w:szCs w:val="18"/>
        </w:rPr>
        <w:t>)</w:t>
      </w:r>
      <w:r w:rsidRPr="00BC1C9C">
        <w:rPr>
          <w:rStyle w:val="Lbjegyzet-hivatkozs"/>
          <w:rFonts w:ascii="Arial" w:hAnsi="Arial" w:cs="Arial"/>
        </w:rPr>
        <w:t xml:space="preserve"> – </w:t>
      </w:r>
      <w:r w:rsidRPr="00BC1C9C">
        <w:rPr>
          <w:rStyle w:val="Lbjegyzet-hivatkozs"/>
          <w:rFonts w:ascii="Arial" w:hAnsi="Arial" w:cs="Arial"/>
          <w:szCs w:val="18"/>
        </w:rPr>
        <w:t>ITU-R</w:t>
      </w:r>
      <w:r w:rsidRPr="00BC1C9C">
        <w:rPr>
          <w:rStyle w:val="Lbjegyzet-hivatkozs"/>
          <w:szCs w:val="18"/>
        </w:rPr>
        <w:t xml:space="preserve">  M.1036-5 (10/2015)</w:t>
      </w:r>
      <w:r w:rsidRPr="005D04F4">
        <w:rPr>
          <w:rStyle w:val="Lbjegyzet-hivatkozs"/>
        </w:rPr>
        <w:t xml:space="preserve"> Ajánlás: Frekvenciaelrendezések a nemzetközi mozgó távközlés (IMT) </w:t>
      </w:r>
      <w:r>
        <w:rPr>
          <w:rStyle w:val="Lbjegyzet-hivatkozs"/>
        </w:rPr>
        <w:t>földfelszíni</w:t>
      </w:r>
      <w:r w:rsidRPr="005D04F4">
        <w:rPr>
          <w:rStyle w:val="Lbjegyzet-hivatkozs"/>
        </w:rPr>
        <w:t xml:space="preserve"> komponensének bevezetéséhez a Rádiószabályzatban (RR) azonosított sávokban</w:t>
      </w:r>
    </w:p>
  </w:footnote>
  <w:footnote w:id="27">
    <w:p w14:paraId="2896DC1F" w14:textId="77777777" w:rsidR="007C0BBE" w:rsidRPr="003C2C85" w:rsidRDefault="007C0BBE" w:rsidP="002A763E">
      <w:pPr>
        <w:pStyle w:val="Lbjegyzetszveg"/>
        <w:tabs>
          <w:tab w:val="left" w:pos="0"/>
        </w:tabs>
        <w:rPr>
          <w:rStyle w:val="Lbjegyzet-hivatkozs"/>
          <w:rFonts w:ascii="Arial" w:hAnsi="Arial" w:cs="Arial"/>
          <w:szCs w:val="18"/>
        </w:rPr>
      </w:pPr>
      <w:r w:rsidRPr="00F22714">
        <w:rPr>
          <w:rStyle w:val="Lbjegyzet-hivatkozs"/>
          <w:rFonts w:ascii="Arial" w:hAnsi="Arial" w:cs="Arial"/>
          <w:szCs w:val="18"/>
          <w:lang w:val="en-GB"/>
        </w:rPr>
        <w:footnoteRef/>
      </w:r>
      <w:r w:rsidRPr="0084499F">
        <w:rPr>
          <w:rStyle w:val="Lbjegyzet-hivatkozs"/>
          <w:rFonts w:ascii="Arial" w:hAnsi="Arial" w:cs="Arial"/>
          <w:szCs w:val="18"/>
        </w:rPr>
        <w:t xml:space="preserve"> </w:t>
      </w:r>
      <w:r w:rsidRPr="00D11323">
        <w:rPr>
          <w:rStyle w:val="Lbjegyzet-hivatkozs"/>
        </w:rPr>
        <w:t xml:space="preserve">ARNS: </w:t>
      </w:r>
      <w:proofErr w:type="spellStart"/>
      <w:r w:rsidRPr="00BC1C9C">
        <w:rPr>
          <w:rStyle w:val="Lbjegyzet-hivatkozs"/>
          <w:rFonts w:ascii="Arial" w:hAnsi="Arial" w:cs="Arial"/>
          <w:szCs w:val="18"/>
        </w:rPr>
        <w:t>Aeronautical</w:t>
      </w:r>
      <w:proofErr w:type="spellEnd"/>
      <w:r w:rsidRPr="00BC1C9C">
        <w:rPr>
          <w:rStyle w:val="Lbjegyzet-hivatkozs"/>
          <w:rFonts w:ascii="Arial" w:hAnsi="Arial" w:cs="Arial"/>
          <w:szCs w:val="18"/>
        </w:rPr>
        <w:t xml:space="preserve"> </w:t>
      </w:r>
      <w:proofErr w:type="spellStart"/>
      <w:r w:rsidRPr="00BC1C9C">
        <w:rPr>
          <w:rStyle w:val="Lbjegyzet-hivatkozs"/>
          <w:rFonts w:ascii="Arial" w:hAnsi="Arial" w:cs="Arial"/>
          <w:szCs w:val="18"/>
        </w:rPr>
        <w:t>Radionavigation</w:t>
      </w:r>
      <w:proofErr w:type="spellEnd"/>
      <w:r w:rsidRPr="0084499F">
        <w:rPr>
          <w:rStyle w:val="Lbjegyzet-hivatkozs"/>
          <w:rFonts w:ascii="Arial" w:hAnsi="Arial" w:cs="Arial"/>
          <w:szCs w:val="18"/>
        </w:rPr>
        <w:t xml:space="preserve"> Service – </w:t>
      </w:r>
      <w:r w:rsidRPr="003C2C85">
        <w:rPr>
          <w:rStyle w:val="Lbjegyzet-hivatkozs"/>
          <w:rFonts w:ascii="Arial" w:hAnsi="Arial" w:cs="Arial"/>
          <w:szCs w:val="18"/>
        </w:rPr>
        <w:t>Légi</w:t>
      </w:r>
      <w:r>
        <w:rPr>
          <w:rFonts w:ascii="Arial" w:hAnsi="Arial" w:cs="Arial"/>
          <w:szCs w:val="18"/>
        </w:rPr>
        <w:t xml:space="preserve"> </w:t>
      </w:r>
      <w:r w:rsidRPr="0084499F">
        <w:rPr>
          <w:rStyle w:val="Lbjegyzet-hivatkozs"/>
        </w:rPr>
        <w:t>rádió</w:t>
      </w:r>
      <w:r w:rsidRPr="0084499F">
        <w:rPr>
          <w:rStyle w:val="Lbjegyzet-hivatkozs"/>
          <w:rFonts w:ascii="Arial" w:hAnsi="Arial" w:cs="Arial"/>
          <w:szCs w:val="18"/>
        </w:rPr>
        <w:t>n</w:t>
      </w:r>
      <w:r w:rsidRPr="003C2C85">
        <w:rPr>
          <w:rStyle w:val="Lbjegyzet-hivatkozs"/>
          <w:rFonts w:ascii="Arial" w:hAnsi="Arial" w:cs="Arial"/>
          <w:szCs w:val="18"/>
        </w:rPr>
        <w:t>avigáció szolgálat</w:t>
      </w:r>
    </w:p>
  </w:footnote>
  <w:footnote w:id="28">
    <w:p w14:paraId="382601D6" w14:textId="0D456E9C" w:rsidR="007C0BBE" w:rsidRPr="00391CF1" w:rsidRDefault="007C0BBE" w:rsidP="00CA309E">
      <w:pPr>
        <w:autoSpaceDE w:val="0"/>
        <w:autoSpaceDN w:val="0"/>
        <w:adjustRightInd w:val="0"/>
        <w:spacing w:after="0" w:line="240" w:lineRule="auto"/>
        <w:jc w:val="left"/>
        <w:rPr>
          <w:rStyle w:val="Lbjegyzet-hivatkozs"/>
          <w:rFonts w:cstheme="minorBidi"/>
          <w:sz w:val="20"/>
          <w:szCs w:val="20"/>
          <w:lang w:val="en-GB"/>
        </w:rPr>
      </w:pPr>
      <w:r w:rsidRPr="00391CF1">
        <w:rPr>
          <w:rStyle w:val="Lbjegyzet-hivatkozs"/>
          <w:rFonts w:cstheme="minorBidi"/>
          <w:sz w:val="20"/>
          <w:szCs w:val="20"/>
          <w:lang w:val="en-GB"/>
        </w:rPr>
        <w:footnoteRef/>
      </w:r>
      <w:r w:rsidRPr="00391CF1">
        <w:rPr>
          <w:rStyle w:val="Lbjegyzet-hivatkozs"/>
          <w:rFonts w:cstheme="minorBidi"/>
          <w:sz w:val="20"/>
          <w:szCs w:val="20"/>
          <w:lang w:val="en-GB"/>
        </w:rPr>
        <w:t xml:space="preserve"> RESOLUTION 646 (REV. WRC-19) Public protection and disaster relief</w:t>
      </w:r>
    </w:p>
  </w:footnote>
  <w:footnote w:id="29">
    <w:p w14:paraId="7D976779" w14:textId="2186988E" w:rsidR="007C0BBE" w:rsidRPr="00391CF1" w:rsidRDefault="007C0BBE" w:rsidP="00CA309E">
      <w:pPr>
        <w:autoSpaceDE w:val="0"/>
        <w:autoSpaceDN w:val="0"/>
        <w:adjustRightInd w:val="0"/>
        <w:spacing w:after="0" w:line="240" w:lineRule="auto"/>
        <w:jc w:val="left"/>
        <w:rPr>
          <w:lang w:val="en-GB"/>
        </w:rPr>
      </w:pPr>
      <w:r w:rsidRPr="00391CF1">
        <w:rPr>
          <w:rStyle w:val="Lbjegyzet-hivatkozs"/>
          <w:rFonts w:cstheme="minorBidi"/>
          <w:sz w:val="20"/>
          <w:szCs w:val="20"/>
          <w:lang w:val="en-GB"/>
        </w:rPr>
        <w:footnoteRef/>
      </w:r>
      <w:r w:rsidRPr="00391CF1">
        <w:rPr>
          <w:rStyle w:val="Lbjegyzet-hivatkozs"/>
          <w:rFonts w:cstheme="minorBidi"/>
          <w:sz w:val="20"/>
          <w:szCs w:val="20"/>
          <w:lang w:val="en-GB"/>
        </w:rPr>
        <w:t xml:space="preserve"> Public Protection and Disaster Relief</w:t>
      </w:r>
    </w:p>
  </w:footnote>
  <w:footnote w:id="30">
    <w:p w14:paraId="43D96ADB" w14:textId="3F4F49D0" w:rsidR="007C0BBE" w:rsidRDefault="007C0BBE" w:rsidP="00391CF1">
      <w:pPr>
        <w:autoSpaceDE w:val="0"/>
        <w:autoSpaceDN w:val="0"/>
        <w:adjustRightInd w:val="0"/>
        <w:spacing w:after="0" w:line="240" w:lineRule="auto"/>
        <w:jc w:val="left"/>
      </w:pPr>
      <w:r w:rsidRPr="00391CF1">
        <w:rPr>
          <w:rStyle w:val="Lbjegyzet-hivatkozs"/>
          <w:rFonts w:cstheme="minorBidi"/>
          <w:sz w:val="20"/>
          <w:szCs w:val="20"/>
          <w:lang w:val="en-GB"/>
        </w:rPr>
        <w:footnoteRef/>
      </w:r>
      <w:r w:rsidRPr="00391CF1">
        <w:rPr>
          <w:rStyle w:val="Lbjegyzet-hivatkozs"/>
          <w:rFonts w:cstheme="minorBidi"/>
          <w:sz w:val="20"/>
          <w:szCs w:val="20"/>
          <w:lang w:val="en-GB"/>
        </w:rPr>
        <w:t xml:space="preserve"> M.2015 : Frequency arrangements for public protection and disaster relief </w:t>
      </w:r>
      <w:proofErr w:type="spellStart"/>
      <w:r w:rsidRPr="00391CF1">
        <w:rPr>
          <w:rStyle w:val="Lbjegyzet-hivatkozs"/>
          <w:rFonts w:cstheme="minorBidi"/>
          <w:sz w:val="20"/>
          <w:szCs w:val="20"/>
          <w:lang w:val="en-GB"/>
        </w:rPr>
        <w:t>radiocommunication</w:t>
      </w:r>
      <w:proofErr w:type="spellEnd"/>
      <w:r w:rsidRPr="00391CF1">
        <w:rPr>
          <w:rStyle w:val="Lbjegyzet-hivatkozs"/>
          <w:rFonts w:cstheme="minorBidi"/>
          <w:sz w:val="20"/>
          <w:szCs w:val="20"/>
          <w:lang w:val="en-GB"/>
        </w:rPr>
        <w:t xml:space="preserve"> systems in accordance with Resolution 646 (Rev.WRC-15)</w:t>
      </w:r>
      <w:r>
        <w:rPr>
          <w:rStyle w:val="Lbjegyzet-hivatkozs"/>
          <w:rFonts w:cstheme="minorBidi"/>
          <w:sz w:val="20"/>
          <w:szCs w:val="20"/>
          <w:lang w:val="en-GB"/>
        </w:rPr>
        <w:t xml:space="preserve"> - </w:t>
      </w:r>
      <w:r w:rsidRPr="00391CF1">
        <w:rPr>
          <w:rStyle w:val="Lbjegyzet-hivatkozs"/>
          <w:rFonts w:cstheme="minorBidi"/>
          <w:sz w:val="20"/>
          <w:szCs w:val="20"/>
          <w:lang w:val="en-GB"/>
        </w:rPr>
        <w:t>https://www.itu.int/rec/R-REC-M.2015-2-201801-I/en</w:t>
      </w:r>
      <w:r>
        <w:rPr>
          <w:rFonts w:cstheme="minorBidi"/>
          <w:sz w:val="20"/>
          <w:szCs w:val="20"/>
          <w:lang w:val="en-GB"/>
        </w:rPr>
        <w:t xml:space="preserve"> </w:t>
      </w:r>
    </w:p>
  </w:footnote>
  <w:footnote w:id="31">
    <w:p w14:paraId="55994A02" w14:textId="77777777" w:rsidR="007C0BBE" w:rsidRPr="009C4D07" w:rsidRDefault="007C0BBE" w:rsidP="00D47085">
      <w:pPr>
        <w:pStyle w:val="Lbjegyzetszveg"/>
        <w:tabs>
          <w:tab w:val="left" w:pos="0"/>
        </w:tabs>
        <w:rPr>
          <w:rStyle w:val="Lbjegyzet-hivatkozs"/>
          <w:szCs w:val="18"/>
          <w:lang w:val="en-GB"/>
        </w:rPr>
      </w:pPr>
      <w:r w:rsidRPr="009C4D07">
        <w:rPr>
          <w:rStyle w:val="Lbjegyzet-hivatkozs"/>
          <w:rFonts w:ascii="Arial" w:hAnsi="Arial" w:cs="Arial"/>
          <w:szCs w:val="18"/>
          <w:lang w:val="en-GB"/>
        </w:rPr>
        <w:footnoteRef/>
      </w:r>
      <w:r w:rsidRPr="009C4D07">
        <w:rPr>
          <w:rStyle w:val="Lbjegyzet-hivatkozs"/>
          <w:rFonts w:ascii="Arial" w:hAnsi="Arial" w:cs="Arial"/>
          <w:szCs w:val="18"/>
          <w:lang w:val="en-GB"/>
        </w:rPr>
        <w:t xml:space="preserve"> Mandate to CEPT to develop harmonised technical conditions for the 694-790 MHz ('700 MHz') frequency band in the EU for the provision of wireless broadband and other uses in support of EU spectrum policy objectives</w:t>
      </w:r>
      <w:r w:rsidRPr="00E004EB">
        <w:rPr>
          <w:rStyle w:val="Lbjegyzet-hivatkozs"/>
        </w:rPr>
        <w:t xml:space="preserve"> – Megbízás a CEPT számára harmonizált műszaki feltételek kidolgozására a 694-790 MHz (“700 MHz-es”) sávban az EU-ban vezetéknélküli szélessávú és egyéb felhasználások számára az EU spektrumpolitikai célkitűzéseinek támogatására</w:t>
      </w:r>
    </w:p>
  </w:footnote>
  <w:footnote w:id="32">
    <w:p w14:paraId="6BEB18B4" w14:textId="77777777" w:rsidR="007C0BBE" w:rsidRPr="0026291A" w:rsidRDefault="007C0BBE" w:rsidP="000C3435">
      <w:pPr>
        <w:pStyle w:val="Default"/>
        <w:rPr>
          <w:rStyle w:val="Lbjegyzet-hivatkozs"/>
          <w:szCs w:val="18"/>
          <w:lang w:val="en-GB"/>
        </w:rPr>
      </w:pPr>
      <w:r w:rsidRPr="000C3435">
        <w:rPr>
          <w:rStyle w:val="Lbjegyzet-hivatkozs"/>
          <w:rFonts w:asciiTheme="minorHAnsi" w:hAnsiTheme="minorHAnsi" w:cstheme="minorBidi"/>
          <w:color w:val="auto"/>
          <w:sz w:val="20"/>
          <w:szCs w:val="20"/>
          <w:lang w:val="en-GB"/>
        </w:rPr>
        <w:footnoteRef/>
      </w:r>
      <w:r w:rsidRPr="000C3435">
        <w:rPr>
          <w:rStyle w:val="Lbjegyzet-hivatkozs"/>
          <w:rFonts w:asciiTheme="minorHAnsi" w:hAnsiTheme="minorHAnsi" w:cstheme="minorBidi"/>
          <w:color w:val="auto"/>
          <w:sz w:val="20"/>
          <w:szCs w:val="20"/>
          <w:lang w:val="en-GB"/>
        </w:rPr>
        <w:t xml:space="preserve"> CEPT Report 53 -  Report A from CEPT to the European Commission in response to the Mandate “To develop harmonised technical conditions for the 694-790 MHz ('700 MHz') frequency band in the EU for the provision of wireless broadband and other uses in support of EU spectrum policy objectives” (Report approved on 28 November 2014 by the ECC) </w:t>
      </w:r>
    </w:p>
  </w:footnote>
  <w:footnote w:id="33">
    <w:p w14:paraId="351F907A" w14:textId="77777777" w:rsidR="007C0BBE" w:rsidRPr="0026291A" w:rsidRDefault="007C0BBE" w:rsidP="00E8411E">
      <w:pPr>
        <w:pStyle w:val="Lbjegyzetszveg"/>
        <w:tabs>
          <w:tab w:val="left" w:pos="0"/>
        </w:tabs>
        <w:rPr>
          <w:rStyle w:val="Lbjegyzet-hivatkozs"/>
          <w:szCs w:val="18"/>
          <w:lang w:val="en-GB"/>
        </w:rPr>
      </w:pPr>
      <w:r w:rsidRPr="0026291A">
        <w:rPr>
          <w:rStyle w:val="Lbjegyzet-hivatkozs"/>
          <w:rFonts w:ascii="Arial" w:hAnsi="Arial" w:cs="Arial"/>
          <w:szCs w:val="18"/>
          <w:lang w:val="en-GB"/>
        </w:rPr>
        <w:footnoteRef/>
      </w:r>
      <w:r w:rsidRPr="0026291A">
        <w:rPr>
          <w:rStyle w:val="Lbjegyzet-hivatkozs"/>
          <w:rFonts w:ascii="Arial" w:hAnsi="Arial" w:cs="Arial"/>
          <w:szCs w:val="18"/>
          <w:lang w:val="en-GB"/>
        </w:rPr>
        <w:t xml:space="preserve"> </w:t>
      </w:r>
      <w:r w:rsidRPr="005E3A46">
        <w:rPr>
          <w:rStyle w:val="Lbjegyzet-hivatkozs"/>
          <w:lang w:val="en-GB"/>
        </w:rPr>
        <w:t xml:space="preserve">CEPT Report 53 -  Report </w:t>
      </w:r>
      <w:r>
        <w:rPr>
          <w:rStyle w:val="Lbjegyzet-hivatkozs"/>
          <w:lang w:val="en-GB"/>
        </w:rPr>
        <w:t>B</w:t>
      </w:r>
      <w:r w:rsidRPr="005E3A46">
        <w:rPr>
          <w:rStyle w:val="Lbjegyzet-hivatkozs"/>
          <w:lang w:val="en-GB"/>
        </w:rPr>
        <w:t xml:space="preserve"> from CEPT to the European Commission in response to the Mandate “To develop harmonised technical conditions for the 694-790 MHz ('700 MHz') frequency band in the EU for the provision of wireless broadband and other uses in support of EU spectrum policy objectives” (Report approved on 28 November 2014 by the ECC)</w:t>
      </w:r>
    </w:p>
  </w:footnote>
  <w:footnote w:id="34">
    <w:p w14:paraId="16F65F21" w14:textId="77777777" w:rsidR="007C0BBE" w:rsidRPr="00160B3A" w:rsidRDefault="007C0BBE" w:rsidP="00160B3A">
      <w:pPr>
        <w:spacing w:after="0"/>
        <w:ind w:left="312" w:hanging="312"/>
        <w:rPr>
          <w:rStyle w:val="Lbjegyzet-hivatkozs"/>
          <w:rFonts w:ascii="Arial" w:hAnsi="Arial" w:cs="Arial"/>
          <w:sz w:val="20"/>
          <w:szCs w:val="18"/>
          <w:lang w:val="en-GB"/>
        </w:rPr>
      </w:pPr>
      <w:r w:rsidRPr="000C3435">
        <w:rPr>
          <w:rStyle w:val="Lbjegyzet-hivatkozs"/>
          <w:rFonts w:cstheme="minorBidi"/>
          <w:sz w:val="20"/>
          <w:szCs w:val="20"/>
          <w:lang w:val="en-GB"/>
        </w:rPr>
        <w:footnoteRef/>
      </w:r>
      <w:r w:rsidRPr="000C3435">
        <w:rPr>
          <w:rStyle w:val="Lbjegyzet-hivatkozs"/>
          <w:rFonts w:cstheme="minorBidi"/>
          <w:sz w:val="20"/>
          <w:szCs w:val="20"/>
          <w:lang w:val="en-GB"/>
        </w:rPr>
        <w:t xml:space="preserve"> ECC</w:t>
      </w:r>
      <w:r w:rsidRPr="000C3435">
        <w:rPr>
          <w:rStyle w:val="Lbjegyzet-hivatkozs"/>
          <w:rFonts w:cstheme="minorBidi"/>
          <w:szCs w:val="20"/>
        </w:rPr>
        <w:t xml:space="preserve">: </w:t>
      </w:r>
      <w:r w:rsidRPr="000C3435">
        <w:rPr>
          <w:rStyle w:val="Lbjegyzet-hivatkozs"/>
          <w:rFonts w:cstheme="minorBidi"/>
          <w:sz w:val="20"/>
          <w:szCs w:val="20"/>
          <w:lang w:val="en-GB"/>
        </w:rPr>
        <w:t>Electronic Communications Committee -</w:t>
      </w:r>
      <w:r w:rsidRPr="00DA3396">
        <w:rPr>
          <w:rStyle w:val="Lbjegyzet-hivatkozs"/>
          <w:rFonts w:cstheme="minorBidi"/>
          <w:sz w:val="20"/>
          <w:szCs w:val="20"/>
        </w:rPr>
        <w:t xml:space="preserve"> Elektronikus Hírközlési Bizottság</w:t>
      </w:r>
    </w:p>
  </w:footnote>
  <w:footnote w:id="35">
    <w:p w14:paraId="04AC416B" w14:textId="29D66675" w:rsidR="007C0BBE" w:rsidRPr="00A663FF" w:rsidRDefault="007C0BBE" w:rsidP="00BC30A3">
      <w:pPr>
        <w:pStyle w:val="Lbjegyzetszveg"/>
        <w:tabs>
          <w:tab w:val="left" w:pos="0"/>
        </w:tabs>
        <w:rPr>
          <w:rStyle w:val="Lbjegyzet-hivatkozs"/>
          <w:lang w:val="en-GB"/>
        </w:rPr>
      </w:pPr>
      <w:r w:rsidRPr="0026291A">
        <w:rPr>
          <w:rStyle w:val="Lbjegyzet-hivatkozs"/>
          <w:rFonts w:ascii="Arial" w:hAnsi="Arial" w:cs="Arial"/>
          <w:szCs w:val="18"/>
          <w:lang w:val="en-GB"/>
        </w:rPr>
        <w:footnoteRef/>
      </w:r>
      <w:r w:rsidRPr="0026291A">
        <w:rPr>
          <w:rStyle w:val="Lbjegyzet-hivatkozs"/>
          <w:rFonts w:ascii="Arial" w:hAnsi="Arial" w:cs="Arial"/>
          <w:szCs w:val="18"/>
          <w:lang w:val="en-GB"/>
        </w:rPr>
        <w:t xml:space="preserve"> </w:t>
      </w:r>
      <w:r w:rsidRPr="0026291A">
        <w:rPr>
          <w:rStyle w:val="Lbjegyzet-hivatkozs"/>
          <w:lang w:val="en-GB"/>
        </w:rPr>
        <w:t>ECC Decision (15)01 Harmonised technical conditions for mobile/fixed communications networks (MFCN) in the band 694-790 MHz including a paired frequency arrangement (Frequency Division Duplex 2x30 MHz) and an optional unpaired frequency arrangement (Supplemental Downlink) (06 March 2015)</w:t>
      </w:r>
      <w:r>
        <w:rPr>
          <w:lang w:val="en-GB"/>
        </w:rPr>
        <w:t xml:space="preserve"> </w:t>
      </w:r>
      <w:r w:rsidRPr="005F2A11">
        <w:rPr>
          <w:rStyle w:val="Lbjegyzet-hivatkozs"/>
        </w:rPr>
        <w:t xml:space="preserve">- </w:t>
      </w:r>
      <w:r w:rsidRPr="00C82D82">
        <w:rPr>
          <w:rStyle w:val="Lbjegyzet-hivatkozs"/>
        </w:rPr>
        <w:t xml:space="preserve">A 694-790 MHz sávban működő mozgó/állandóhelyű hírközlő hálózatok (MFCN) harmonizált műszaki feltételei, beleértve egy párosított (2x30 MHz </w:t>
      </w:r>
      <w:proofErr w:type="spellStart"/>
      <w:r w:rsidRPr="00C82D82">
        <w:rPr>
          <w:rStyle w:val="Lbjegyzet-hivatkozs"/>
        </w:rPr>
        <w:t>frekvenciaosztásos</w:t>
      </w:r>
      <w:proofErr w:type="spellEnd"/>
      <w:r w:rsidRPr="00C82D82">
        <w:rPr>
          <w:rStyle w:val="Lbjegyzet-hivatkozs"/>
        </w:rPr>
        <w:t xml:space="preserve"> duplex) és egy választható </w:t>
      </w:r>
      <w:proofErr w:type="spellStart"/>
      <w:r w:rsidRPr="00C82D82">
        <w:rPr>
          <w:rStyle w:val="Lbjegyzet-hivatkozs"/>
        </w:rPr>
        <w:t>párosítatlan</w:t>
      </w:r>
      <w:proofErr w:type="spellEnd"/>
      <w:r w:rsidRPr="00C82D82">
        <w:rPr>
          <w:rStyle w:val="Lbjegyzet-hivatkozs"/>
        </w:rPr>
        <w:t xml:space="preserve"> (kiegészítő lemenő irányú összeköttetés célú) frekvenciaelrendezést (2015. március 6)</w:t>
      </w:r>
    </w:p>
  </w:footnote>
  <w:footnote w:id="36">
    <w:p w14:paraId="5F5663D6" w14:textId="77777777" w:rsidR="007C0BBE" w:rsidRPr="00A046D5" w:rsidRDefault="007C0BBE" w:rsidP="008B3873">
      <w:pPr>
        <w:pStyle w:val="Lbjegyzetszveg"/>
        <w:tabs>
          <w:tab w:val="left" w:pos="0"/>
        </w:tabs>
        <w:rPr>
          <w:rStyle w:val="Lbjegyzet-hivatkozs"/>
          <w:lang w:val="en-GB"/>
        </w:rPr>
      </w:pPr>
      <w:r w:rsidRPr="00A046D5">
        <w:rPr>
          <w:rStyle w:val="Lbjegyzet-hivatkozs"/>
          <w:lang w:val="en-GB"/>
        </w:rPr>
        <w:footnoteRef/>
      </w:r>
      <w:r w:rsidRPr="00A046D5">
        <w:rPr>
          <w:rStyle w:val="Lbjegyzet-hivatkozs"/>
          <w:lang w:val="en-GB"/>
        </w:rPr>
        <w:t xml:space="preserve"> </w:t>
      </w:r>
      <w:r w:rsidRPr="0026291A">
        <w:rPr>
          <w:rStyle w:val="Lbjegyzet-hivatkozs"/>
          <w:lang w:val="en-GB"/>
        </w:rPr>
        <w:t>ECC Report 199</w:t>
      </w:r>
      <w:r w:rsidRPr="00A663FF">
        <w:rPr>
          <w:rStyle w:val="Lbjegyzet-hivatkozs"/>
          <w:lang w:val="en-GB"/>
        </w:rPr>
        <w:t xml:space="preserve">: </w:t>
      </w:r>
      <w:r w:rsidRPr="00A046D5">
        <w:rPr>
          <w:rStyle w:val="Lbjegyzet-hivatkozs"/>
          <w:lang w:val="en-GB"/>
        </w:rPr>
        <w:t>User requirements and spectrum needs for future European broadband PPDR systems (Wide Area Networks) (May 2013)</w:t>
      </w:r>
      <w:r w:rsidRPr="00A663FF">
        <w:rPr>
          <w:rStyle w:val="Lbjegyzet-hivatkozs"/>
          <w:lang w:val="en-GB"/>
        </w:rPr>
        <w:t xml:space="preserve"> – </w:t>
      </w:r>
      <w:proofErr w:type="spellStart"/>
      <w:r w:rsidRPr="00A663FF">
        <w:rPr>
          <w:rStyle w:val="Lbjegyzet-hivatkozs"/>
          <w:lang w:val="en-GB"/>
        </w:rPr>
        <w:t>Jövőbeni</w:t>
      </w:r>
      <w:proofErr w:type="spellEnd"/>
      <w:r w:rsidRPr="00A663FF">
        <w:rPr>
          <w:rStyle w:val="Lbjegyzet-hivatkozs"/>
          <w:lang w:val="en-GB"/>
        </w:rPr>
        <w:t xml:space="preserve"> </w:t>
      </w:r>
      <w:proofErr w:type="spellStart"/>
      <w:r w:rsidRPr="00A663FF">
        <w:rPr>
          <w:rStyle w:val="Lbjegyzet-hivatkozs"/>
          <w:lang w:val="en-GB"/>
        </w:rPr>
        <w:t>európai</w:t>
      </w:r>
      <w:proofErr w:type="spellEnd"/>
      <w:r w:rsidRPr="00A663FF">
        <w:rPr>
          <w:rStyle w:val="Lbjegyzet-hivatkozs"/>
          <w:lang w:val="en-GB"/>
        </w:rPr>
        <w:t xml:space="preserve"> </w:t>
      </w:r>
      <w:proofErr w:type="spellStart"/>
      <w:r w:rsidRPr="00A663FF">
        <w:rPr>
          <w:rStyle w:val="Lbjegyzet-hivatkozs"/>
          <w:lang w:val="en-GB"/>
        </w:rPr>
        <w:t>szélessávú</w:t>
      </w:r>
      <w:proofErr w:type="spellEnd"/>
      <w:r w:rsidRPr="00A663FF">
        <w:rPr>
          <w:rStyle w:val="Lbjegyzet-hivatkozs"/>
          <w:lang w:val="en-GB"/>
        </w:rPr>
        <w:t xml:space="preserve"> PPDR </w:t>
      </w:r>
      <w:proofErr w:type="spellStart"/>
      <w:r w:rsidRPr="00A663FF">
        <w:rPr>
          <w:rStyle w:val="Lbjegyzet-hivatkozs"/>
          <w:lang w:val="en-GB"/>
        </w:rPr>
        <w:t>rendszerek</w:t>
      </w:r>
      <w:proofErr w:type="spellEnd"/>
      <w:r w:rsidRPr="00A663FF">
        <w:rPr>
          <w:rStyle w:val="Lbjegyzet-hivatkozs"/>
          <w:lang w:val="en-GB"/>
        </w:rPr>
        <w:t xml:space="preserve"> (</w:t>
      </w:r>
      <w:proofErr w:type="spellStart"/>
      <w:r w:rsidRPr="00A663FF">
        <w:rPr>
          <w:rStyle w:val="Lbjegyzet-hivatkozs"/>
          <w:lang w:val="en-GB"/>
        </w:rPr>
        <w:t>nagy</w:t>
      </w:r>
      <w:proofErr w:type="spellEnd"/>
      <w:r w:rsidRPr="00A663FF">
        <w:rPr>
          <w:rStyle w:val="Lbjegyzet-hivatkozs"/>
          <w:lang w:val="en-GB"/>
        </w:rPr>
        <w:t xml:space="preserve"> </w:t>
      </w:r>
      <w:proofErr w:type="spellStart"/>
      <w:r w:rsidRPr="00A663FF">
        <w:rPr>
          <w:rStyle w:val="Lbjegyzet-hivatkozs"/>
          <w:lang w:val="en-GB"/>
        </w:rPr>
        <w:t>kiterjedésű</w:t>
      </w:r>
      <w:proofErr w:type="spellEnd"/>
      <w:r w:rsidRPr="00A663FF">
        <w:rPr>
          <w:rStyle w:val="Lbjegyzet-hivatkozs"/>
          <w:lang w:val="en-GB"/>
        </w:rPr>
        <w:t xml:space="preserve"> </w:t>
      </w:r>
      <w:proofErr w:type="spellStart"/>
      <w:r w:rsidRPr="00A663FF">
        <w:rPr>
          <w:rStyle w:val="Lbjegyzet-hivatkozs"/>
          <w:lang w:val="en-GB"/>
        </w:rPr>
        <w:t>hálózatok</w:t>
      </w:r>
      <w:proofErr w:type="spellEnd"/>
      <w:r w:rsidRPr="00A663FF">
        <w:rPr>
          <w:rStyle w:val="Lbjegyzet-hivatkozs"/>
          <w:lang w:val="en-GB"/>
        </w:rPr>
        <w:t xml:space="preserve">) </w:t>
      </w:r>
      <w:proofErr w:type="spellStart"/>
      <w:r w:rsidRPr="00A663FF">
        <w:rPr>
          <w:rStyle w:val="Lbjegyzet-hivatkozs"/>
          <w:lang w:val="en-GB"/>
        </w:rPr>
        <w:t>felhasználói</w:t>
      </w:r>
      <w:proofErr w:type="spellEnd"/>
      <w:r w:rsidRPr="00A663FF">
        <w:rPr>
          <w:rStyle w:val="Lbjegyzet-hivatkozs"/>
          <w:lang w:val="en-GB"/>
        </w:rPr>
        <w:t xml:space="preserve"> </w:t>
      </w:r>
      <w:proofErr w:type="spellStart"/>
      <w:r w:rsidRPr="00A663FF">
        <w:rPr>
          <w:rStyle w:val="Lbjegyzet-hivatkozs"/>
          <w:lang w:val="en-GB"/>
        </w:rPr>
        <w:t>követelményei</w:t>
      </w:r>
      <w:proofErr w:type="spellEnd"/>
      <w:r w:rsidRPr="00A663FF">
        <w:rPr>
          <w:rStyle w:val="Lbjegyzet-hivatkozs"/>
          <w:lang w:val="en-GB"/>
        </w:rPr>
        <w:t xml:space="preserve"> </w:t>
      </w:r>
      <w:proofErr w:type="spellStart"/>
      <w:r w:rsidRPr="00A663FF">
        <w:rPr>
          <w:rStyle w:val="Lbjegyzet-hivatkozs"/>
          <w:lang w:val="en-GB"/>
        </w:rPr>
        <w:t>és</w:t>
      </w:r>
      <w:proofErr w:type="spellEnd"/>
      <w:r w:rsidRPr="00A663FF">
        <w:rPr>
          <w:rStyle w:val="Lbjegyzet-hivatkozs"/>
          <w:lang w:val="en-GB"/>
        </w:rPr>
        <w:t xml:space="preserve"> </w:t>
      </w:r>
      <w:proofErr w:type="spellStart"/>
      <w:r w:rsidRPr="00A663FF">
        <w:rPr>
          <w:rStyle w:val="Lbjegyzet-hivatkozs"/>
          <w:lang w:val="en-GB"/>
        </w:rPr>
        <w:t>spektrumigényei</w:t>
      </w:r>
      <w:proofErr w:type="spellEnd"/>
      <w:r w:rsidRPr="00A663FF">
        <w:rPr>
          <w:rStyle w:val="Lbjegyzet-hivatkozs"/>
          <w:lang w:val="en-GB"/>
        </w:rPr>
        <w:t xml:space="preserve"> (2013. </w:t>
      </w:r>
      <w:proofErr w:type="spellStart"/>
      <w:r w:rsidRPr="00A663FF">
        <w:rPr>
          <w:rStyle w:val="Lbjegyzet-hivatkozs"/>
          <w:lang w:val="en-GB"/>
        </w:rPr>
        <w:t>május</w:t>
      </w:r>
      <w:proofErr w:type="spellEnd"/>
      <w:r w:rsidRPr="00A663FF">
        <w:rPr>
          <w:rStyle w:val="Lbjegyzet-hivatkozs"/>
          <w:lang w:val="en-GB"/>
        </w:rPr>
        <w:t xml:space="preserve">) </w:t>
      </w:r>
    </w:p>
  </w:footnote>
  <w:footnote w:id="37">
    <w:p w14:paraId="1040EAE7" w14:textId="77777777" w:rsidR="007C0BBE" w:rsidRPr="00A046D5" w:rsidRDefault="007C0BBE" w:rsidP="00EF48FA">
      <w:pPr>
        <w:pStyle w:val="Lbjegyzetszveg"/>
        <w:tabs>
          <w:tab w:val="left" w:pos="0"/>
        </w:tabs>
        <w:rPr>
          <w:rStyle w:val="Lbjegyzet-hivatkozs"/>
          <w:lang w:val="en-GB"/>
        </w:rPr>
      </w:pPr>
      <w:r w:rsidRPr="00A046D5">
        <w:rPr>
          <w:rStyle w:val="Lbjegyzet-hivatkozs"/>
          <w:lang w:val="en-GB"/>
        </w:rPr>
        <w:footnoteRef/>
      </w:r>
      <w:r w:rsidRPr="00A046D5">
        <w:rPr>
          <w:rStyle w:val="Lbjegyzet-hivatkozs"/>
          <w:lang w:val="en-GB"/>
        </w:rPr>
        <w:t xml:space="preserve"> </w:t>
      </w:r>
      <w:r w:rsidRPr="00A663FF">
        <w:rPr>
          <w:rStyle w:val="Lbjegyzet-hivatkozs"/>
          <w:lang w:val="en-GB"/>
        </w:rPr>
        <w:t xml:space="preserve">BB-PPDR WAN: </w:t>
      </w:r>
      <w:r w:rsidRPr="0026291A">
        <w:rPr>
          <w:rStyle w:val="Lbjegyzet-hivatkozs"/>
          <w:lang w:val="en-GB"/>
        </w:rPr>
        <w:t>Broadband Public Protection and Disaster Relief Wide Area Network</w:t>
      </w:r>
      <w:r w:rsidRPr="00A663FF">
        <w:rPr>
          <w:rStyle w:val="Lbjegyzet-hivatkozs"/>
          <w:lang w:val="en-GB"/>
        </w:rPr>
        <w:t xml:space="preserve"> – </w:t>
      </w:r>
      <w:proofErr w:type="spellStart"/>
      <w:r w:rsidRPr="00A663FF">
        <w:rPr>
          <w:rStyle w:val="Lbjegyzet-hivatkozs"/>
          <w:lang w:val="en-GB"/>
        </w:rPr>
        <w:t>szélessávú</w:t>
      </w:r>
      <w:proofErr w:type="spellEnd"/>
      <w:r w:rsidRPr="00A663FF">
        <w:rPr>
          <w:rStyle w:val="Lbjegyzet-hivatkozs"/>
          <w:lang w:val="en-GB"/>
        </w:rPr>
        <w:t xml:space="preserve"> </w:t>
      </w:r>
      <w:proofErr w:type="spellStart"/>
      <w:r w:rsidRPr="00A663FF">
        <w:rPr>
          <w:rStyle w:val="Lbjegyzet-hivatkozs"/>
          <w:lang w:val="en-GB"/>
        </w:rPr>
        <w:t>közrendvédelmi</w:t>
      </w:r>
      <w:proofErr w:type="spellEnd"/>
      <w:r w:rsidRPr="00A663FF">
        <w:rPr>
          <w:rStyle w:val="Lbjegyzet-hivatkozs"/>
          <w:lang w:val="en-GB"/>
        </w:rPr>
        <w:t xml:space="preserve"> </w:t>
      </w:r>
      <w:proofErr w:type="spellStart"/>
      <w:r w:rsidRPr="00A663FF">
        <w:rPr>
          <w:rStyle w:val="Lbjegyzet-hivatkozs"/>
          <w:lang w:val="en-GB"/>
        </w:rPr>
        <w:t>és</w:t>
      </w:r>
      <w:proofErr w:type="spellEnd"/>
      <w:r w:rsidRPr="00A663FF">
        <w:rPr>
          <w:rStyle w:val="Lbjegyzet-hivatkozs"/>
          <w:lang w:val="en-GB"/>
        </w:rPr>
        <w:t xml:space="preserve"> </w:t>
      </w:r>
      <w:proofErr w:type="spellStart"/>
      <w:r w:rsidRPr="00A663FF">
        <w:rPr>
          <w:rStyle w:val="Lbjegyzet-hivatkozs"/>
          <w:lang w:val="en-GB"/>
        </w:rPr>
        <w:t>katasztrófa</w:t>
      </w:r>
      <w:proofErr w:type="spellEnd"/>
      <w:r w:rsidRPr="00A663FF">
        <w:rPr>
          <w:rStyle w:val="Lbjegyzet-hivatkozs"/>
          <w:lang w:val="en-GB"/>
        </w:rPr>
        <w:t xml:space="preserve"> </w:t>
      </w:r>
      <w:proofErr w:type="spellStart"/>
      <w:r w:rsidRPr="00A663FF">
        <w:rPr>
          <w:rStyle w:val="Lbjegyzet-hivatkozs"/>
          <w:lang w:val="en-GB"/>
        </w:rPr>
        <w:t>védelmi</w:t>
      </w:r>
      <w:proofErr w:type="spellEnd"/>
      <w:r w:rsidRPr="00A663FF">
        <w:rPr>
          <w:rStyle w:val="Lbjegyzet-hivatkozs"/>
          <w:lang w:val="en-GB"/>
        </w:rPr>
        <w:t xml:space="preserve"> </w:t>
      </w:r>
      <w:proofErr w:type="spellStart"/>
      <w:r w:rsidRPr="00A663FF">
        <w:rPr>
          <w:rStyle w:val="Lbjegyzet-hivatkozs"/>
          <w:lang w:val="en-GB"/>
        </w:rPr>
        <w:t>nagy</w:t>
      </w:r>
      <w:proofErr w:type="spellEnd"/>
      <w:r w:rsidRPr="00A663FF">
        <w:rPr>
          <w:rStyle w:val="Lbjegyzet-hivatkozs"/>
          <w:lang w:val="en-GB"/>
        </w:rPr>
        <w:t xml:space="preserve"> </w:t>
      </w:r>
      <w:proofErr w:type="spellStart"/>
      <w:r w:rsidRPr="00A663FF">
        <w:rPr>
          <w:rStyle w:val="Lbjegyzet-hivatkozs"/>
          <w:lang w:val="en-GB"/>
        </w:rPr>
        <w:t>kiterjedésű</w:t>
      </w:r>
      <w:proofErr w:type="spellEnd"/>
      <w:r w:rsidRPr="00A663FF">
        <w:rPr>
          <w:rStyle w:val="Lbjegyzet-hivatkozs"/>
          <w:lang w:val="en-GB"/>
        </w:rPr>
        <w:t xml:space="preserve"> </w:t>
      </w:r>
      <w:proofErr w:type="spellStart"/>
      <w:r w:rsidRPr="00A663FF">
        <w:rPr>
          <w:rStyle w:val="Lbjegyzet-hivatkozs"/>
          <w:lang w:val="en-GB"/>
        </w:rPr>
        <w:t>hálózatok</w:t>
      </w:r>
      <w:proofErr w:type="spellEnd"/>
    </w:p>
  </w:footnote>
  <w:footnote w:id="38">
    <w:p w14:paraId="25805173" w14:textId="77777777" w:rsidR="007C0BBE" w:rsidRPr="00A046D5" w:rsidRDefault="007C0BBE" w:rsidP="00F5233D">
      <w:pPr>
        <w:pStyle w:val="Lbjegyzetszveg"/>
        <w:tabs>
          <w:tab w:val="left" w:pos="0"/>
        </w:tabs>
        <w:rPr>
          <w:rStyle w:val="Lbjegyzet-hivatkozs"/>
          <w:lang w:val="en-GB"/>
        </w:rPr>
      </w:pPr>
      <w:r w:rsidRPr="00A046D5">
        <w:rPr>
          <w:rStyle w:val="Lbjegyzet-hivatkozs"/>
          <w:lang w:val="en-GB"/>
        </w:rPr>
        <w:footnoteRef/>
      </w:r>
      <w:r w:rsidRPr="00A046D5">
        <w:rPr>
          <w:rStyle w:val="Lbjegyzet-hivatkozs"/>
          <w:lang w:val="en-GB"/>
        </w:rPr>
        <w:t xml:space="preserve"> </w:t>
      </w:r>
      <w:r w:rsidRPr="0026291A">
        <w:rPr>
          <w:rStyle w:val="Lbjegyzet-hivatkozs"/>
          <w:lang w:val="en-GB"/>
        </w:rPr>
        <w:t xml:space="preserve">ECC Report </w:t>
      </w:r>
      <w:r w:rsidRPr="00A046D5">
        <w:rPr>
          <w:rStyle w:val="Lbjegyzet-hivatkozs"/>
          <w:lang w:val="en-GB"/>
        </w:rPr>
        <w:t>218</w:t>
      </w:r>
      <w:r w:rsidRPr="00A663FF">
        <w:rPr>
          <w:rStyle w:val="Lbjegyzet-hivatkozs"/>
          <w:lang w:val="en-GB"/>
        </w:rPr>
        <w:t xml:space="preserve">: </w:t>
      </w:r>
      <w:r w:rsidRPr="00A046D5">
        <w:rPr>
          <w:rStyle w:val="Lbjegyzet-hivatkozs"/>
          <w:lang w:val="en-GB"/>
        </w:rPr>
        <w:t xml:space="preserve"> Harmonised conditions and spectrum bands for the implementation of future European Broadband Public Protection and Disaster Relief (BB-PPDR) systems (Approved October 2015)</w:t>
      </w:r>
      <w:r w:rsidRPr="0026291A">
        <w:rPr>
          <w:rStyle w:val="Lbjegyzet-hivatkozs"/>
          <w:lang w:val="en-GB"/>
        </w:rPr>
        <w:t xml:space="preserve"> </w:t>
      </w:r>
      <w:r w:rsidRPr="00A663FF">
        <w:rPr>
          <w:rStyle w:val="Lbjegyzet-hivatkozs"/>
          <w:lang w:val="en-GB"/>
        </w:rPr>
        <w:t xml:space="preserve"> - </w:t>
      </w:r>
      <w:proofErr w:type="spellStart"/>
      <w:r w:rsidRPr="00A663FF">
        <w:rPr>
          <w:rStyle w:val="Lbjegyzet-hivatkozs"/>
          <w:lang w:val="en-GB"/>
        </w:rPr>
        <w:t>Harmonizált</w:t>
      </w:r>
      <w:proofErr w:type="spellEnd"/>
      <w:r w:rsidRPr="00A663FF">
        <w:rPr>
          <w:rStyle w:val="Lbjegyzet-hivatkozs"/>
          <w:lang w:val="en-GB"/>
        </w:rPr>
        <w:t xml:space="preserve"> </w:t>
      </w:r>
      <w:proofErr w:type="spellStart"/>
      <w:r w:rsidRPr="00A663FF">
        <w:rPr>
          <w:rStyle w:val="Lbjegyzet-hivatkozs"/>
          <w:lang w:val="en-GB"/>
        </w:rPr>
        <w:t>feltételek</w:t>
      </w:r>
      <w:proofErr w:type="spellEnd"/>
      <w:r w:rsidRPr="00A663FF">
        <w:rPr>
          <w:rStyle w:val="Lbjegyzet-hivatkozs"/>
          <w:lang w:val="en-GB"/>
        </w:rPr>
        <w:t xml:space="preserve"> </w:t>
      </w:r>
      <w:proofErr w:type="spellStart"/>
      <w:r w:rsidRPr="00A663FF">
        <w:rPr>
          <w:rStyle w:val="Lbjegyzet-hivatkozs"/>
          <w:lang w:val="en-GB"/>
        </w:rPr>
        <w:t>és</w:t>
      </w:r>
      <w:proofErr w:type="spellEnd"/>
      <w:r w:rsidRPr="00A663FF">
        <w:rPr>
          <w:rStyle w:val="Lbjegyzet-hivatkozs"/>
          <w:lang w:val="en-GB"/>
        </w:rPr>
        <w:t xml:space="preserve"> </w:t>
      </w:r>
      <w:proofErr w:type="spellStart"/>
      <w:r w:rsidRPr="00A663FF">
        <w:rPr>
          <w:rStyle w:val="Lbjegyzet-hivatkozs"/>
          <w:lang w:val="en-GB"/>
        </w:rPr>
        <w:t>frekvenciasávok</w:t>
      </w:r>
      <w:proofErr w:type="spellEnd"/>
      <w:r w:rsidRPr="00A663FF">
        <w:rPr>
          <w:rStyle w:val="Lbjegyzet-hivatkozs"/>
          <w:lang w:val="en-GB"/>
        </w:rPr>
        <w:t xml:space="preserve"> </w:t>
      </w:r>
      <w:proofErr w:type="spellStart"/>
      <w:r w:rsidRPr="00A663FF">
        <w:rPr>
          <w:rStyle w:val="Lbjegyzet-hivatkozs"/>
          <w:lang w:val="en-GB"/>
        </w:rPr>
        <w:t>jövőbeni</w:t>
      </w:r>
      <w:proofErr w:type="spellEnd"/>
      <w:r w:rsidRPr="00A663FF">
        <w:rPr>
          <w:rStyle w:val="Lbjegyzet-hivatkozs"/>
          <w:lang w:val="en-GB"/>
        </w:rPr>
        <w:t xml:space="preserve"> </w:t>
      </w:r>
      <w:proofErr w:type="spellStart"/>
      <w:r w:rsidRPr="00A663FF">
        <w:rPr>
          <w:rStyle w:val="Lbjegyzet-hivatkozs"/>
          <w:lang w:val="en-GB"/>
        </w:rPr>
        <w:t>európai</w:t>
      </w:r>
      <w:proofErr w:type="spellEnd"/>
      <w:r w:rsidRPr="00A663FF">
        <w:rPr>
          <w:rStyle w:val="Lbjegyzet-hivatkozs"/>
          <w:lang w:val="en-GB"/>
        </w:rPr>
        <w:t xml:space="preserve"> </w:t>
      </w:r>
      <w:proofErr w:type="spellStart"/>
      <w:r w:rsidRPr="00A663FF">
        <w:rPr>
          <w:rStyle w:val="Lbjegyzet-hivatkozs"/>
          <w:lang w:val="en-GB"/>
        </w:rPr>
        <w:t>szélessávú</w:t>
      </w:r>
      <w:proofErr w:type="spellEnd"/>
      <w:r w:rsidRPr="00A663FF">
        <w:rPr>
          <w:rStyle w:val="Lbjegyzet-hivatkozs"/>
          <w:lang w:val="en-GB"/>
        </w:rPr>
        <w:t xml:space="preserve"> PPDR </w:t>
      </w:r>
      <w:proofErr w:type="spellStart"/>
      <w:r w:rsidRPr="00A663FF">
        <w:rPr>
          <w:rStyle w:val="Lbjegyzet-hivatkozs"/>
          <w:lang w:val="en-GB"/>
        </w:rPr>
        <w:t>rendszerek</w:t>
      </w:r>
      <w:proofErr w:type="spellEnd"/>
      <w:r w:rsidRPr="00A663FF">
        <w:rPr>
          <w:rStyle w:val="Lbjegyzet-hivatkozs"/>
          <w:lang w:val="en-GB"/>
        </w:rPr>
        <w:t xml:space="preserve"> </w:t>
      </w:r>
      <w:proofErr w:type="spellStart"/>
      <w:r w:rsidRPr="00A663FF">
        <w:rPr>
          <w:rStyle w:val="Lbjegyzet-hivatkozs"/>
          <w:lang w:val="en-GB"/>
        </w:rPr>
        <w:t>bevezetéséhez</w:t>
      </w:r>
      <w:proofErr w:type="spellEnd"/>
      <w:r w:rsidRPr="00A663FF">
        <w:rPr>
          <w:rStyle w:val="Lbjegyzet-hivatkozs"/>
          <w:lang w:val="en-GB"/>
        </w:rPr>
        <w:t xml:space="preserve"> (2015.október)</w:t>
      </w:r>
    </w:p>
  </w:footnote>
  <w:footnote w:id="39">
    <w:p w14:paraId="46C15EBA" w14:textId="77777777" w:rsidR="007C0BBE" w:rsidRPr="00A046D5" w:rsidRDefault="007C0BBE" w:rsidP="008E6B8C">
      <w:pPr>
        <w:pStyle w:val="Lbjegyzetszveg"/>
        <w:tabs>
          <w:tab w:val="left" w:pos="0"/>
        </w:tabs>
        <w:rPr>
          <w:rStyle w:val="Lbjegyzet-hivatkozs"/>
          <w:lang w:val="en-GB"/>
        </w:rPr>
      </w:pPr>
      <w:r w:rsidRPr="00A046D5">
        <w:rPr>
          <w:rStyle w:val="Lbjegyzet-hivatkozs"/>
          <w:lang w:val="en-GB"/>
        </w:rPr>
        <w:footnoteRef/>
      </w:r>
      <w:r w:rsidRPr="00A046D5">
        <w:rPr>
          <w:rStyle w:val="Lbjegyzet-hivatkozs"/>
          <w:lang w:val="en-GB"/>
        </w:rPr>
        <w:t xml:space="preserve"> </w:t>
      </w:r>
      <w:r w:rsidRPr="0026291A">
        <w:rPr>
          <w:rStyle w:val="Lbjegyzet-hivatkozs"/>
          <w:lang w:val="en-GB"/>
        </w:rPr>
        <w:t xml:space="preserve">ECC Report 239 Compatibility and sharing studies for BB PPDR systems operating in the 700 MHz range (Approved 30 September 2015) </w:t>
      </w:r>
      <w:r w:rsidRPr="00A663FF">
        <w:rPr>
          <w:rStyle w:val="Lbjegyzet-hivatkozs"/>
          <w:lang w:val="en-GB"/>
        </w:rPr>
        <w:t xml:space="preserve"> - A 700 MHz-</w:t>
      </w:r>
      <w:proofErr w:type="spellStart"/>
      <w:r w:rsidRPr="00A663FF">
        <w:rPr>
          <w:rStyle w:val="Lbjegyzet-hivatkozs"/>
          <w:lang w:val="en-GB"/>
        </w:rPr>
        <w:t>es</w:t>
      </w:r>
      <w:proofErr w:type="spellEnd"/>
      <w:r w:rsidRPr="00A663FF">
        <w:rPr>
          <w:rStyle w:val="Lbjegyzet-hivatkozs"/>
          <w:lang w:val="en-GB"/>
        </w:rPr>
        <w:t xml:space="preserve"> </w:t>
      </w:r>
      <w:proofErr w:type="spellStart"/>
      <w:r w:rsidRPr="00A663FF">
        <w:rPr>
          <w:rStyle w:val="Lbjegyzet-hivatkozs"/>
          <w:lang w:val="en-GB"/>
        </w:rPr>
        <w:t>sávban</w:t>
      </w:r>
      <w:proofErr w:type="spellEnd"/>
      <w:r w:rsidRPr="00A663FF">
        <w:rPr>
          <w:rStyle w:val="Lbjegyzet-hivatkozs"/>
          <w:lang w:val="en-GB"/>
        </w:rPr>
        <w:t xml:space="preserve"> </w:t>
      </w:r>
      <w:proofErr w:type="spellStart"/>
      <w:r w:rsidRPr="00A663FF">
        <w:rPr>
          <w:rStyle w:val="Lbjegyzet-hivatkozs"/>
          <w:lang w:val="en-GB"/>
        </w:rPr>
        <w:t>üzemelő</w:t>
      </w:r>
      <w:proofErr w:type="spellEnd"/>
      <w:r w:rsidRPr="00A663FF">
        <w:rPr>
          <w:rStyle w:val="Lbjegyzet-hivatkozs"/>
          <w:lang w:val="en-GB"/>
        </w:rPr>
        <w:t xml:space="preserve"> BB-PPDR </w:t>
      </w:r>
      <w:proofErr w:type="spellStart"/>
      <w:r w:rsidRPr="00A663FF">
        <w:rPr>
          <w:rStyle w:val="Lbjegyzet-hivatkozs"/>
          <w:lang w:val="en-GB"/>
        </w:rPr>
        <w:t>rendszerek</w:t>
      </w:r>
      <w:proofErr w:type="spellEnd"/>
      <w:r w:rsidRPr="00A663FF">
        <w:rPr>
          <w:rStyle w:val="Lbjegyzet-hivatkozs"/>
          <w:lang w:val="en-GB"/>
        </w:rPr>
        <w:t xml:space="preserve"> </w:t>
      </w:r>
      <w:proofErr w:type="spellStart"/>
      <w:r w:rsidRPr="00A663FF">
        <w:rPr>
          <w:rStyle w:val="Lbjegyzet-hivatkozs"/>
          <w:lang w:val="en-GB"/>
        </w:rPr>
        <w:t>összeférhetőségi</w:t>
      </w:r>
      <w:proofErr w:type="spellEnd"/>
      <w:r w:rsidRPr="00A663FF">
        <w:rPr>
          <w:rStyle w:val="Lbjegyzet-hivatkozs"/>
          <w:lang w:val="en-GB"/>
        </w:rPr>
        <w:t xml:space="preserve"> </w:t>
      </w:r>
      <w:proofErr w:type="spellStart"/>
      <w:r w:rsidRPr="00A663FF">
        <w:rPr>
          <w:rStyle w:val="Lbjegyzet-hivatkozs"/>
          <w:lang w:val="en-GB"/>
        </w:rPr>
        <w:t>és</w:t>
      </w:r>
      <w:proofErr w:type="spellEnd"/>
      <w:r w:rsidRPr="00A663FF">
        <w:rPr>
          <w:rStyle w:val="Lbjegyzet-hivatkozs"/>
          <w:lang w:val="en-GB"/>
        </w:rPr>
        <w:t xml:space="preserve"> </w:t>
      </w:r>
      <w:proofErr w:type="spellStart"/>
      <w:r w:rsidRPr="00A663FF">
        <w:rPr>
          <w:rStyle w:val="Lbjegyzet-hivatkozs"/>
          <w:lang w:val="en-GB"/>
        </w:rPr>
        <w:t>sávmegosztási</w:t>
      </w:r>
      <w:proofErr w:type="spellEnd"/>
      <w:r w:rsidRPr="00A663FF">
        <w:rPr>
          <w:rStyle w:val="Lbjegyzet-hivatkozs"/>
          <w:lang w:val="en-GB"/>
        </w:rPr>
        <w:t xml:space="preserve"> </w:t>
      </w:r>
      <w:proofErr w:type="spellStart"/>
      <w:r w:rsidRPr="00A663FF">
        <w:rPr>
          <w:rStyle w:val="Lbjegyzet-hivatkozs"/>
          <w:lang w:val="en-GB"/>
        </w:rPr>
        <w:t>vizsgálatai</w:t>
      </w:r>
      <w:proofErr w:type="spellEnd"/>
      <w:r w:rsidRPr="00A663FF">
        <w:rPr>
          <w:rStyle w:val="Lbjegyzet-hivatkozs"/>
          <w:lang w:val="en-GB"/>
        </w:rPr>
        <w:t xml:space="preserve"> (2015. </w:t>
      </w:r>
      <w:proofErr w:type="spellStart"/>
      <w:r w:rsidRPr="00A663FF">
        <w:rPr>
          <w:rStyle w:val="Lbjegyzet-hivatkozs"/>
          <w:lang w:val="en-GB"/>
        </w:rPr>
        <w:t>Szeptember</w:t>
      </w:r>
      <w:proofErr w:type="spellEnd"/>
      <w:r w:rsidRPr="00A663FF">
        <w:rPr>
          <w:rStyle w:val="Lbjegyzet-hivatkozs"/>
          <w:lang w:val="en-GB"/>
        </w:rPr>
        <w:t xml:space="preserve"> 30)</w:t>
      </w:r>
    </w:p>
  </w:footnote>
  <w:footnote w:id="40">
    <w:p w14:paraId="035BD705" w14:textId="77777777" w:rsidR="007C0BBE" w:rsidRPr="00C82D82" w:rsidRDefault="007C0BBE" w:rsidP="005F2A11">
      <w:pPr>
        <w:spacing w:after="0" w:line="240" w:lineRule="auto"/>
        <w:rPr>
          <w:rStyle w:val="Lbjegyzet-hivatkozs"/>
          <w:rFonts w:cstheme="minorBidi"/>
          <w:sz w:val="20"/>
          <w:szCs w:val="20"/>
        </w:rPr>
      </w:pPr>
      <w:r w:rsidRPr="00A663FF">
        <w:rPr>
          <w:rStyle w:val="Lbjegyzet-hivatkozs"/>
          <w:rFonts w:cstheme="minorBidi"/>
          <w:sz w:val="20"/>
          <w:szCs w:val="20"/>
          <w:lang w:val="en-GB"/>
        </w:rPr>
        <w:footnoteRef/>
      </w:r>
      <w:r w:rsidRPr="00A663FF">
        <w:rPr>
          <w:rStyle w:val="Lbjegyzet-hivatkozs"/>
          <w:rFonts w:cstheme="minorBidi"/>
          <w:sz w:val="20"/>
          <w:szCs w:val="20"/>
          <w:lang w:val="en-GB"/>
        </w:rPr>
        <w:t xml:space="preserve"> ECC Decision (16)02: Harmonised technical conditions and frequency bands for the implementation of Broadband Public Protection and Disaster Relief (BB-PPDR) systems (Approved 17 June 2016) - Harmonised technical conditions and frequency bands for the implementation of Broadband Public Protection and Disaster Relief (BB-PPDR) systems - </w:t>
      </w:r>
      <w:r w:rsidRPr="00C82D82">
        <w:rPr>
          <w:rStyle w:val="Lbjegyzet-hivatkozs"/>
          <w:rFonts w:cstheme="minorBidi"/>
          <w:sz w:val="20"/>
          <w:szCs w:val="20"/>
        </w:rPr>
        <w:t>Harmonizált műszaki feltételek és frekvenciasávok a szélessávú közrendvédelmi és katasztrófavédelmi (BB-PPDR) rendszerek megvalósítása részére (2016. június 17)</w:t>
      </w:r>
    </w:p>
  </w:footnote>
  <w:footnote w:id="41">
    <w:p w14:paraId="75549F4C" w14:textId="77777777" w:rsidR="007C0BBE" w:rsidRPr="00A663FF" w:rsidRDefault="007C0BBE" w:rsidP="006E5791">
      <w:pPr>
        <w:pStyle w:val="Lbjegyzetszveg"/>
        <w:tabs>
          <w:tab w:val="left" w:pos="0"/>
        </w:tabs>
        <w:rPr>
          <w:rStyle w:val="Lbjegyzet-hivatkozs"/>
          <w:lang w:val="en-GB"/>
        </w:rPr>
      </w:pPr>
      <w:r w:rsidRPr="00A663FF">
        <w:rPr>
          <w:rStyle w:val="Lbjegyzet-hivatkozs"/>
          <w:lang w:val="en-GB"/>
        </w:rPr>
        <w:footnoteRef/>
      </w:r>
      <w:r w:rsidRPr="00A663FF">
        <w:rPr>
          <w:rStyle w:val="Lbjegyzet-hivatkozs"/>
          <w:lang w:val="en-GB"/>
        </w:rPr>
        <w:t xml:space="preserve"> ECC Report 242:  Compatibility and sharing studies for M2M applications in the 733-736 MHz/788-791 MHz band (Approved 04 March 2016) - A 733-736 MHz/788-791 MHz </w:t>
      </w:r>
      <w:r w:rsidRPr="00C82D82">
        <w:rPr>
          <w:rStyle w:val="Lbjegyzet-hivatkozs"/>
        </w:rPr>
        <w:t>sávban üzemelő M2M alkalmazásokra vonatkozó összeférhetőségi és sávmegosztási vizsgálatok (2016. március 4.)</w:t>
      </w:r>
    </w:p>
  </w:footnote>
  <w:footnote w:id="42">
    <w:p w14:paraId="4A702790" w14:textId="77777777" w:rsidR="007C0BBE" w:rsidRPr="00DA3396" w:rsidRDefault="007C0BBE" w:rsidP="00B81BDE">
      <w:pPr>
        <w:pStyle w:val="Lbjegyzetszveg"/>
        <w:tabs>
          <w:tab w:val="left" w:pos="0"/>
        </w:tabs>
        <w:rPr>
          <w:rStyle w:val="Lbjegyzet-hivatkozs"/>
        </w:rPr>
      </w:pPr>
      <w:r w:rsidRPr="00A663FF">
        <w:rPr>
          <w:rStyle w:val="Lbjegyzet-hivatkozs"/>
          <w:lang w:val="en-GB"/>
        </w:rPr>
        <w:footnoteRef/>
      </w:r>
      <w:r w:rsidRPr="00A663FF">
        <w:rPr>
          <w:rStyle w:val="Lbjegyzet-hivatkozs"/>
          <w:lang w:val="en-GB"/>
        </w:rPr>
        <w:t xml:space="preserve"> Draft ECC Report 266: The suitability of the current ECC regulatory framework for the future usage of Wideband and Narrowband M2M in the frequency bands 700 MHz, 800 MHz, 900 MHz, 1800 MHz, 2100 MHz, 2300MHz, 2600 MHz, 3400-3600 MHz and 3600-3800 MHz – </w:t>
      </w:r>
      <w:r w:rsidRPr="00DA3396">
        <w:rPr>
          <w:rStyle w:val="Lbjegyzet-hivatkozs"/>
        </w:rPr>
        <w:t xml:space="preserve">A jelenlegi ECC szabályozási keret </w:t>
      </w:r>
      <w:proofErr w:type="spellStart"/>
      <w:r w:rsidRPr="00DA3396">
        <w:rPr>
          <w:rStyle w:val="Lbjegyzet-hivatkozs"/>
        </w:rPr>
        <w:t>alkalmassága</w:t>
      </w:r>
      <w:proofErr w:type="spellEnd"/>
      <w:r w:rsidRPr="00DA3396">
        <w:rPr>
          <w:rStyle w:val="Lbjegyzet-hivatkozs"/>
        </w:rPr>
        <w:t xml:space="preserve"> a szélessávú és keskenysávú M2M számára a 700 MHz, 800 MHz, 900 MHz, 1800 MHz, 2100 MHz, 2300MHz, 2600 MHz, 3400-3600 MHz és 3600-3800 MHz sávokban</w:t>
      </w:r>
    </w:p>
  </w:footnote>
  <w:footnote w:id="43">
    <w:p w14:paraId="4BAA8A04" w14:textId="77777777" w:rsidR="007C0BBE" w:rsidRPr="00A663FF" w:rsidRDefault="007C0BBE" w:rsidP="001C5208">
      <w:pPr>
        <w:pStyle w:val="Lbjegyzetszveg"/>
        <w:tabs>
          <w:tab w:val="left" w:pos="0"/>
        </w:tabs>
        <w:rPr>
          <w:rStyle w:val="Lbjegyzet-hivatkozs"/>
          <w:lang w:val="en-GB"/>
        </w:rPr>
      </w:pPr>
      <w:r w:rsidRPr="00A663FF">
        <w:rPr>
          <w:rStyle w:val="Lbjegyzet-hivatkozs"/>
          <w:lang w:val="en-GB"/>
        </w:rPr>
        <w:footnoteRef/>
      </w:r>
      <w:r w:rsidRPr="00A663FF">
        <w:rPr>
          <w:rStyle w:val="Lbjegyzet-hivatkozs"/>
          <w:lang w:val="en-GB"/>
        </w:rPr>
        <w:t xml:space="preserve"> ECC Report 221: Adjacent band compatibility between MFCN and PMSE audio applications in the 700 MHz frequency band (Approved September 2014) </w:t>
      </w:r>
      <w:r w:rsidRPr="00DA3396">
        <w:rPr>
          <w:rStyle w:val="Lbjegyzet-hivatkozs"/>
        </w:rPr>
        <w:t>– A 700 MHz-es sávban működő MFCN és a szomszédos sávokban működő hangfrekvenciás PMSE alkalmazások közötti összeférhetőség (2014. Szeptember)</w:t>
      </w:r>
      <w:r w:rsidRPr="00A663FF">
        <w:rPr>
          <w:rStyle w:val="Lbjegyzet-hivatkozs"/>
          <w:lang w:val="en-GB"/>
        </w:rPr>
        <w:t xml:space="preserve"> </w:t>
      </w:r>
    </w:p>
  </w:footnote>
  <w:footnote w:id="44">
    <w:p w14:paraId="687D98F6" w14:textId="6DC7AD69" w:rsidR="007C0BBE" w:rsidRPr="00880924" w:rsidRDefault="007C0BBE" w:rsidP="002E7F47">
      <w:pPr>
        <w:pStyle w:val="Lbjegyzetszveg"/>
        <w:tabs>
          <w:tab w:val="left" w:pos="0"/>
        </w:tabs>
        <w:rPr>
          <w:rStyle w:val="Lbjegyzet-hivatkozs"/>
          <w:lang w:val="en-GB"/>
        </w:rPr>
      </w:pPr>
      <w:r w:rsidRPr="00880924">
        <w:rPr>
          <w:rStyle w:val="Lbjegyzet-hivatkozs"/>
          <w:lang w:val="en-GB"/>
        </w:rPr>
        <w:footnoteRef/>
      </w:r>
      <w:r w:rsidRPr="00880924">
        <w:rPr>
          <w:rStyle w:val="Lbjegyzet-hivatkozs"/>
          <w:lang w:val="en-GB"/>
        </w:rPr>
        <w:t xml:space="preserve"> ECC Recommendation (15)01 Cross-border coordination for mobile / fixed communications networks (MFCN) in the frequency bands:694-790 MHz, 1452-1492 MHz, 3400-3600 MHz and 3600-3800 MHz Approved 13 February 2015 latest amendment on 14 February 2020 – A 694-790 MHz, 1452–1492 MHz, </w:t>
      </w:r>
      <w:r w:rsidRPr="00880924">
        <w:rPr>
          <w:rStyle w:val="Lbjegyzet-hivatkozs"/>
        </w:rPr>
        <w:t>3400–3600 MHz és a 3600–3800 MHz frekvenciasávban működő mozgó/állandóhelyű hírközlő hálózatok (MFCN) határövezeti koordinációja (2015. február 13., utolsó módosítás: 2020. február 14.)</w:t>
      </w:r>
    </w:p>
  </w:footnote>
  <w:footnote w:id="45">
    <w:p w14:paraId="35620995" w14:textId="47B1782B" w:rsidR="007C0BBE" w:rsidRPr="00552D12" w:rsidRDefault="007C0BBE" w:rsidP="002E7F47">
      <w:pPr>
        <w:pStyle w:val="Lbjegyzetszveg"/>
        <w:tabs>
          <w:tab w:val="left" w:pos="0"/>
        </w:tabs>
        <w:rPr>
          <w:rStyle w:val="Lbjegyzet-hivatkozs"/>
          <w:szCs w:val="18"/>
        </w:rPr>
      </w:pPr>
      <w:r w:rsidRPr="00880924">
        <w:rPr>
          <w:rStyle w:val="Lbjegyzet-hivatkozs"/>
          <w:lang w:val="en-GB"/>
        </w:rPr>
        <w:footnoteRef/>
      </w:r>
      <w:r w:rsidRPr="00880924">
        <w:rPr>
          <w:rStyle w:val="Lbjegyzet-hivatkozs"/>
          <w:lang w:val="en-GB"/>
        </w:rPr>
        <w:t xml:space="preserve"> </w:t>
      </w:r>
      <w:r w:rsidRPr="0026291A">
        <w:rPr>
          <w:rStyle w:val="Lbjegyzet-hivatkozs"/>
          <w:lang w:val="en-GB"/>
        </w:rPr>
        <w:t xml:space="preserve">ECC Recommendation (16)03 Cross-border coordination for Broadband Public Protection and Disaster Relief (BB-PPDR) systems in the frequency band </w:t>
      </w:r>
      <w:r w:rsidRPr="00880924">
        <w:rPr>
          <w:rStyle w:val="Lbjegyzet-hivatkozs"/>
          <w:lang w:val="en-GB"/>
        </w:rPr>
        <w:t xml:space="preserve">698 to 791 MHz Approved 17 October 2016  - </w:t>
      </w:r>
      <w:proofErr w:type="spellStart"/>
      <w:r w:rsidRPr="00880924">
        <w:rPr>
          <w:rStyle w:val="Lbjegyzet-hivatkozs"/>
          <w:lang w:val="en-GB"/>
        </w:rPr>
        <w:t>Szélessávú</w:t>
      </w:r>
      <w:proofErr w:type="spellEnd"/>
      <w:r w:rsidRPr="00880924">
        <w:rPr>
          <w:rStyle w:val="Lbjegyzet-hivatkozs"/>
          <w:lang w:val="en-GB"/>
        </w:rPr>
        <w:t xml:space="preserve"> </w:t>
      </w:r>
      <w:proofErr w:type="spellStart"/>
      <w:r w:rsidRPr="00880924">
        <w:rPr>
          <w:rStyle w:val="Lbjegyzet-hivatkozs"/>
          <w:lang w:val="en-GB"/>
        </w:rPr>
        <w:t>közrendvédelmi</w:t>
      </w:r>
      <w:proofErr w:type="spellEnd"/>
      <w:r w:rsidRPr="00880924">
        <w:rPr>
          <w:rStyle w:val="Lbjegyzet-hivatkozs"/>
          <w:lang w:val="en-GB"/>
        </w:rPr>
        <w:t xml:space="preserve"> </w:t>
      </w:r>
      <w:proofErr w:type="spellStart"/>
      <w:r w:rsidRPr="00880924">
        <w:rPr>
          <w:rStyle w:val="Lbjegyzet-hivatkozs"/>
          <w:lang w:val="en-GB"/>
        </w:rPr>
        <w:t>és</w:t>
      </w:r>
      <w:proofErr w:type="spellEnd"/>
      <w:r w:rsidRPr="00880924">
        <w:rPr>
          <w:rStyle w:val="Lbjegyzet-hivatkozs"/>
          <w:lang w:val="en-GB"/>
        </w:rPr>
        <w:t xml:space="preserve"> </w:t>
      </w:r>
      <w:proofErr w:type="spellStart"/>
      <w:r w:rsidRPr="00880924">
        <w:rPr>
          <w:rStyle w:val="Lbjegyzet-hivatkozs"/>
          <w:lang w:val="en-GB"/>
        </w:rPr>
        <w:t>katasztrófavédelmi</w:t>
      </w:r>
      <w:proofErr w:type="spellEnd"/>
      <w:r w:rsidRPr="00880924">
        <w:rPr>
          <w:rStyle w:val="Lbjegyzet-hivatkozs"/>
          <w:lang w:val="en-GB"/>
        </w:rPr>
        <w:t xml:space="preserve"> (BB-PPDR) </w:t>
      </w:r>
      <w:proofErr w:type="spellStart"/>
      <w:r w:rsidRPr="00880924">
        <w:rPr>
          <w:rStyle w:val="Lbjegyzet-hivatkozs"/>
          <w:lang w:val="en-GB"/>
        </w:rPr>
        <w:t>rendszerek</w:t>
      </w:r>
      <w:proofErr w:type="spellEnd"/>
      <w:r w:rsidRPr="00880924">
        <w:rPr>
          <w:rStyle w:val="Lbjegyzet-hivatkozs"/>
          <w:lang w:val="en-GB"/>
        </w:rPr>
        <w:t xml:space="preserve"> </w:t>
      </w:r>
      <w:proofErr w:type="spellStart"/>
      <w:r w:rsidRPr="00880924">
        <w:rPr>
          <w:rStyle w:val="Lbjegyzet-hivatkozs"/>
          <w:lang w:val="en-GB"/>
        </w:rPr>
        <w:t>határövezeti</w:t>
      </w:r>
      <w:proofErr w:type="spellEnd"/>
      <w:r w:rsidRPr="00880924">
        <w:rPr>
          <w:rStyle w:val="Lbjegyzet-hivatkozs"/>
          <w:lang w:val="en-GB"/>
        </w:rPr>
        <w:t xml:space="preserve"> </w:t>
      </w:r>
      <w:proofErr w:type="spellStart"/>
      <w:r w:rsidRPr="00880924">
        <w:rPr>
          <w:rStyle w:val="Lbjegyzet-hivatkozs"/>
          <w:lang w:val="en-GB"/>
        </w:rPr>
        <w:t>koordinációja</w:t>
      </w:r>
      <w:proofErr w:type="spellEnd"/>
      <w:r w:rsidRPr="00880924">
        <w:rPr>
          <w:rStyle w:val="Lbjegyzet-hivatkozs"/>
          <w:lang w:val="en-GB"/>
        </w:rPr>
        <w:t xml:space="preserve"> a 698-791 MHz </w:t>
      </w:r>
      <w:proofErr w:type="spellStart"/>
      <w:r w:rsidRPr="00880924">
        <w:rPr>
          <w:rStyle w:val="Lbjegyzet-hivatkozs"/>
          <w:lang w:val="en-GB"/>
        </w:rPr>
        <w:t>sávban</w:t>
      </w:r>
      <w:proofErr w:type="spellEnd"/>
      <w:r w:rsidRPr="00880924">
        <w:rPr>
          <w:rStyle w:val="Lbjegyzet-hivatkozs"/>
          <w:lang w:val="en-GB"/>
        </w:rPr>
        <w:t xml:space="preserve"> (2016. </w:t>
      </w:r>
      <w:proofErr w:type="spellStart"/>
      <w:r w:rsidRPr="00880924">
        <w:rPr>
          <w:rStyle w:val="Lbjegyzet-hivatkozs"/>
          <w:lang w:val="en-GB"/>
        </w:rPr>
        <w:t>október</w:t>
      </w:r>
      <w:proofErr w:type="spellEnd"/>
      <w:r w:rsidRPr="00880924">
        <w:rPr>
          <w:rStyle w:val="Lbjegyzet-hivatkozs"/>
          <w:lang w:val="en-GB"/>
        </w:rPr>
        <w:t xml:space="preserve"> 17.)</w:t>
      </w:r>
    </w:p>
  </w:footnote>
  <w:footnote w:id="46">
    <w:p w14:paraId="321F6BCA" w14:textId="77777777" w:rsidR="007C0BBE" w:rsidRDefault="007C0BBE" w:rsidP="00A57A5F">
      <w:pPr>
        <w:pStyle w:val="Lbjegyzetszveg"/>
      </w:pPr>
      <w:r w:rsidRPr="00840181">
        <w:rPr>
          <w:rStyle w:val="Lbjegyzet-hivatkozs"/>
          <w:szCs w:val="18"/>
          <w:lang w:val="en-GB"/>
        </w:rPr>
        <w:footnoteRef/>
      </w:r>
      <w:r w:rsidRPr="00840181">
        <w:rPr>
          <w:rStyle w:val="Lbjegyzet-hivatkozs"/>
          <w:szCs w:val="18"/>
          <w:lang w:val="en-GB"/>
        </w:rPr>
        <w:t xml:space="preserve"> </w:t>
      </w:r>
      <w:proofErr w:type="spellStart"/>
      <w:r w:rsidRPr="00840181">
        <w:rPr>
          <w:rStyle w:val="Lbjegyzet-hivatkozs"/>
          <w:szCs w:val="18"/>
          <w:lang w:val="en-GB"/>
        </w:rPr>
        <w:t>Az</w:t>
      </w:r>
      <w:proofErr w:type="spellEnd"/>
      <w:r w:rsidRPr="00840181">
        <w:rPr>
          <w:rStyle w:val="Lbjegyzet-hivatkozs"/>
          <w:szCs w:val="18"/>
          <w:lang w:val="en-GB"/>
        </w:rPr>
        <w:t xml:space="preserve"> </w:t>
      </w:r>
      <w:proofErr w:type="spellStart"/>
      <w:r w:rsidRPr="00840181">
        <w:rPr>
          <w:rStyle w:val="Lbjegyzet-hivatkozs"/>
          <w:szCs w:val="18"/>
          <w:lang w:val="en-GB"/>
        </w:rPr>
        <w:t>Európai</w:t>
      </w:r>
      <w:proofErr w:type="spellEnd"/>
      <w:r w:rsidRPr="00840181">
        <w:rPr>
          <w:rStyle w:val="Lbjegyzet-hivatkozs"/>
          <w:szCs w:val="18"/>
          <w:lang w:val="en-GB"/>
        </w:rPr>
        <w:t xml:space="preserve"> </w:t>
      </w:r>
      <w:proofErr w:type="spellStart"/>
      <w:r w:rsidRPr="00840181">
        <w:rPr>
          <w:rStyle w:val="Lbjegyzet-hivatkozs"/>
          <w:szCs w:val="18"/>
          <w:lang w:val="en-GB"/>
        </w:rPr>
        <w:t>Parlament</w:t>
      </w:r>
      <w:proofErr w:type="spellEnd"/>
      <w:r w:rsidRPr="00840181">
        <w:rPr>
          <w:rStyle w:val="Lbjegyzet-hivatkozs"/>
          <w:szCs w:val="18"/>
          <w:lang w:val="en-GB"/>
        </w:rPr>
        <w:t xml:space="preserve"> </w:t>
      </w:r>
      <w:proofErr w:type="spellStart"/>
      <w:r w:rsidRPr="00840181">
        <w:rPr>
          <w:rStyle w:val="Lbjegyzet-hivatkozs"/>
          <w:szCs w:val="18"/>
          <w:lang w:val="en-GB"/>
        </w:rPr>
        <w:t>és</w:t>
      </w:r>
      <w:proofErr w:type="spellEnd"/>
      <w:r w:rsidRPr="00840181">
        <w:rPr>
          <w:rStyle w:val="Lbjegyzet-hivatkozs"/>
          <w:szCs w:val="18"/>
          <w:lang w:val="en-GB"/>
        </w:rPr>
        <w:t xml:space="preserve"> a </w:t>
      </w:r>
      <w:proofErr w:type="spellStart"/>
      <w:r w:rsidRPr="00840181">
        <w:rPr>
          <w:rStyle w:val="Lbjegyzet-hivatkozs"/>
          <w:szCs w:val="18"/>
          <w:lang w:val="en-GB"/>
        </w:rPr>
        <w:t>Tanács</w:t>
      </w:r>
      <w:proofErr w:type="spellEnd"/>
      <w:r w:rsidRPr="00840181">
        <w:rPr>
          <w:rStyle w:val="Lbjegyzet-hivatkozs"/>
          <w:szCs w:val="18"/>
          <w:lang w:val="en-GB"/>
        </w:rPr>
        <w:t xml:space="preserve"> 243/2012/EU </w:t>
      </w:r>
      <w:proofErr w:type="spellStart"/>
      <w:r w:rsidRPr="00840181">
        <w:rPr>
          <w:rStyle w:val="Lbjegyzet-hivatkozs"/>
          <w:szCs w:val="18"/>
          <w:lang w:val="en-GB"/>
        </w:rPr>
        <w:t>határozata</w:t>
      </w:r>
      <w:proofErr w:type="spellEnd"/>
      <w:r w:rsidRPr="00840181">
        <w:rPr>
          <w:rStyle w:val="Lbjegyzet-hivatkozs"/>
          <w:szCs w:val="18"/>
          <w:lang w:val="en-GB"/>
        </w:rPr>
        <w:t xml:space="preserve"> (2012. </w:t>
      </w:r>
      <w:proofErr w:type="spellStart"/>
      <w:r w:rsidRPr="00840181">
        <w:rPr>
          <w:rStyle w:val="Lbjegyzet-hivatkozs"/>
          <w:szCs w:val="18"/>
          <w:lang w:val="en-GB"/>
        </w:rPr>
        <w:t>március</w:t>
      </w:r>
      <w:proofErr w:type="spellEnd"/>
      <w:r w:rsidRPr="00840181">
        <w:rPr>
          <w:rStyle w:val="Lbjegyzet-hivatkozs"/>
          <w:szCs w:val="18"/>
          <w:lang w:val="en-GB"/>
        </w:rPr>
        <w:t xml:space="preserve"> 14.) </w:t>
      </w:r>
      <w:proofErr w:type="spellStart"/>
      <w:r w:rsidRPr="00840181">
        <w:rPr>
          <w:rStyle w:val="Lbjegyzet-hivatkozs"/>
          <w:szCs w:val="18"/>
          <w:lang w:val="en-GB"/>
        </w:rPr>
        <w:t>egy</w:t>
      </w:r>
      <w:proofErr w:type="spellEnd"/>
      <w:r w:rsidRPr="00840181">
        <w:rPr>
          <w:rStyle w:val="Lbjegyzet-hivatkozs"/>
          <w:szCs w:val="18"/>
          <w:lang w:val="en-GB"/>
        </w:rPr>
        <w:t xml:space="preserve"> </w:t>
      </w:r>
      <w:proofErr w:type="spellStart"/>
      <w:r w:rsidRPr="00840181">
        <w:rPr>
          <w:rStyle w:val="Lbjegyzet-hivatkozs"/>
          <w:szCs w:val="18"/>
          <w:lang w:val="en-GB"/>
        </w:rPr>
        <w:t>többéves</w:t>
      </w:r>
      <w:proofErr w:type="spellEnd"/>
      <w:r w:rsidRPr="00840181">
        <w:rPr>
          <w:rStyle w:val="Lbjegyzet-hivatkozs"/>
          <w:szCs w:val="18"/>
          <w:lang w:val="en-GB"/>
        </w:rPr>
        <w:t xml:space="preserve"> </w:t>
      </w:r>
      <w:proofErr w:type="spellStart"/>
      <w:r w:rsidRPr="00840181">
        <w:rPr>
          <w:rStyle w:val="Lbjegyzet-hivatkozs"/>
          <w:szCs w:val="18"/>
          <w:lang w:val="en-GB"/>
        </w:rPr>
        <w:t>rádióspektrum-politikai</w:t>
      </w:r>
      <w:proofErr w:type="spellEnd"/>
      <w:r w:rsidRPr="00840181">
        <w:rPr>
          <w:rStyle w:val="Lbjegyzet-hivatkozs"/>
          <w:szCs w:val="18"/>
          <w:lang w:val="en-GB"/>
        </w:rPr>
        <w:t xml:space="preserve"> program </w:t>
      </w:r>
      <w:proofErr w:type="spellStart"/>
      <w:r w:rsidRPr="00840181">
        <w:rPr>
          <w:rStyle w:val="Lbjegyzet-hivatkozs"/>
          <w:szCs w:val="18"/>
          <w:lang w:val="en-GB"/>
        </w:rPr>
        <w:t>létrehozásáról</w:t>
      </w:r>
      <w:proofErr w:type="spellEnd"/>
    </w:p>
  </w:footnote>
  <w:footnote w:id="47">
    <w:p w14:paraId="3F4C01AD" w14:textId="77777777" w:rsidR="007C0BBE" w:rsidRPr="006F28FF" w:rsidRDefault="007C0BBE" w:rsidP="00A57A5F">
      <w:pPr>
        <w:pStyle w:val="Lbjegyzetszveg"/>
        <w:tabs>
          <w:tab w:val="left" w:pos="0"/>
        </w:tabs>
        <w:rPr>
          <w:rStyle w:val="Lbjegyzet-hivatkozs"/>
          <w:rFonts w:ascii="Arial" w:hAnsi="Arial"/>
          <w:szCs w:val="18"/>
        </w:rPr>
      </w:pPr>
      <w:r w:rsidRPr="00770E02">
        <w:rPr>
          <w:rStyle w:val="Lbjegyzet-hivatkozs"/>
          <w:rFonts w:ascii="Arial" w:hAnsi="Arial" w:cs="Arial"/>
          <w:szCs w:val="18"/>
          <w:lang w:val="en-GB"/>
        </w:rPr>
        <w:footnoteRef/>
      </w:r>
      <w:r>
        <w:rPr>
          <w:rStyle w:val="Lbjegyzet-hivatkozs"/>
          <w:rFonts w:ascii="Arial" w:hAnsi="Arial" w:cs="Arial"/>
          <w:szCs w:val="18"/>
          <w:lang w:val="en-GB"/>
        </w:rPr>
        <w:t xml:space="preserve"> </w:t>
      </w:r>
      <w:r w:rsidRPr="00770E02">
        <w:rPr>
          <w:rStyle w:val="Lbjegyzet-hivatkozs"/>
          <w:rFonts w:ascii="Arial" w:hAnsi="Arial" w:cs="Arial"/>
          <w:szCs w:val="18"/>
          <w:lang w:val="en-GB"/>
        </w:rPr>
        <w:t>Commission Implementing Decision (EU) 2016/687 of 28 April 2016 on the harmonisation of the 694-790 MHz frequency band for terrestrial systems capable of providing wireless broadband electronic communications services and for flexible national use in the Union)</w:t>
      </w:r>
      <w:r w:rsidRPr="00AF3CFB">
        <w:rPr>
          <w:rStyle w:val="Lbjegyzet-hivatkozs"/>
        </w:rPr>
        <w:t xml:space="preserve"> - </w:t>
      </w:r>
      <w:r w:rsidRPr="006F28FF">
        <w:rPr>
          <w:rStyle w:val="Lbjegyzet-hivatkozs"/>
        </w:rPr>
        <w:t>A Bizottság (EU) 2016/687 végrehajtási határozata (2016. április 28.) a 694–790 MHz frekvenciasávnak az Unión belül vezeték nélküli szélessávú elektronikus hírközlési szolgáltatások nyújtására alkalmas földfelszíni rendszerek számára és a rugalmas nemzeti használat érdekében történő harmonizálásáról</w:t>
      </w:r>
    </w:p>
  </w:footnote>
  <w:footnote w:id="48">
    <w:p w14:paraId="61E92316" w14:textId="77777777" w:rsidR="007C0BBE" w:rsidRPr="006F28FF" w:rsidRDefault="007C0BBE" w:rsidP="00A57A5F">
      <w:pPr>
        <w:pStyle w:val="Lbjegyzetszveg"/>
        <w:tabs>
          <w:tab w:val="left" w:pos="0"/>
        </w:tabs>
        <w:rPr>
          <w:rStyle w:val="Lbjegyzet-hivatkozs"/>
          <w:rFonts w:ascii="Arial" w:hAnsi="Arial"/>
          <w:szCs w:val="18"/>
        </w:rPr>
      </w:pPr>
      <w:r w:rsidRPr="00C82D82">
        <w:rPr>
          <w:rStyle w:val="Lbjegyzet-hivatkozs"/>
          <w:rFonts w:ascii="Arial" w:hAnsi="Arial" w:cs="Arial"/>
          <w:szCs w:val="18"/>
          <w:lang w:val="en-GB"/>
        </w:rPr>
        <w:footnoteRef/>
      </w:r>
      <w:r w:rsidRPr="00447CA4">
        <w:rPr>
          <w:rStyle w:val="Lbjegyzet-hivatkozs"/>
          <w:rFonts w:ascii="Arial" w:hAnsi="Arial" w:cs="Arial"/>
          <w:szCs w:val="18"/>
        </w:rPr>
        <w:t xml:space="preserve"> </w:t>
      </w:r>
      <w:r w:rsidRPr="00447CA4">
        <w:rPr>
          <w:rStyle w:val="Lbjegyzet-hivatkozs"/>
          <w:rFonts w:ascii="Arial" w:hAnsi="Arial"/>
          <w:szCs w:val="18"/>
        </w:rPr>
        <w:t xml:space="preserve">Decision (EU) 2017/899 of </w:t>
      </w:r>
      <w:proofErr w:type="spellStart"/>
      <w:r w:rsidRPr="00447CA4">
        <w:rPr>
          <w:rStyle w:val="Lbjegyzet-hivatkozs"/>
          <w:rFonts w:ascii="Arial" w:hAnsi="Arial"/>
          <w:szCs w:val="18"/>
        </w:rPr>
        <w:t>the</w:t>
      </w:r>
      <w:proofErr w:type="spellEnd"/>
      <w:r w:rsidRPr="00447CA4">
        <w:rPr>
          <w:rStyle w:val="Lbjegyzet-hivatkozs"/>
          <w:rFonts w:ascii="Arial" w:hAnsi="Arial"/>
          <w:szCs w:val="18"/>
        </w:rPr>
        <w:t xml:space="preserve"> European </w:t>
      </w:r>
      <w:proofErr w:type="spellStart"/>
      <w:r w:rsidRPr="00447CA4">
        <w:rPr>
          <w:rStyle w:val="Lbjegyzet-hivatkozs"/>
          <w:rFonts w:ascii="Arial" w:hAnsi="Arial"/>
          <w:szCs w:val="18"/>
        </w:rPr>
        <w:t>Parliament</w:t>
      </w:r>
      <w:proofErr w:type="spellEnd"/>
      <w:r w:rsidRPr="00447CA4">
        <w:rPr>
          <w:rStyle w:val="Lbjegyzet-hivatkozs"/>
          <w:rFonts w:ascii="Arial" w:hAnsi="Arial"/>
          <w:szCs w:val="18"/>
        </w:rPr>
        <w:t xml:space="preserve"> and of </w:t>
      </w:r>
      <w:proofErr w:type="spellStart"/>
      <w:r w:rsidRPr="00447CA4">
        <w:rPr>
          <w:rStyle w:val="Lbjegyzet-hivatkozs"/>
          <w:rFonts w:ascii="Arial" w:hAnsi="Arial"/>
          <w:szCs w:val="18"/>
        </w:rPr>
        <w:t>the</w:t>
      </w:r>
      <w:proofErr w:type="spellEnd"/>
      <w:r w:rsidRPr="00447CA4">
        <w:rPr>
          <w:rStyle w:val="Lbjegyzet-hivatkozs"/>
          <w:rFonts w:ascii="Arial" w:hAnsi="Arial"/>
          <w:szCs w:val="18"/>
        </w:rPr>
        <w:t xml:space="preserve"> </w:t>
      </w:r>
      <w:proofErr w:type="spellStart"/>
      <w:r w:rsidRPr="00447CA4">
        <w:rPr>
          <w:rStyle w:val="Lbjegyzet-hivatkozs"/>
          <w:rFonts w:ascii="Arial" w:hAnsi="Arial"/>
          <w:szCs w:val="18"/>
        </w:rPr>
        <w:t>Council</w:t>
      </w:r>
      <w:proofErr w:type="spellEnd"/>
      <w:r w:rsidRPr="00447CA4">
        <w:rPr>
          <w:rStyle w:val="Lbjegyzet-hivatkozs"/>
          <w:rFonts w:ascii="Arial" w:hAnsi="Arial"/>
          <w:szCs w:val="18"/>
        </w:rPr>
        <w:t xml:space="preserve"> of 17 May 2017 </w:t>
      </w:r>
      <w:proofErr w:type="spellStart"/>
      <w:r w:rsidRPr="00447CA4">
        <w:rPr>
          <w:rStyle w:val="Lbjegyzet-hivatkozs"/>
          <w:rFonts w:ascii="Arial" w:hAnsi="Arial"/>
          <w:szCs w:val="18"/>
        </w:rPr>
        <w:t>on</w:t>
      </w:r>
      <w:proofErr w:type="spellEnd"/>
      <w:r w:rsidRPr="00447CA4">
        <w:rPr>
          <w:rStyle w:val="Lbjegyzet-hivatkozs"/>
          <w:rFonts w:ascii="Arial" w:hAnsi="Arial"/>
          <w:szCs w:val="18"/>
        </w:rPr>
        <w:t xml:space="preserve"> </w:t>
      </w:r>
      <w:proofErr w:type="spellStart"/>
      <w:r w:rsidRPr="00447CA4">
        <w:rPr>
          <w:rStyle w:val="Lbjegyzet-hivatkozs"/>
          <w:rFonts w:ascii="Arial" w:hAnsi="Arial"/>
          <w:szCs w:val="18"/>
        </w:rPr>
        <w:t>the</w:t>
      </w:r>
      <w:proofErr w:type="spellEnd"/>
      <w:r w:rsidRPr="00447CA4">
        <w:rPr>
          <w:rStyle w:val="Lbjegyzet-hivatkozs"/>
          <w:rFonts w:ascii="Arial" w:hAnsi="Arial"/>
          <w:szCs w:val="18"/>
        </w:rPr>
        <w:t xml:space="preserve"> </w:t>
      </w:r>
      <w:proofErr w:type="spellStart"/>
      <w:r w:rsidRPr="00447CA4">
        <w:rPr>
          <w:rStyle w:val="Lbjegyzet-hivatkozs"/>
          <w:rFonts w:ascii="Arial" w:hAnsi="Arial"/>
          <w:szCs w:val="18"/>
        </w:rPr>
        <w:t>use</w:t>
      </w:r>
      <w:proofErr w:type="spellEnd"/>
      <w:r w:rsidRPr="00447CA4">
        <w:rPr>
          <w:rStyle w:val="Lbjegyzet-hivatkozs"/>
          <w:rFonts w:ascii="Arial" w:hAnsi="Arial"/>
          <w:szCs w:val="18"/>
        </w:rPr>
        <w:t xml:space="preserve"> of </w:t>
      </w:r>
      <w:proofErr w:type="spellStart"/>
      <w:r w:rsidRPr="00447CA4">
        <w:rPr>
          <w:rStyle w:val="Lbjegyzet-hivatkozs"/>
          <w:rFonts w:ascii="Arial" w:hAnsi="Arial"/>
          <w:szCs w:val="18"/>
        </w:rPr>
        <w:t>the</w:t>
      </w:r>
      <w:proofErr w:type="spellEnd"/>
      <w:r w:rsidRPr="00447CA4">
        <w:rPr>
          <w:rStyle w:val="Lbjegyzet-hivatkozs"/>
          <w:rFonts w:ascii="Arial" w:hAnsi="Arial"/>
          <w:szCs w:val="18"/>
        </w:rPr>
        <w:t xml:space="preserve"> 470-790 MHz </w:t>
      </w:r>
      <w:proofErr w:type="spellStart"/>
      <w:r w:rsidRPr="00447CA4">
        <w:rPr>
          <w:rStyle w:val="Lbjegyzet-hivatkozs"/>
          <w:rFonts w:ascii="Arial" w:hAnsi="Arial"/>
          <w:szCs w:val="18"/>
        </w:rPr>
        <w:t>frequency</w:t>
      </w:r>
      <w:proofErr w:type="spellEnd"/>
      <w:r w:rsidRPr="00447CA4">
        <w:rPr>
          <w:rStyle w:val="Lbjegyzet-hivatkozs"/>
          <w:rFonts w:ascii="Arial" w:hAnsi="Arial"/>
          <w:szCs w:val="18"/>
        </w:rPr>
        <w:t xml:space="preserve"> </w:t>
      </w:r>
      <w:proofErr w:type="spellStart"/>
      <w:r w:rsidRPr="00447CA4">
        <w:rPr>
          <w:rStyle w:val="Lbjegyzet-hivatkozs"/>
          <w:rFonts w:ascii="Arial" w:hAnsi="Arial"/>
          <w:szCs w:val="18"/>
        </w:rPr>
        <w:t>band</w:t>
      </w:r>
      <w:proofErr w:type="spellEnd"/>
      <w:r w:rsidRPr="00447CA4">
        <w:rPr>
          <w:rStyle w:val="Lbjegyzet-hivatkozs"/>
          <w:rFonts w:ascii="Arial" w:hAnsi="Arial"/>
          <w:szCs w:val="18"/>
        </w:rPr>
        <w:t xml:space="preserve"> in </w:t>
      </w:r>
      <w:proofErr w:type="spellStart"/>
      <w:r w:rsidRPr="00447CA4">
        <w:rPr>
          <w:rStyle w:val="Lbjegyzet-hivatkozs"/>
          <w:rFonts w:ascii="Arial" w:hAnsi="Arial"/>
          <w:szCs w:val="18"/>
        </w:rPr>
        <w:t>the</w:t>
      </w:r>
      <w:proofErr w:type="spellEnd"/>
      <w:r w:rsidRPr="00447CA4">
        <w:rPr>
          <w:rStyle w:val="Lbjegyzet-hivatkozs"/>
          <w:rFonts w:ascii="Arial" w:hAnsi="Arial"/>
          <w:szCs w:val="18"/>
        </w:rPr>
        <w:t xml:space="preserve"> Union</w:t>
      </w:r>
      <w:r w:rsidRPr="00447CA4">
        <w:rPr>
          <w:rFonts w:ascii="Arial" w:hAnsi="Arial"/>
          <w:szCs w:val="18"/>
        </w:rPr>
        <w:t xml:space="preserve"> -</w:t>
      </w:r>
      <w:r w:rsidRPr="0084499F">
        <w:rPr>
          <w:rFonts w:ascii="Arial" w:hAnsi="Arial"/>
          <w:szCs w:val="18"/>
        </w:rPr>
        <w:t xml:space="preserve"> </w:t>
      </w:r>
      <w:r w:rsidRPr="006F28FF">
        <w:rPr>
          <w:rStyle w:val="Lbjegyzet-hivatkozs"/>
          <w:rFonts w:ascii="Arial" w:hAnsi="Arial"/>
          <w:szCs w:val="18"/>
        </w:rPr>
        <w:t>Az Európai Parlament és a Tanács (EU) 2017/899 határozata (2017. május 17) a 470–790 MHz frekvenciasáv Unión belüli használatáról</w:t>
      </w:r>
    </w:p>
  </w:footnote>
  <w:footnote w:id="49">
    <w:p w14:paraId="47F3E9A5" w14:textId="77777777" w:rsidR="007C0BBE" w:rsidRPr="0020145B" w:rsidRDefault="007C0BBE" w:rsidP="00A57A5F">
      <w:pPr>
        <w:pStyle w:val="Lbjegyzetszveg"/>
        <w:rPr>
          <w:sz w:val="18"/>
        </w:rPr>
      </w:pPr>
      <w:r>
        <w:rPr>
          <w:rStyle w:val="Lbjegyzet-hivatkozs"/>
        </w:rPr>
        <w:footnoteRef/>
      </w:r>
      <w:r>
        <w:t xml:space="preserve"> </w:t>
      </w:r>
      <w:r w:rsidRPr="0020145B">
        <w:rPr>
          <w:rStyle w:val="Lbjegyzet-hivatkozs"/>
          <w:sz w:val="18"/>
          <w:szCs w:val="18"/>
          <w:vertAlign w:val="baseline"/>
          <w:lang w:val="en-GB"/>
        </w:rPr>
        <w:t xml:space="preserve">2022. </w:t>
      </w:r>
      <w:proofErr w:type="spellStart"/>
      <w:r w:rsidRPr="0020145B">
        <w:rPr>
          <w:rStyle w:val="Lbjegyzet-hivatkozs"/>
          <w:sz w:val="18"/>
          <w:szCs w:val="18"/>
          <w:vertAlign w:val="baseline"/>
          <w:lang w:val="en-GB"/>
        </w:rPr>
        <w:t>március</w:t>
      </w:r>
      <w:proofErr w:type="spellEnd"/>
      <w:r w:rsidRPr="0020145B">
        <w:rPr>
          <w:rStyle w:val="Lbjegyzet-hivatkozs"/>
          <w:sz w:val="18"/>
          <w:szCs w:val="18"/>
          <w:vertAlign w:val="baseline"/>
          <w:lang w:val="en-GB"/>
        </w:rPr>
        <w:t xml:space="preserve"> 1-jétől </w:t>
      </w:r>
      <w:proofErr w:type="spellStart"/>
      <w:r w:rsidRPr="0020145B">
        <w:rPr>
          <w:rStyle w:val="Lbjegyzet-hivatkozs"/>
          <w:sz w:val="18"/>
          <w:szCs w:val="18"/>
          <w:vertAlign w:val="baseline"/>
          <w:lang w:val="en-GB"/>
        </w:rPr>
        <w:t>Yettel</w:t>
      </w:r>
      <w:proofErr w:type="spellEnd"/>
      <w:r w:rsidRPr="0020145B">
        <w:rPr>
          <w:rStyle w:val="Lbjegyzet-hivatkozs"/>
          <w:sz w:val="18"/>
          <w:szCs w:val="18"/>
          <w:vertAlign w:val="baseline"/>
          <w:lang w:val="en-GB"/>
        </w:rPr>
        <w:t>.</w:t>
      </w:r>
    </w:p>
  </w:footnote>
  <w:footnote w:id="50">
    <w:p w14:paraId="735732EF" w14:textId="77777777" w:rsidR="007C0BBE" w:rsidRDefault="007C0BBE" w:rsidP="00A57A5F">
      <w:pPr>
        <w:pStyle w:val="Lbjegyzetszveg"/>
      </w:pPr>
      <w:r>
        <w:rPr>
          <w:rStyle w:val="Lbjegyzet-hivatkozs"/>
        </w:rPr>
        <w:footnoteRef/>
      </w:r>
      <w:hyperlink r:id="rId2" w:history="1">
        <w:r w:rsidRPr="00346778">
          <w:rPr>
            <w:rStyle w:val="Hiperhivatkozs"/>
            <w:sz w:val="16"/>
            <w:szCs w:val="16"/>
          </w:rPr>
          <w:t>https://nmhh.hu/cikk/191649/Osszefoglalo_a_VHF_III_es_az_UHF_sav_hasznositasarol_szolo_nemzeti_utemterv_vegrehajtasaval_osszefuggo_feladatokrol</w:t>
        </w:r>
      </w:hyperlink>
    </w:p>
  </w:footnote>
  <w:footnote w:id="51">
    <w:p w14:paraId="62F40F59" w14:textId="77777777" w:rsidR="007C0BBE" w:rsidRPr="00985078" w:rsidRDefault="007C0BBE" w:rsidP="00372C7A">
      <w:pPr>
        <w:pStyle w:val="Lbjegyzetszveg"/>
        <w:rPr>
          <w:rFonts w:ascii="Times New Roman" w:hAnsi="Times New Roman" w:cs="Times New Roman"/>
        </w:rPr>
      </w:pPr>
      <w:r w:rsidRPr="00985078">
        <w:rPr>
          <w:rStyle w:val="Lbjegyzet-hivatkozs"/>
          <w:rFonts w:ascii="Times New Roman" w:hAnsi="Times New Roman" w:cs="Times New Roman"/>
        </w:rPr>
        <w:footnoteRef/>
      </w:r>
      <w:r w:rsidRPr="00985078">
        <w:rPr>
          <w:rFonts w:ascii="Times New Roman" w:hAnsi="Times New Roman" w:cs="Times New Roman"/>
        </w:rPr>
        <w:t xml:space="preserve"> </w:t>
      </w:r>
      <w:hyperlink r:id="rId3" w:history="1">
        <w:r w:rsidRPr="00985078">
          <w:rPr>
            <w:rStyle w:val="Hiperhivatkozs"/>
            <w:rFonts w:ascii="Times New Roman" w:hAnsi="Times New Roman" w:cs="Times New Roman"/>
          </w:rPr>
          <w:t>https://eur-lex.europa.eu/eli/dec/2021/2219/oj</w:t>
        </w:r>
      </w:hyperlink>
      <w:r w:rsidRPr="00985078">
        <w:rPr>
          <w:rFonts w:ascii="Times New Roman" w:hAnsi="Times New Roman" w:cs="Times New Roman"/>
        </w:rPr>
        <w:t xml:space="preserve">. </w:t>
      </w:r>
    </w:p>
  </w:footnote>
  <w:footnote w:id="52">
    <w:p w14:paraId="7349EC6A" w14:textId="77777777" w:rsidR="007C0BBE" w:rsidRPr="00C82D82" w:rsidRDefault="007C0BBE" w:rsidP="00A57A5F">
      <w:pPr>
        <w:pStyle w:val="Lbjegyzetszveg"/>
        <w:rPr>
          <w:lang w:val="en-GB"/>
        </w:rPr>
      </w:pPr>
      <w:r w:rsidRPr="00C82D82">
        <w:rPr>
          <w:rStyle w:val="Lbjegyzet-hivatkozs"/>
          <w:szCs w:val="18"/>
          <w:lang w:val="en-GB"/>
        </w:rPr>
        <w:footnoteRef/>
      </w:r>
      <w:r w:rsidRPr="00C82D82">
        <w:rPr>
          <w:rStyle w:val="Lbjegyzet-hivatkozs"/>
          <w:szCs w:val="18"/>
          <w:lang w:val="en-GB"/>
        </w:rPr>
        <w:t xml:space="preserve"> ECC Recommendation of 13 February 2015 on cross-border coordination for mobile/fixed communications networks (MFCN) in the frequency bands: 694-790 MHz, 1452-1492 MHz, 3400-3600 MHz and 3600-3800 </w:t>
      </w:r>
      <w:proofErr w:type="spellStart"/>
      <w:r w:rsidRPr="00C82D82">
        <w:rPr>
          <w:rStyle w:val="Lbjegyzet-hivatkozs"/>
          <w:szCs w:val="18"/>
          <w:lang w:val="en-GB"/>
        </w:rPr>
        <w:t>MHz.</w:t>
      </w:r>
      <w:proofErr w:type="spellEnd"/>
      <w:r w:rsidRPr="00C82D82">
        <w:rPr>
          <w:rStyle w:val="Lbjegyzet-hivatkozs"/>
          <w:szCs w:val="18"/>
          <w:lang w:val="en-GB"/>
        </w:rPr>
        <w:t xml:space="preserve"> (Amended on 5 February 2016 and 14 February 2020)</w:t>
      </w:r>
    </w:p>
  </w:footnote>
  <w:footnote w:id="53">
    <w:p w14:paraId="75FF866E" w14:textId="77777777" w:rsidR="007C0BBE" w:rsidRPr="00247A9A" w:rsidRDefault="007C0BBE" w:rsidP="00A57A5F">
      <w:pPr>
        <w:pStyle w:val="Lbjegyzetszveg"/>
        <w:jc w:val="both"/>
        <w:rPr>
          <w:rStyle w:val="Lbjegyzet-hivatkozs"/>
          <w:szCs w:val="18"/>
        </w:rPr>
      </w:pPr>
      <w:r w:rsidRPr="00C82D82">
        <w:rPr>
          <w:rStyle w:val="Lbjegyzet-hivatkozs"/>
          <w:szCs w:val="18"/>
          <w:lang w:val="en-GB"/>
        </w:rPr>
        <w:footnoteRef/>
      </w:r>
      <w:r w:rsidRPr="00C82D82">
        <w:rPr>
          <w:rStyle w:val="Lbjegyzet-hivatkozs"/>
          <w:szCs w:val="18"/>
          <w:lang w:val="en-GB"/>
        </w:rPr>
        <w:t xml:space="preserve"> Technical Arrangement on border coordination for terrestrial systems capable of providing electronic communications services</w:t>
      </w:r>
      <w:r w:rsidRPr="00C82D82">
        <w:rPr>
          <w:rStyle w:val="Lbjegyzet-hivatkozs"/>
          <w:lang w:val="en-GB"/>
        </w:rPr>
        <w:t xml:space="preserve"> </w:t>
      </w:r>
      <w:r w:rsidRPr="00C82D82">
        <w:rPr>
          <w:rStyle w:val="Lbjegyzet-hivatkozs"/>
          <w:szCs w:val="18"/>
          <w:lang w:val="en-GB"/>
        </w:rPr>
        <w:t>in the 700 MHz frequency band (Budapest, 15th February 2018)–</w:t>
      </w:r>
      <w:r w:rsidRPr="009D7AF0">
        <w:rPr>
          <w:rStyle w:val="Lbjegyzet-hivatkozs"/>
          <w:szCs w:val="18"/>
        </w:rPr>
        <w:t xml:space="preserve"> Műszaki megegyezés elektronikus hírközlési szolgáltatások nyújtására alkalmas földfelszíni rendszerek határmenti koordinációjáról a 700 MHz-es sávban</w:t>
      </w:r>
      <w:r w:rsidRPr="00F879EF">
        <w:rPr>
          <w:rStyle w:val="Lbjegyzet-hivatkozs"/>
          <w:szCs w:val="18"/>
        </w:rPr>
        <w:t xml:space="preserve"> (Budapest, 2018. február 15.)</w:t>
      </w:r>
    </w:p>
  </w:footnote>
  <w:footnote w:id="54">
    <w:p w14:paraId="66D527C3" w14:textId="77777777" w:rsidR="007C0BBE" w:rsidRPr="00247A9A" w:rsidRDefault="007C0BBE" w:rsidP="00A57A5F">
      <w:pPr>
        <w:pStyle w:val="Szvegtrzs3"/>
        <w:spacing w:after="0" w:line="240" w:lineRule="auto"/>
        <w:rPr>
          <w:rStyle w:val="Lbjegyzet-hivatkozs"/>
          <w:szCs w:val="18"/>
        </w:rPr>
      </w:pPr>
      <w:r w:rsidRPr="00C82D82">
        <w:rPr>
          <w:rStyle w:val="Lbjegyzet-hivatkozs"/>
          <w:rFonts w:cstheme="minorBidi"/>
          <w:sz w:val="20"/>
          <w:szCs w:val="18"/>
          <w:lang w:val="en-GB"/>
        </w:rPr>
        <w:footnoteRef/>
      </w:r>
      <w:r w:rsidRPr="00C82D82">
        <w:rPr>
          <w:rStyle w:val="Lbjegyzet-hivatkozs"/>
          <w:rFonts w:cstheme="minorBidi"/>
          <w:sz w:val="20"/>
          <w:szCs w:val="18"/>
          <w:lang w:val="en-GB"/>
        </w:rPr>
        <w:t xml:space="preserve"> TECHNICAL ARRANGEMENT concerning the use of the frequency band 694-790 MHz for terrestrial systems in the border areas of Hungary and Ukraine, </w:t>
      </w:r>
      <w:r w:rsidRPr="00C82D82">
        <w:rPr>
          <w:rStyle w:val="Lbjegyzet-hivatkozs"/>
          <w:szCs w:val="18"/>
          <w:lang w:val="en-GB"/>
        </w:rPr>
        <w:t>(</w:t>
      </w:r>
      <w:r w:rsidRPr="00C82D82">
        <w:rPr>
          <w:rStyle w:val="Lbjegyzet-hivatkozs"/>
          <w:rFonts w:cstheme="minorBidi"/>
          <w:sz w:val="20"/>
          <w:szCs w:val="18"/>
          <w:lang w:val="en-GB"/>
        </w:rPr>
        <w:t xml:space="preserve">October 2015) </w:t>
      </w:r>
      <w:r w:rsidRPr="00E17913">
        <w:rPr>
          <w:rStyle w:val="Lbjegyzet-hivatkozs"/>
          <w:rFonts w:cstheme="minorBidi"/>
          <w:sz w:val="20"/>
          <w:szCs w:val="18"/>
        </w:rPr>
        <w:t>- Műszaki Megegyezés a 694–790 MHz frekvenciasáv földfelszíni rendszerekre való használatáról Magyarország és Ukrajna határa menti területeken</w:t>
      </w:r>
      <w:r w:rsidRPr="00F879EF">
        <w:rPr>
          <w:rStyle w:val="Lbjegyzet-hivatkozs"/>
          <w:rFonts w:cstheme="minorBidi"/>
          <w:sz w:val="20"/>
          <w:szCs w:val="18"/>
        </w:rPr>
        <w:t xml:space="preserve"> (</w:t>
      </w:r>
      <w:r w:rsidRPr="00E17913">
        <w:rPr>
          <w:rStyle w:val="Lbjegyzet-hivatkozs"/>
          <w:rFonts w:cstheme="minorBidi"/>
          <w:sz w:val="20"/>
          <w:szCs w:val="18"/>
        </w:rPr>
        <w:t>2015. október)</w:t>
      </w:r>
    </w:p>
  </w:footnote>
  <w:footnote w:id="55">
    <w:p w14:paraId="1A636325" w14:textId="77777777" w:rsidR="007C0BBE" w:rsidRPr="00B941DA" w:rsidRDefault="007C0BBE" w:rsidP="00A57A5F">
      <w:pPr>
        <w:pStyle w:val="Lbjegyzetszveg"/>
        <w:tabs>
          <w:tab w:val="left" w:pos="0"/>
        </w:tabs>
        <w:rPr>
          <w:rStyle w:val="Lbjegyzet-hivatkozs"/>
          <w:rFonts w:ascii="Arial" w:hAnsi="Arial" w:cs="Arial"/>
          <w:szCs w:val="18"/>
        </w:rPr>
      </w:pPr>
      <w:r w:rsidRPr="003D4DA9">
        <w:rPr>
          <w:rStyle w:val="Lbjegyzet-hivatkozs"/>
          <w:rFonts w:ascii="Arial" w:hAnsi="Arial" w:cs="Arial"/>
          <w:szCs w:val="18"/>
        </w:rPr>
        <w:footnoteRef/>
      </w:r>
      <w:r w:rsidRPr="003D4DA9">
        <w:rPr>
          <w:rStyle w:val="Lbjegyzet-hivatkozs"/>
          <w:rFonts w:ascii="Arial" w:hAnsi="Arial" w:cs="Arial"/>
          <w:szCs w:val="18"/>
        </w:rPr>
        <w:t xml:space="preserve"> </w:t>
      </w:r>
      <w:r w:rsidRPr="00B941DA">
        <w:rPr>
          <w:rStyle w:val="Lbjegyzet-hivatkozs"/>
          <w:rFonts w:ascii="Arial" w:hAnsi="Arial" w:cs="Arial"/>
          <w:szCs w:val="18"/>
        </w:rPr>
        <w:t xml:space="preserve"> A BIZOTTSÁG VÉGREHAJTÁSI HATÁROZATA (2014. szeptember 1.) az Unión belül a műsorgyártáshoz és különleges eseményekhez használt vezeték nélküli hangfrekvenciás berendezések általi rádióspektrum-használat harmonizált műszaki feltételeiről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ED13" w14:textId="77777777" w:rsidR="007C0BBE" w:rsidRPr="00752166" w:rsidRDefault="007C0BBE" w:rsidP="00752166">
    <w:pPr>
      <w:pStyle w:val="lfej"/>
    </w:pPr>
    <w:r w:rsidRPr="00752166">
      <w:rPr>
        <w:noProof/>
        <w:lang w:eastAsia="hu-HU"/>
      </w:rPr>
      <w:drawing>
        <wp:anchor distT="0" distB="0" distL="114300" distR="114300" simplePos="0" relativeHeight="251673600" behindDoc="1" locked="0" layoutInCell="1" allowOverlap="1" wp14:anchorId="719E4225" wp14:editId="5F5C6D5E">
          <wp:simplePos x="0" y="0"/>
          <wp:positionH relativeFrom="page">
            <wp:posOffset>0</wp:posOffset>
          </wp:positionH>
          <wp:positionV relativeFrom="page">
            <wp:posOffset>0</wp:posOffset>
          </wp:positionV>
          <wp:extent cx="7554867" cy="1080655"/>
          <wp:effectExtent l="19050" t="0" r="7983"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76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7D5"/>
    <w:multiLevelType w:val="hybridMultilevel"/>
    <w:tmpl w:val="D87483C8"/>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 w15:restartNumberingAfterBreak="0">
    <w:nsid w:val="0F880C87"/>
    <w:multiLevelType w:val="hybridMultilevel"/>
    <w:tmpl w:val="47D4DFCC"/>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14AD5A22"/>
    <w:multiLevelType w:val="hybridMultilevel"/>
    <w:tmpl w:val="C26674A6"/>
    <w:lvl w:ilvl="0" w:tplc="F2C621B0">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F215F1"/>
    <w:multiLevelType w:val="hybridMultilevel"/>
    <w:tmpl w:val="D3CA989C"/>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12F4188"/>
    <w:multiLevelType w:val="multilevel"/>
    <w:tmpl w:val="557277BA"/>
    <w:lvl w:ilvl="0">
      <w:start w:val="1"/>
      <w:numFmt w:val="decimal"/>
      <w:pStyle w:val="ECCAnnex-heading1"/>
      <w:suff w:val="space"/>
      <w:lvlText w:val="ANNEX %1:"/>
      <w:lvlJc w:val="left"/>
      <w:pPr>
        <w:ind w:left="0" w:firstLine="0"/>
      </w:pPr>
      <w:rPr>
        <w:rFonts w:ascii="Arial" w:hAnsi="Arial" w:cs="Times New Roman" w:hint="default"/>
        <w:b/>
        <w:bCs w:val="0"/>
        <w:i w:val="0"/>
        <w:iCs w:val="0"/>
        <w:smallCaps w:val="0"/>
        <w:strike w:val="0"/>
        <w:dstrike w:val="0"/>
        <w:vanish w:val="0"/>
        <w:webHidden w:val="0"/>
        <w:color w:val="D2232A"/>
        <w:spacing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8A3C1C"/>
    <w:multiLevelType w:val="multilevel"/>
    <w:tmpl w:val="BA6C48F0"/>
    <w:lvl w:ilvl="0">
      <w:start w:val="1"/>
      <w:numFmt w:val="ordinal"/>
      <w:pStyle w:val="Cmsor1szmozottnmhh"/>
      <w:lvlText w:val="%1"/>
      <w:lvlJc w:val="left"/>
      <w:pPr>
        <w:ind w:left="999" w:hanging="432"/>
      </w:pPr>
      <w:rPr>
        <w:rFonts w:hint="default"/>
      </w:rPr>
    </w:lvl>
    <w:lvl w:ilvl="1">
      <w:start w:val="1"/>
      <w:numFmt w:val="ordinal"/>
      <w:pStyle w:val="Cmsor2szmozottnmhh"/>
      <w:lvlText w:val="%1%2"/>
      <w:lvlJc w:val="left"/>
      <w:pPr>
        <w:ind w:left="695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8" w15:restartNumberingAfterBreak="0">
    <w:nsid w:val="2BF1719E"/>
    <w:multiLevelType w:val="hybridMultilevel"/>
    <w:tmpl w:val="2A9E379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9"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DE731B"/>
    <w:multiLevelType w:val="hybridMultilevel"/>
    <w:tmpl w:val="6BC0067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1" w15:restartNumberingAfterBreak="0">
    <w:nsid w:val="3D8C6474"/>
    <w:multiLevelType w:val="hybridMultilevel"/>
    <w:tmpl w:val="FD345F4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FF12EEE"/>
    <w:multiLevelType w:val="hybridMultilevel"/>
    <w:tmpl w:val="1F6CD6A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404269F2"/>
    <w:multiLevelType w:val="multilevel"/>
    <w:tmpl w:val="837E1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start w:val="1"/>
      <w:numFmt w:val="bullet"/>
      <w:lvlText w:val="o"/>
      <w:lvlJc w:val="left"/>
      <w:pPr>
        <w:tabs>
          <w:tab w:val="num" w:pos="1440"/>
        </w:tabs>
        <w:ind w:left="1440" w:hanging="360"/>
      </w:pPr>
      <w:rPr>
        <w:rFonts w:ascii="Courier New" w:hAnsi="Courier New" w:cs="Arial" w:hint="default"/>
      </w:rPr>
    </w:lvl>
    <w:lvl w:ilvl="2" w:tplc="250EECF8">
      <w:start w:val="1"/>
      <w:numFmt w:val="bullet"/>
      <w:lvlText w:val=""/>
      <w:lvlJc w:val="left"/>
      <w:pPr>
        <w:tabs>
          <w:tab w:val="num" w:pos="2160"/>
        </w:tabs>
        <w:ind w:left="2160" w:hanging="360"/>
      </w:pPr>
      <w:rPr>
        <w:rFonts w:ascii="Wingdings" w:hAnsi="Wingdings" w:hint="default"/>
      </w:rPr>
    </w:lvl>
    <w:lvl w:ilvl="3" w:tplc="7C4ABC66">
      <w:start w:val="1"/>
      <w:numFmt w:val="bullet"/>
      <w:lvlText w:val=""/>
      <w:lvlJc w:val="left"/>
      <w:pPr>
        <w:tabs>
          <w:tab w:val="num" w:pos="2880"/>
        </w:tabs>
        <w:ind w:left="2880" w:hanging="360"/>
      </w:pPr>
      <w:rPr>
        <w:rFonts w:ascii="Symbol" w:hAnsi="Symbol" w:hint="default"/>
      </w:rPr>
    </w:lvl>
    <w:lvl w:ilvl="4" w:tplc="3EEC50EE">
      <w:start w:val="1"/>
      <w:numFmt w:val="bullet"/>
      <w:lvlText w:val="o"/>
      <w:lvlJc w:val="left"/>
      <w:pPr>
        <w:tabs>
          <w:tab w:val="num" w:pos="3600"/>
        </w:tabs>
        <w:ind w:left="3600" w:hanging="360"/>
      </w:pPr>
      <w:rPr>
        <w:rFonts w:ascii="Courier New" w:hAnsi="Courier New" w:cs="Arial" w:hint="default"/>
      </w:rPr>
    </w:lvl>
    <w:lvl w:ilvl="5" w:tplc="4C9C5EBE">
      <w:start w:val="1"/>
      <w:numFmt w:val="bullet"/>
      <w:lvlText w:val=""/>
      <w:lvlJc w:val="left"/>
      <w:pPr>
        <w:tabs>
          <w:tab w:val="num" w:pos="4320"/>
        </w:tabs>
        <w:ind w:left="4320" w:hanging="360"/>
      </w:pPr>
      <w:rPr>
        <w:rFonts w:ascii="Wingdings" w:hAnsi="Wingdings" w:hint="default"/>
      </w:rPr>
    </w:lvl>
    <w:lvl w:ilvl="6" w:tplc="3A88F0D8">
      <w:start w:val="1"/>
      <w:numFmt w:val="bullet"/>
      <w:lvlText w:val=""/>
      <w:lvlJc w:val="left"/>
      <w:pPr>
        <w:tabs>
          <w:tab w:val="num" w:pos="5040"/>
        </w:tabs>
        <w:ind w:left="5040" w:hanging="360"/>
      </w:pPr>
      <w:rPr>
        <w:rFonts w:ascii="Symbol" w:hAnsi="Symbol" w:hint="default"/>
      </w:rPr>
    </w:lvl>
    <w:lvl w:ilvl="7" w:tplc="480C6B0C">
      <w:start w:val="1"/>
      <w:numFmt w:val="bullet"/>
      <w:lvlText w:val="o"/>
      <w:lvlJc w:val="left"/>
      <w:pPr>
        <w:tabs>
          <w:tab w:val="num" w:pos="5760"/>
        </w:tabs>
        <w:ind w:left="5760" w:hanging="360"/>
      </w:pPr>
      <w:rPr>
        <w:rFonts w:ascii="Courier New" w:hAnsi="Courier New" w:cs="Arial" w:hint="default"/>
      </w:rPr>
    </w:lvl>
    <w:lvl w:ilvl="8" w:tplc="421A464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54A2D"/>
    <w:multiLevelType w:val="hybridMultilevel"/>
    <w:tmpl w:val="D3A85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2B1F34"/>
    <w:multiLevelType w:val="hybridMultilevel"/>
    <w:tmpl w:val="9A4E19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88C5B28"/>
    <w:multiLevelType w:val="hybridMultilevel"/>
    <w:tmpl w:val="C616C2F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491E4BCA"/>
    <w:multiLevelType w:val="hybridMultilevel"/>
    <w:tmpl w:val="ABD6C8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983BEE"/>
    <w:multiLevelType w:val="hybridMultilevel"/>
    <w:tmpl w:val="CB506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3455378"/>
    <w:multiLevelType w:val="hybridMultilevel"/>
    <w:tmpl w:val="E1D06C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6F3735C"/>
    <w:multiLevelType w:val="hybridMultilevel"/>
    <w:tmpl w:val="42A4EE70"/>
    <w:lvl w:ilvl="0" w:tplc="35042D82">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910D72"/>
    <w:multiLevelType w:val="hybridMultilevel"/>
    <w:tmpl w:val="113A5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0B7D56"/>
    <w:multiLevelType w:val="hybridMultilevel"/>
    <w:tmpl w:val="20246A7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7" w15:restartNumberingAfterBreak="0">
    <w:nsid w:val="639B7567"/>
    <w:multiLevelType w:val="hybridMultilevel"/>
    <w:tmpl w:val="EEEEB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15:restartNumberingAfterBreak="0">
    <w:nsid w:val="6D5C430B"/>
    <w:multiLevelType w:val="hybridMultilevel"/>
    <w:tmpl w:val="6C1AA7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07E568A"/>
    <w:multiLevelType w:val="hybridMultilevel"/>
    <w:tmpl w:val="0318F804"/>
    <w:lvl w:ilvl="0" w:tplc="321E0C72">
      <w:start w:val="1"/>
      <w:numFmt w:val="decimal"/>
      <w:pStyle w:val="Irodalomjegyzkfelsorolsnmhh"/>
      <w:lvlText w:val="[%1]"/>
      <w:lvlJc w:val="left"/>
      <w:pPr>
        <w:ind w:left="360" w:hanging="360"/>
      </w:pPr>
      <w:rPr>
        <w:rFonts w:hint="default"/>
        <w:b w:val="0"/>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num w:numId="1">
    <w:abstractNumId w:val="2"/>
  </w:num>
  <w:num w:numId="2">
    <w:abstractNumId w:val="25"/>
  </w:num>
  <w:num w:numId="3">
    <w:abstractNumId w:val="9"/>
  </w:num>
  <w:num w:numId="4">
    <w:abstractNumId w:val="6"/>
  </w:num>
  <w:num w:numId="5">
    <w:abstractNumId w:val="7"/>
  </w:num>
  <w:num w:numId="6">
    <w:abstractNumId w:val="12"/>
  </w:num>
  <w:num w:numId="7">
    <w:abstractNumId w:val="30"/>
  </w:num>
  <w:num w:numId="8">
    <w:abstractNumId w:val="29"/>
  </w:num>
  <w:num w:numId="9">
    <w:abstractNumId w:val="20"/>
  </w:num>
  <w:num w:numId="10">
    <w:abstractNumId w:val="28"/>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18"/>
  </w:num>
  <w:num w:numId="16">
    <w:abstractNumId w:val="0"/>
  </w:num>
  <w:num w:numId="17">
    <w:abstractNumId w:val="24"/>
  </w:num>
  <w:num w:numId="18">
    <w:abstractNumId w:val="21"/>
  </w:num>
  <w:num w:numId="19">
    <w:abstractNumId w:val="27"/>
  </w:num>
  <w:num w:numId="20">
    <w:abstractNumId w:val="16"/>
  </w:num>
  <w:num w:numId="21">
    <w:abstractNumId w:val="8"/>
  </w:num>
  <w:num w:numId="22">
    <w:abstractNumId w:val="1"/>
  </w:num>
  <w:num w:numId="23">
    <w:abstractNumId w:val="13"/>
  </w:num>
  <w:num w:numId="24">
    <w:abstractNumId w:val="11"/>
  </w:num>
  <w:num w:numId="25">
    <w:abstractNumId w:val="3"/>
  </w:num>
  <w:num w:numId="26">
    <w:abstractNumId w:val="23"/>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
  </w:num>
  <w:num w:numId="41">
    <w:abstractNumId w:val="19"/>
  </w:num>
  <w:num w:numId="42">
    <w:abstractNumId w:val="7"/>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C0"/>
    <w:rsid w:val="000000F2"/>
    <w:rsid w:val="00002AA3"/>
    <w:rsid w:val="00003C8E"/>
    <w:rsid w:val="00004317"/>
    <w:rsid w:val="0000570A"/>
    <w:rsid w:val="00006370"/>
    <w:rsid w:val="00007470"/>
    <w:rsid w:val="00010838"/>
    <w:rsid w:val="00012AC0"/>
    <w:rsid w:val="000213AC"/>
    <w:rsid w:val="000266BD"/>
    <w:rsid w:val="00027888"/>
    <w:rsid w:val="0003056F"/>
    <w:rsid w:val="000320FD"/>
    <w:rsid w:val="0003238B"/>
    <w:rsid w:val="00037754"/>
    <w:rsid w:val="000401BF"/>
    <w:rsid w:val="00045647"/>
    <w:rsid w:val="000519FE"/>
    <w:rsid w:val="00056B50"/>
    <w:rsid w:val="0006062E"/>
    <w:rsid w:val="00062411"/>
    <w:rsid w:val="00063550"/>
    <w:rsid w:val="00066F29"/>
    <w:rsid w:val="00070F60"/>
    <w:rsid w:val="00071676"/>
    <w:rsid w:val="00071DE9"/>
    <w:rsid w:val="000720B2"/>
    <w:rsid w:val="00072E63"/>
    <w:rsid w:val="00074DB9"/>
    <w:rsid w:val="00075128"/>
    <w:rsid w:val="000764BC"/>
    <w:rsid w:val="00080C5C"/>
    <w:rsid w:val="000839D6"/>
    <w:rsid w:val="00087A8F"/>
    <w:rsid w:val="00091708"/>
    <w:rsid w:val="00092FA7"/>
    <w:rsid w:val="000957A3"/>
    <w:rsid w:val="000960D8"/>
    <w:rsid w:val="000A1DE6"/>
    <w:rsid w:val="000A21A7"/>
    <w:rsid w:val="000A6841"/>
    <w:rsid w:val="000A7595"/>
    <w:rsid w:val="000B1998"/>
    <w:rsid w:val="000B1D20"/>
    <w:rsid w:val="000B30FD"/>
    <w:rsid w:val="000B4AEC"/>
    <w:rsid w:val="000C3435"/>
    <w:rsid w:val="000C76F1"/>
    <w:rsid w:val="000C77D8"/>
    <w:rsid w:val="000D399D"/>
    <w:rsid w:val="000D505D"/>
    <w:rsid w:val="000E3436"/>
    <w:rsid w:val="000E5055"/>
    <w:rsid w:val="000E570B"/>
    <w:rsid w:val="000E665A"/>
    <w:rsid w:val="000E6E57"/>
    <w:rsid w:val="000F023E"/>
    <w:rsid w:val="000F4AA0"/>
    <w:rsid w:val="000F4BD1"/>
    <w:rsid w:val="000F65DA"/>
    <w:rsid w:val="001001BD"/>
    <w:rsid w:val="001003CC"/>
    <w:rsid w:val="001019D5"/>
    <w:rsid w:val="001024DF"/>
    <w:rsid w:val="00111179"/>
    <w:rsid w:val="00116AC3"/>
    <w:rsid w:val="00121128"/>
    <w:rsid w:val="00125D55"/>
    <w:rsid w:val="00131720"/>
    <w:rsid w:val="001363C5"/>
    <w:rsid w:val="001368D8"/>
    <w:rsid w:val="0014030D"/>
    <w:rsid w:val="00141929"/>
    <w:rsid w:val="00145338"/>
    <w:rsid w:val="00150183"/>
    <w:rsid w:val="0015074E"/>
    <w:rsid w:val="00151587"/>
    <w:rsid w:val="00152AD6"/>
    <w:rsid w:val="00155872"/>
    <w:rsid w:val="00160B3A"/>
    <w:rsid w:val="00161C37"/>
    <w:rsid w:val="00163AC8"/>
    <w:rsid w:val="00165716"/>
    <w:rsid w:val="0016646D"/>
    <w:rsid w:val="00166901"/>
    <w:rsid w:val="00166DD9"/>
    <w:rsid w:val="001726F0"/>
    <w:rsid w:val="001742E0"/>
    <w:rsid w:val="001814EE"/>
    <w:rsid w:val="001819FD"/>
    <w:rsid w:val="00182210"/>
    <w:rsid w:val="0018360B"/>
    <w:rsid w:val="001837CA"/>
    <w:rsid w:val="001839A6"/>
    <w:rsid w:val="00183F68"/>
    <w:rsid w:val="00184A51"/>
    <w:rsid w:val="0018529E"/>
    <w:rsid w:val="00185310"/>
    <w:rsid w:val="001916AE"/>
    <w:rsid w:val="00191A33"/>
    <w:rsid w:val="00197020"/>
    <w:rsid w:val="001A1647"/>
    <w:rsid w:val="001A62E9"/>
    <w:rsid w:val="001B07A7"/>
    <w:rsid w:val="001B0BB1"/>
    <w:rsid w:val="001B33E2"/>
    <w:rsid w:val="001B680C"/>
    <w:rsid w:val="001B7E27"/>
    <w:rsid w:val="001C2DBD"/>
    <w:rsid w:val="001C30D3"/>
    <w:rsid w:val="001C4263"/>
    <w:rsid w:val="001C5208"/>
    <w:rsid w:val="001C65BD"/>
    <w:rsid w:val="001D36D8"/>
    <w:rsid w:val="001D529B"/>
    <w:rsid w:val="001E0F28"/>
    <w:rsid w:val="001E2064"/>
    <w:rsid w:val="001E50C0"/>
    <w:rsid w:val="001F173A"/>
    <w:rsid w:val="001F2707"/>
    <w:rsid w:val="001F2A1D"/>
    <w:rsid w:val="001F2D0A"/>
    <w:rsid w:val="001F3989"/>
    <w:rsid w:val="001F4F69"/>
    <w:rsid w:val="001F7268"/>
    <w:rsid w:val="002003EF"/>
    <w:rsid w:val="0020145B"/>
    <w:rsid w:val="0020657B"/>
    <w:rsid w:val="00207B0C"/>
    <w:rsid w:val="002100B4"/>
    <w:rsid w:val="0021045F"/>
    <w:rsid w:val="002115F2"/>
    <w:rsid w:val="00211B5C"/>
    <w:rsid w:val="002165B8"/>
    <w:rsid w:val="00220AF6"/>
    <w:rsid w:val="0022421E"/>
    <w:rsid w:val="00224E84"/>
    <w:rsid w:val="00226EB7"/>
    <w:rsid w:val="00230A15"/>
    <w:rsid w:val="002327E1"/>
    <w:rsid w:val="00240E37"/>
    <w:rsid w:val="00242508"/>
    <w:rsid w:val="0024314F"/>
    <w:rsid w:val="002435D4"/>
    <w:rsid w:val="00245003"/>
    <w:rsid w:val="00246251"/>
    <w:rsid w:val="00246B78"/>
    <w:rsid w:val="00247A9A"/>
    <w:rsid w:val="002523A0"/>
    <w:rsid w:val="002565DC"/>
    <w:rsid w:val="00256A47"/>
    <w:rsid w:val="00256F3B"/>
    <w:rsid w:val="00260F84"/>
    <w:rsid w:val="00261CF7"/>
    <w:rsid w:val="0026291A"/>
    <w:rsid w:val="00263293"/>
    <w:rsid w:val="00263505"/>
    <w:rsid w:val="0026751F"/>
    <w:rsid w:val="002720FF"/>
    <w:rsid w:val="00273FC5"/>
    <w:rsid w:val="00274E07"/>
    <w:rsid w:val="00280A1B"/>
    <w:rsid w:val="00282700"/>
    <w:rsid w:val="00283552"/>
    <w:rsid w:val="00283618"/>
    <w:rsid w:val="00284374"/>
    <w:rsid w:val="00284E74"/>
    <w:rsid w:val="0029672C"/>
    <w:rsid w:val="00296D5A"/>
    <w:rsid w:val="002A5EF4"/>
    <w:rsid w:val="002A66B4"/>
    <w:rsid w:val="002A6D5E"/>
    <w:rsid w:val="002A7409"/>
    <w:rsid w:val="002A763E"/>
    <w:rsid w:val="002B23DB"/>
    <w:rsid w:val="002B2A3F"/>
    <w:rsid w:val="002B3051"/>
    <w:rsid w:val="002B333C"/>
    <w:rsid w:val="002C1539"/>
    <w:rsid w:val="002C1BEA"/>
    <w:rsid w:val="002C3396"/>
    <w:rsid w:val="002C4D82"/>
    <w:rsid w:val="002C7335"/>
    <w:rsid w:val="002C7BF8"/>
    <w:rsid w:val="002D3912"/>
    <w:rsid w:val="002E22DB"/>
    <w:rsid w:val="002E24C1"/>
    <w:rsid w:val="002E3983"/>
    <w:rsid w:val="002E5E84"/>
    <w:rsid w:val="002E658B"/>
    <w:rsid w:val="002E72D9"/>
    <w:rsid w:val="002E7A14"/>
    <w:rsid w:val="002E7F47"/>
    <w:rsid w:val="002F01C8"/>
    <w:rsid w:val="002F2DA7"/>
    <w:rsid w:val="002F5399"/>
    <w:rsid w:val="002F7515"/>
    <w:rsid w:val="003006D6"/>
    <w:rsid w:val="00300C77"/>
    <w:rsid w:val="00300D30"/>
    <w:rsid w:val="00300DA1"/>
    <w:rsid w:val="00301161"/>
    <w:rsid w:val="003027FB"/>
    <w:rsid w:val="003032A5"/>
    <w:rsid w:val="0030758C"/>
    <w:rsid w:val="00311B44"/>
    <w:rsid w:val="003142B5"/>
    <w:rsid w:val="00317615"/>
    <w:rsid w:val="00320210"/>
    <w:rsid w:val="003221BF"/>
    <w:rsid w:val="0032394A"/>
    <w:rsid w:val="00323D31"/>
    <w:rsid w:val="003268AC"/>
    <w:rsid w:val="00326CD1"/>
    <w:rsid w:val="003271DD"/>
    <w:rsid w:val="00330014"/>
    <w:rsid w:val="00331D8D"/>
    <w:rsid w:val="00331E3E"/>
    <w:rsid w:val="003322CD"/>
    <w:rsid w:val="0033257E"/>
    <w:rsid w:val="00340C45"/>
    <w:rsid w:val="0034303A"/>
    <w:rsid w:val="00344109"/>
    <w:rsid w:val="00351182"/>
    <w:rsid w:val="003527EB"/>
    <w:rsid w:val="00353921"/>
    <w:rsid w:val="003543C2"/>
    <w:rsid w:val="00356B3C"/>
    <w:rsid w:val="0035733F"/>
    <w:rsid w:val="003634C6"/>
    <w:rsid w:val="00363A52"/>
    <w:rsid w:val="00366190"/>
    <w:rsid w:val="00367D1B"/>
    <w:rsid w:val="00371EEE"/>
    <w:rsid w:val="00371FA4"/>
    <w:rsid w:val="00372C7A"/>
    <w:rsid w:val="0037374B"/>
    <w:rsid w:val="00375772"/>
    <w:rsid w:val="00382326"/>
    <w:rsid w:val="003841E3"/>
    <w:rsid w:val="00385F74"/>
    <w:rsid w:val="0038642E"/>
    <w:rsid w:val="00387869"/>
    <w:rsid w:val="00391CF1"/>
    <w:rsid w:val="00392437"/>
    <w:rsid w:val="0039300F"/>
    <w:rsid w:val="00394C3C"/>
    <w:rsid w:val="003A0206"/>
    <w:rsid w:val="003A1B2C"/>
    <w:rsid w:val="003A560A"/>
    <w:rsid w:val="003A5CBE"/>
    <w:rsid w:val="003B10EE"/>
    <w:rsid w:val="003B3829"/>
    <w:rsid w:val="003B5146"/>
    <w:rsid w:val="003B6965"/>
    <w:rsid w:val="003B72DD"/>
    <w:rsid w:val="003C0D07"/>
    <w:rsid w:val="003C1265"/>
    <w:rsid w:val="003C2C85"/>
    <w:rsid w:val="003C4096"/>
    <w:rsid w:val="003C6779"/>
    <w:rsid w:val="003C6B48"/>
    <w:rsid w:val="003C70E9"/>
    <w:rsid w:val="003C74C9"/>
    <w:rsid w:val="003D1F94"/>
    <w:rsid w:val="003D20C4"/>
    <w:rsid w:val="003D2DC9"/>
    <w:rsid w:val="003D368D"/>
    <w:rsid w:val="003D37F8"/>
    <w:rsid w:val="003D4201"/>
    <w:rsid w:val="003D4DA9"/>
    <w:rsid w:val="003D76C5"/>
    <w:rsid w:val="003D7A20"/>
    <w:rsid w:val="003E444E"/>
    <w:rsid w:val="003E564F"/>
    <w:rsid w:val="003E5730"/>
    <w:rsid w:val="003E6A4D"/>
    <w:rsid w:val="003F2A29"/>
    <w:rsid w:val="003F5CCD"/>
    <w:rsid w:val="003F7CE7"/>
    <w:rsid w:val="00400CBB"/>
    <w:rsid w:val="004023C9"/>
    <w:rsid w:val="00406BCF"/>
    <w:rsid w:val="00406C4B"/>
    <w:rsid w:val="00413B2C"/>
    <w:rsid w:val="004226CD"/>
    <w:rsid w:val="0042355E"/>
    <w:rsid w:val="00423B63"/>
    <w:rsid w:val="004248B4"/>
    <w:rsid w:val="00424F74"/>
    <w:rsid w:val="00426525"/>
    <w:rsid w:val="00432688"/>
    <w:rsid w:val="00433B4B"/>
    <w:rsid w:val="00434D8D"/>
    <w:rsid w:val="004407F3"/>
    <w:rsid w:val="00441882"/>
    <w:rsid w:val="00446DDB"/>
    <w:rsid w:val="00447CA4"/>
    <w:rsid w:val="0045131F"/>
    <w:rsid w:val="004543EE"/>
    <w:rsid w:val="00455773"/>
    <w:rsid w:val="004561CC"/>
    <w:rsid w:val="004630F0"/>
    <w:rsid w:val="004643F8"/>
    <w:rsid w:val="00465163"/>
    <w:rsid w:val="004669A3"/>
    <w:rsid w:val="004670BF"/>
    <w:rsid w:val="00471ED3"/>
    <w:rsid w:val="00472C6A"/>
    <w:rsid w:val="00475085"/>
    <w:rsid w:val="00475D11"/>
    <w:rsid w:val="00476718"/>
    <w:rsid w:val="0048070B"/>
    <w:rsid w:val="00487861"/>
    <w:rsid w:val="0049333B"/>
    <w:rsid w:val="00494465"/>
    <w:rsid w:val="00494E8F"/>
    <w:rsid w:val="00495891"/>
    <w:rsid w:val="004963A6"/>
    <w:rsid w:val="004976E6"/>
    <w:rsid w:val="0049788D"/>
    <w:rsid w:val="004A1145"/>
    <w:rsid w:val="004A15DC"/>
    <w:rsid w:val="004A2011"/>
    <w:rsid w:val="004A2F4F"/>
    <w:rsid w:val="004A2FC8"/>
    <w:rsid w:val="004A3000"/>
    <w:rsid w:val="004A3227"/>
    <w:rsid w:val="004A459F"/>
    <w:rsid w:val="004A485A"/>
    <w:rsid w:val="004A6B11"/>
    <w:rsid w:val="004B18DB"/>
    <w:rsid w:val="004B1985"/>
    <w:rsid w:val="004B64CF"/>
    <w:rsid w:val="004B6B6F"/>
    <w:rsid w:val="004B6D65"/>
    <w:rsid w:val="004B7BC3"/>
    <w:rsid w:val="004C0E77"/>
    <w:rsid w:val="004C12BF"/>
    <w:rsid w:val="004C3682"/>
    <w:rsid w:val="004C3CD3"/>
    <w:rsid w:val="004C5C30"/>
    <w:rsid w:val="004C67A6"/>
    <w:rsid w:val="004C7385"/>
    <w:rsid w:val="004D05D8"/>
    <w:rsid w:val="004D744C"/>
    <w:rsid w:val="004E0D60"/>
    <w:rsid w:val="004E0EF4"/>
    <w:rsid w:val="004E14C4"/>
    <w:rsid w:val="004E267B"/>
    <w:rsid w:val="004E3DFC"/>
    <w:rsid w:val="004E42F2"/>
    <w:rsid w:val="004E4E18"/>
    <w:rsid w:val="004E6303"/>
    <w:rsid w:val="004E67CB"/>
    <w:rsid w:val="004E74F5"/>
    <w:rsid w:val="004F2772"/>
    <w:rsid w:val="004F64F9"/>
    <w:rsid w:val="004F6891"/>
    <w:rsid w:val="00511597"/>
    <w:rsid w:val="00511FA9"/>
    <w:rsid w:val="00512313"/>
    <w:rsid w:val="00512DDE"/>
    <w:rsid w:val="00515722"/>
    <w:rsid w:val="00516F36"/>
    <w:rsid w:val="005260CE"/>
    <w:rsid w:val="00533DD6"/>
    <w:rsid w:val="00534FAF"/>
    <w:rsid w:val="00541A19"/>
    <w:rsid w:val="005445FD"/>
    <w:rsid w:val="00552284"/>
    <w:rsid w:val="005522F2"/>
    <w:rsid w:val="005529A9"/>
    <w:rsid w:val="00552D12"/>
    <w:rsid w:val="00554926"/>
    <w:rsid w:val="00554CAF"/>
    <w:rsid w:val="00555D7E"/>
    <w:rsid w:val="0055639E"/>
    <w:rsid w:val="00557AB1"/>
    <w:rsid w:val="005638AA"/>
    <w:rsid w:val="005653CF"/>
    <w:rsid w:val="00565843"/>
    <w:rsid w:val="00570661"/>
    <w:rsid w:val="00570692"/>
    <w:rsid w:val="00572F49"/>
    <w:rsid w:val="005800E3"/>
    <w:rsid w:val="00583CCC"/>
    <w:rsid w:val="005856A9"/>
    <w:rsid w:val="0058715F"/>
    <w:rsid w:val="00587B6C"/>
    <w:rsid w:val="00590B17"/>
    <w:rsid w:val="00590CCD"/>
    <w:rsid w:val="005971DE"/>
    <w:rsid w:val="005971F3"/>
    <w:rsid w:val="005A01CA"/>
    <w:rsid w:val="005A0E28"/>
    <w:rsid w:val="005A5110"/>
    <w:rsid w:val="005A607A"/>
    <w:rsid w:val="005A7752"/>
    <w:rsid w:val="005A7CF5"/>
    <w:rsid w:val="005B36F0"/>
    <w:rsid w:val="005B37BE"/>
    <w:rsid w:val="005B3B95"/>
    <w:rsid w:val="005B421C"/>
    <w:rsid w:val="005B4718"/>
    <w:rsid w:val="005C197D"/>
    <w:rsid w:val="005C20A9"/>
    <w:rsid w:val="005C5587"/>
    <w:rsid w:val="005C6FC8"/>
    <w:rsid w:val="005D04F4"/>
    <w:rsid w:val="005D103C"/>
    <w:rsid w:val="005D14FD"/>
    <w:rsid w:val="005D2453"/>
    <w:rsid w:val="005D3DD8"/>
    <w:rsid w:val="005D5213"/>
    <w:rsid w:val="005E428D"/>
    <w:rsid w:val="005E62D3"/>
    <w:rsid w:val="005F0750"/>
    <w:rsid w:val="005F2A11"/>
    <w:rsid w:val="005F4C13"/>
    <w:rsid w:val="005F6D3A"/>
    <w:rsid w:val="005F764C"/>
    <w:rsid w:val="005F76E3"/>
    <w:rsid w:val="00605190"/>
    <w:rsid w:val="00605967"/>
    <w:rsid w:val="00605F0F"/>
    <w:rsid w:val="00606B14"/>
    <w:rsid w:val="0060736F"/>
    <w:rsid w:val="00607BD9"/>
    <w:rsid w:val="00614107"/>
    <w:rsid w:val="00615244"/>
    <w:rsid w:val="00615CDA"/>
    <w:rsid w:val="006213FD"/>
    <w:rsid w:val="00623F00"/>
    <w:rsid w:val="0062427B"/>
    <w:rsid w:val="00631885"/>
    <w:rsid w:val="00636DC6"/>
    <w:rsid w:val="00640325"/>
    <w:rsid w:val="00642AA9"/>
    <w:rsid w:val="00644A94"/>
    <w:rsid w:val="0065181B"/>
    <w:rsid w:val="0065417A"/>
    <w:rsid w:val="006541BC"/>
    <w:rsid w:val="00657448"/>
    <w:rsid w:val="00660B07"/>
    <w:rsid w:val="0066129F"/>
    <w:rsid w:val="00662AAD"/>
    <w:rsid w:val="00663C44"/>
    <w:rsid w:val="006640BC"/>
    <w:rsid w:val="00665325"/>
    <w:rsid w:val="00665B87"/>
    <w:rsid w:val="006678EF"/>
    <w:rsid w:val="00671A9B"/>
    <w:rsid w:val="00674D32"/>
    <w:rsid w:val="00675121"/>
    <w:rsid w:val="0067518D"/>
    <w:rsid w:val="006819D4"/>
    <w:rsid w:val="00681B3C"/>
    <w:rsid w:val="00686F5C"/>
    <w:rsid w:val="00690746"/>
    <w:rsid w:val="006908FF"/>
    <w:rsid w:val="00693136"/>
    <w:rsid w:val="006932F3"/>
    <w:rsid w:val="00694B1C"/>
    <w:rsid w:val="00694E05"/>
    <w:rsid w:val="006963E1"/>
    <w:rsid w:val="006A002E"/>
    <w:rsid w:val="006A0915"/>
    <w:rsid w:val="006A6125"/>
    <w:rsid w:val="006A6C65"/>
    <w:rsid w:val="006A6F42"/>
    <w:rsid w:val="006B2A18"/>
    <w:rsid w:val="006B50F9"/>
    <w:rsid w:val="006B5137"/>
    <w:rsid w:val="006B6782"/>
    <w:rsid w:val="006C217F"/>
    <w:rsid w:val="006C489B"/>
    <w:rsid w:val="006C7029"/>
    <w:rsid w:val="006C7960"/>
    <w:rsid w:val="006D1355"/>
    <w:rsid w:val="006E49FD"/>
    <w:rsid w:val="006E5791"/>
    <w:rsid w:val="006E6B2E"/>
    <w:rsid w:val="006E7A54"/>
    <w:rsid w:val="006F1EAB"/>
    <w:rsid w:val="006F28FF"/>
    <w:rsid w:val="006F432C"/>
    <w:rsid w:val="006F446C"/>
    <w:rsid w:val="006F5D92"/>
    <w:rsid w:val="00702B1D"/>
    <w:rsid w:val="00702C34"/>
    <w:rsid w:val="00703C87"/>
    <w:rsid w:val="00703E3F"/>
    <w:rsid w:val="0070634E"/>
    <w:rsid w:val="00707D04"/>
    <w:rsid w:val="007107C7"/>
    <w:rsid w:val="00715542"/>
    <w:rsid w:val="00716893"/>
    <w:rsid w:val="00717ECE"/>
    <w:rsid w:val="0072076D"/>
    <w:rsid w:val="00723F7F"/>
    <w:rsid w:val="007257D1"/>
    <w:rsid w:val="007266DB"/>
    <w:rsid w:val="00726996"/>
    <w:rsid w:val="00731D76"/>
    <w:rsid w:val="00732299"/>
    <w:rsid w:val="00732FAB"/>
    <w:rsid w:val="00733CED"/>
    <w:rsid w:val="00735A38"/>
    <w:rsid w:val="00750A0F"/>
    <w:rsid w:val="0075123D"/>
    <w:rsid w:val="00752166"/>
    <w:rsid w:val="007534DF"/>
    <w:rsid w:val="00753851"/>
    <w:rsid w:val="007562DB"/>
    <w:rsid w:val="007565F7"/>
    <w:rsid w:val="0075695C"/>
    <w:rsid w:val="00757250"/>
    <w:rsid w:val="0075734C"/>
    <w:rsid w:val="007644E0"/>
    <w:rsid w:val="00770E02"/>
    <w:rsid w:val="007712D5"/>
    <w:rsid w:val="00775445"/>
    <w:rsid w:val="00775ABD"/>
    <w:rsid w:val="00780A30"/>
    <w:rsid w:val="00780D13"/>
    <w:rsid w:val="00782920"/>
    <w:rsid w:val="007829EF"/>
    <w:rsid w:val="00786ED9"/>
    <w:rsid w:val="0079125F"/>
    <w:rsid w:val="00792098"/>
    <w:rsid w:val="00794CCC"/>
    <w:rsid w:val="00794D70"/>
    <w:rsid w:val="00796B79"/>
    <w:rsid w:val="00797486"/>
    <w:rsid w:val="007979B8"/>
    <w:rsid w:val="007A0A30"/>
    <w:rsid w:val="007A29A7"/>
    <w:rsid w:val="007A49F1"/>
    <w:rsid w:val="007A654D"/>
    <w:rsid w:val="007A6BF7"/>
    <w:rsid w:val="007A6D52"/>
    <w:rsid w:val="007B3DD7"/>
    <w:rsid w:val="007B514E"/>
    <w:rsid w:val="007B7AC1"/>
    <w:rsid w:val="007C0BBE"/>
    <w:rsid w:val="007C2EAC"/>
    <w:rsid w:val="007C3287"/>
    <w:rsid w:val="007C5BCF"/>
    <w:rsid w:val="007C61F0"/>
    <w:rsid w:val="007D2065"/>
    <w:rsid w:val="007D4158"/>
    <w:rsid w:val="007D42B0"/>
    <w:rsid w:val="007D66F6"/>
    <w:rsid w:val="007D7C2E"/>
    <w:rsid w:val="007E0F3C"/>
    <w:rsid w:val="007E1775"/>
    <w:rsid w:val="007E6C86"/>
    <w:rsid w:val="007E71A0"/>
    <w:rsid w:val="007F108B"/>
    <w:rsid w:val="007F55BB"/>
    <w:rsid w:val="007F66E7"/>
    <w:rsid w:val="007F68E4"/>
    <w:rsid w:val="007F6E1E"/>
    <w:rsid w:val="00802380"/>
    <w:rsid w:val="00802FA2"/>
    <w:rsid w:val="00804662"/>
    <w:rsid w:val="00805CBE"/>
    <w:rsid w:val="00807137"/>
    <w:rsid w:val="00807279"/>
    <w:rsid w:val="00807DCA"/>
    <w:rsid w:val="00810A25"/>
    <w:rsid w:val="0081251D"/>
    <w:rsid w:val="00815543"/>
    <w:rsid w:val="00832387"/>
    <w:rsid w:val="00832626"/>
    <w:rsid w:val="008328BF"/>
    <w:rsid w:val="0083757F"/>
    <w:rsid w:val="00840181"/>
    <w:rsid w:val="00840B85"/>
    <w:rsid w:val="0084221F"/>
    <w:rsid w:val="00842AD5"/>
    <w:rsid w:val="00842D1C"/>
    <w:rsid w:val="0084499F"/>
    <w:rsid w:val="008467C7"/>
    <w:rsid w:val="008467E3"/>
    <w:rsid w:val="00846B1C"/>
    <w:rsid w:val="0085207E"/>
    <w:rsid w:val="00854206"/>
    <w:rsid w:val="0085459D"/>
    <w:rsid w:val="00856976"/>
    <w:rsid w:val="00861932"/>
    <w:rsid w:val="00863325"/>
    <w:rsid w:val="00863F01"/>
    <w:rsid w:val="008663E5"/>
    <w:rsid w:val="00866471"/>
    <w:rsid w:val="008702A3"/>
    <w:rsid w:val="00871DF0"/>
    <w:rsid w:val="0087208C"/>
    <w:rsid w:val="008753FA"/>
    <w:rsid w:val="00876598"/>
    <w:rsid w:val="008803C5"/>
    <w:rsid w:val="00880924"/>
    <w:rsid w:val="00883FBF"/>
    <w:rsid w:val="00887FC9"/>
    <w:rsid w:val="008A5406"/>
    <w:rsid w:val="008A5D41"/>
    <w:rsid w:val="008B3807"/>
    <w:rsid w:val="008B3873"/>
    <w:rsid w:val="008B5D3E"/>
    <w:rsid w:val="008B7228"/>
    <w:rsid w:val="008C6232"/>
    <w:rsid w:val="008D1751"/>
    <w:rsid w:val="008D4C70"/>
    <w:rsid w:val="008E01BF"/>
    <w:rsid w:val="008E1BBB"/>
    <w:rsid w:val="008E3039"/>
    <w:rsid w:val="008E6B8C"/>
    <w:rsid w:val="008E76F6"/>
    <w:rsid w:val="008F0494"/>
    <w:rsid w:val="008F30CF"/>
    <w:rsid w:val="008F3499"/>
    <w:rsid w:val="008F59B1"/>
    <w:rsid w:val="009007A4"/>
    <w:rsid w:val="009014C1"/>
    <w:rsid w:val="00901A6D"/>
    <w:rsid w:val="00903690"/>
    <w:rsid w:val="009106BD"/>
    <w:rsid w:val="00910CAF"/>
    <w:rsid w:val="00912D16"/>
    <w:rsid w:val="00913343"/>
    <w:rsid w:val="00913C27"/>
    <w:rsid w:val="00915776"/>
    <w:rsid w:val="009174E9"/>
    <w:rsid w:val="00917A30"/>
    <w:rsid w:val="00921060"/>
    <w:rsid w:val="009235CA"/>
    <w:rsid w:val="009244B1"/>
    <w:rsid w:val="00924B2B"/>
    <w:rsid w:val="009256E7"/>
    <w:rsid w:val="0092764E"/>
    <w:rsid w:val="00927B82"/>
    <w:rsid w:val="00930F3B"/>
    <w:rsid w:val="00934F7B"/>
    <w:rsid w:val="00937D90"/>
    <w:rsid w:val="00940ECC"/>
    <w:rsid w:val="00941364"/>
    <w:rsid w:val="0094137D"/>
    <w:rsid w:val="00941885"/>
    <w:rsid w:val="00944677"/>
    <w:rsid w:val="00945FDE"/>
    <w:rsid w:val="00947911"/>
    <w:rsid w:val="009545C6"/>
    <w:rsid w:val="00955491"/>
    <w:rsid w:val="00957C2E"/>
    <w:rsid w:val="00962996"/>
    <w:rsid w:val="009657EF"/>
    <w:rsid w:val="00965EE0"/>
    <w:rsid w:val="00966D74"/>
    <w:rsid w:val="00967025"/>
    <w:rsid w:val="0097060E"/>
    <w:rsid w:val="0097134A"/>
    <w:rsid w:val="00972F68"/>
    <w:rsid w:val="009840FD"/>
    <w:rsid w:val="00991707"/>
    <w:rsid w:val="00996F5C"/>
    <w:rsid w:val="009A0243"/>
    <w:rsid w:val="009A04DE"/>
    <w:rsid w:val="009A59B0"/>
    <w:rsid w:val="009A6A65"/>
    <w:rsid w:val="009A7F3D"/>
    <w:rsid w:val="009B318B"/>
    <w:rsid w:val="009B4331"/>
    <w:rsid w:val="009B74CD"/>
    <w:rsid w:val="009C215F"/>
    <w:rsid w:val="009C4D07"/>
    <w:rsid w:val="009C7F65"/>
    <w:rsid w:val="009D7AF0"/>
    <w:rsid w:val="009E2475"/>
    <w:rsid w:val="009E2CCE"/>
    <w:rsid w:val="009E3D4E"/>
    <w:rsid w:val="00A01AC8"/>
    <w:rsid w:val="00A01F4E"/>
    <w:rsid w:val="00A035DF"/>
    <w:rsid w:val="00A046D5"/>
    <w:rsid w:val="00A04E7B"/>
    <w:rsid w:val="00A05B70"/>
    <w:rsid w:val="00A06F45"/>
    <w:rsid w:val="00A1007E"/>
    <w:rsid w:val="00A1353A"/>
    <w:rsid w:val="00A138B7"/>
    <w:rsid w:val="00A1548B"/>
    <w:rsid w:val="00A1730A"/>
    <w:rsid w:val="00A21041"/>
    <w:rsid w:val="00A220F9"/>
    <w:rsid w:val="00A22514"/>
    <w:rsid w:val="00A26032"/>
    <w:rsid w:val="00A35532"/>
    <w:rsid w:val="00A369CF"/>
    <w:rsid w:val="00A37222"/>
    <w:rsid w:val="00A420D2"/>
    <w:rsid w:val="00A42EE6"/>
    <w:rsid w:val="00A42FFB"/>
    <w:rsid w:val="00A45326"/>
    <w:rsid w:val="00A46C50"/>
    <w:rsid w:val="00A47ADD"/>
    <w:rsid w:val="00A538A6"/>
    <w:rsid w:val="00A56D74"/>
    <w:rsid w:val="00A5714D"/>
    <w:rsid w:val="00A57A5F"/>
    <w:rsid w:val="00A61E44"/>
    <w:rsid w:val="00A65A32"/>
    <w:rsid w:val="00A663FF"/>
    <w:rsid w:val="00A801B3"/>
    <w:rsid w:val="00A802A6"/>
    <w:rsid w:val="00A80DCF"/>
    <w:rsid w:val="00A81A4D"/>
    <w:rsid w:val="00A82D34"/>
    <w:rsid w:val="00A84400"/>
    <w:rsid w:val="00A87DCF"/>
    <w:rsid w:val="00A9208D"/>
    <w:rsid w:val="00A9422C"/>
    <w:rsid w:val="00AA02E9"/>
    <w:rsid w:val="00AA36F1"/>
    <w:rsid w:val="00AA5051"/>
    <w:rsid w:val="00AA62BB"/>
    <w:rsid w:val="00AB231D"/>
    <w:rsid w:val="00AB4424"/>
    <w:rsid w:val="00AB662D"/>
    <w:rsid w:val="00AC25B8"/>
    <w:rsid w:val="00AC4D0C"/>
    <w:rsid w:val="00AC6F99"/>
    <w:rsid w:val="00AC75E9"/>
    <w:rsid w:val="00AD08FA"/>
    <w:rsid w:val="00AD11F3"/>
    <w:rsid w:val="00AD40BD"/>
    <w:rsid w:val="00AD5296"/>
    <w:rsid w:val="00AD7B47"/>
    <w:rsid w:val="00AE111C"/>
    <w:rsid w:val="00AE33A1"/>
    <w:rsid w:val="00AE53FE"/>
    <w:rsid w:val="00AF3CFB"/>
    <w:rsid w:val="00AF4BA8"/>
    <w:rsid w:val="00B0079C"/>
    <w:rsid w:val="00B00942"/>
    <w:rsid w:val="00B11DDE"/>
    <w:rsid w:val="00B1552D"/>
    <w:rsid w:val="00B16A78"/>
    <w:rsid w:val="00B17266"/>
    <w:rsid w:val="00B17F71"/>
    <w:rsid w:val="00B230CA"/>
    <w:rsid w:val="00B26BA6"/>
    <w:rsid w:val="00B30160"/>
    <w:rsid w:val="00B33732"/>
    <w:rsid w:val="00B400EB"/>
    <w:rsid w:val="00B41FB1"/>
    <w:rsid w:val="00B478CC"/>
    <w:rsid w:val="00B530D5"/>
    <w:rsid w:val="00B54767"/>
    <w:rsid w:val="00B55E1C"/>
    <w:rsid w:val="00B57D14"/>
    <w:rsid w:val="00B635B1"/>
    <w:rsid w:val="00B63FBC"/>
    <w:rsid w:val="00B642D6"/>
    <w:rsid w:val="00B66BBC"/>
    <w:rsid w:val="00B676F5"/>
    <w:rsid w:val="00B7054C"/>
    <w:rsid w:val="00B707A4"/>
    <w:rsid w:val="00B70BDD"/>
    <w:rsid w:val="00B73DCC"/>
    <w:rsid w:val="00B81BDE"/>
    <w:rsid w:val="00B81DBB"/>
    <w:rsid w:val="00B83D64"/>
    <w:rsid w:val="00B926AF"/>
    <w:rsid w:val="00B92822"/>
    <w:rsid w:val="00B941DA"/>
    <w:rsid w:val="00B94CD7"/>
    <w:rsid w:val="00B96BE4"/>
    <w:rsid w:val="00BA0134"/>
    <w:rsid w:val="00BA2CDB"/>
    <w:rsid w:val="00BA3585"/>
    <w:rsid w:val="00BA3F5A"/>
    <w:rsid w:val="00BA46D1"/>
    <w:rsid w:val="00BA4836"/>
    <w:rsid w:val="00BB068C"/>
    <w:rsid w:val="00BB417B"/>
    <w:rsid w:val="00BC1C9C"/>
    <w:rsid w:val="00BC2FEC"/>
    <w:rsid w:val="00BC30A3"/>
    <w:rsid w:val="00BC766F"/>
    <w:rsid w:val="00BD0021"/>
    <w:rsid w:val="00BD13E0"/>
    <w:rsid w:val="00BD2AB0"/>
    <w:rsid w:val="00BD3995"/>
    <w:rsid w:val="00BD4435"/>
    <w:rsid w:val="00BD4D1B"/>
    <w:rsid w:val="00BD6C96"/>
    <w:rsid w:val="00BE179E"/>
    <w:rsid w:val="00BE3166"/>
    <w:rsid w:val="00BE659D"/>
    <w:rsid w:val="00BE73FA"/>
    <w:rsid w:val="00BE7933"/>
    <w:rsid w:val="00BF0515"/>
    <w:rsid w:val="00BF34D6"/>
    <w:rsid w:val="00BF7131"/>
    <w:rsid w:val="00C001F6"/>
    <w:rsid w:val="00C03707"/>
    <w:rsid w:val="00C04FB9"/>
    <w:rsid w:val="00C115CE"/>
    <w:rsid w:val="00C1180D"/>
    <w:rsid w:val="00C1278D"/>
    <w:rsid w:val="00C1440B"/>
    <w:rsid w:val="00C15D5B"/>
    <w:rsid w:val="00C23EDD"/>
    <w:rsid w:val="00C251BD"/>
    <w:rsid w:val="00C25A38"/>
    <w:rsid w:val="00C26BF4"/>
    <w:rsid w:val="00C27DD7"/>
    <w:rsid w:val="00C30579"/>
    <w:rsid w:val="00C3112C"/>
    <w:rsid w:val="00C332FE"/>
    <w:rsid w:val="00C35068"/>
    <w:rsid w:val="00C35ABC"/>
    <w:rsid w:val="00C3612E"/>
    <w:rsid w:val="00C37A05"/>
    <w:rsid w:val="00C4271C"/>
    <w:rsid w:val="00C42CA1"/>
    <w:rsid w:val="00C52878"/>
    <w:rsid w:val="00C53839"/>
    <w:rsid w:val="00C55DAF"/>
    <w:rsid w:val="00C56E31"/>
    <w:rsid w:val="00C576DA"/>
    <w:rsid w:val="00C57915"/>
    <w:rsid w:val="00C57C7E"/>
    <w:rsid w:val="00C62E16"/>
    <w:rsid w:val="00C802ED"/>
    <w:rsid w:val="00C806B3"/>
    <w:rsid w:val="00C81F18"/>
    <w:rsid w:val="00C827DF"/>
    <w:rsid w:val="00C82AA3"/>
    <w:rsid w:val="00C82D82"/>
    <w:rsid w:val="00C83810"/>
    <w:rsid w:val="00C83D96"/>
    <w:rsid w:val="00C85FCE"/>
    <w:rsid w:val="00C9024E"/>
    <w:rsid w:val="00CA167D"/>
    <w:rsid w:val="00CA309E"/>
    <w:rsid w:val="00CA3156"/>
    <w:rsid w:val="00CA3CD6"/>
    <w:rsid w:val="00CA5369"/>
    <w:rsid w:val="00CB2F81"/>
    <w:rsid w:val="00CB48B5"/>
    <w:rsid w:val="00CB6074"/>
    <w:rsid w:val="00CB7DFC"/>
    <w:rsid w:val="00CC200C"/>
    <w:rsid w:val="00CC28C0"/>
    <w:rsid w:val="00CC5CE6"/>
    <w:rsid w:val="00CC6008"/>
    <w:rsid w:val="00CC7149"/>
    <w:rsid w:val="00CD00FD"/>
    <w:rsid w:val="00CD132E"/>
    <w:rsid w:val="00CD2DE7"/>
    <w:rsid w:val="00CD671B"/>
    <w:rsid w:val="00CD69D4"/>
    <w:rsid w:val="00CE0FDA"/>
    <w:rsid w:val="00CE5646"/>
    <w:rsid w:val="00CF02B1"/>
    <w:rsid w:val="00CF177C"/>
    <w:rsid w:val="00CF1845"/>
    <w:rsid w:val="00CF201C"/>
    <w:rsid w:val="00CF26E5"/>
    <w:rsid w:val="00CF3DE3"/>
    <w:rsid w:val="00CF6665"/>
    <w:rsid w:val="00CF7D4B"/>
    <w:rsid w:val="00D00BC4"/>
    <w:rsid w:val="00D01C5E"/>
    <w:rsid w:val="00D040A1"/>
    <w:rsid w:val="00D04833"/>
    <w:rsid w:val="00D07B49"/>
    <w:rsid w:val="00D07E2F"/>
    <w:rsid w:val="00D10BAF"/>
    <w:rsid w:val="00D11323"/>
    <w:rsid w:val="00D11B69"/>
    <w:rsid w:val="00D13DDD"/>
    <w:rsid w:val="00D17D8D"/>
    <w:rsid w:val="00D17E1C"/>
    <w:rsid w:val="00D20EC8"/>
    <w:rsid w:val="00D21BEF"/>
    <w:rsid w:val="00D2794C"/>
    <w:rsid w:val="00D439BA"/>
    <w:rsid w:val="00D440D1"/>
    <w:rsid w:val="00D47085"/>
    <w:rsid w:val="00D47AF4"/>
    <w:rsid w:val="00D500D3"/>
    <w:rsid w:val="00D5042F"/>
    <w:rsid w:val="00D520B1"/>
    <w:rsid w:val="00D561A6"/>
    <w:rsid w:val="00D56A9A"/>
    <w:rsid w:val="00D57CBB"/>
    <w:rsid w:val="00D642A9"/>
    <w:rsid w:val="00D64A6E"/>
    <w:rsid w:val="00D67266"/>
    <w:rsid w:val="00D70FBE"/>
    <w:rsid w:val="00D7289E"/>
    <w:rsid w:val="00D7313E"/>
    <w:rsid w:val="00D73385"/>
    <w:rsid w:val="00D763A0"/>
    <w:rsid w:val="00D76B9E"/>
    <w:rsid w:val="00D77473"/>
    <w:rsid w:val="00D81609"/>
    <w:rsid w:val="00D83799"/>
    <w:rsid w:val="00D86D26"/>
    <w:rsid w:val="00D86F67"/>
    <w:rsid w:val="00D91569"/>
    <w:rsid w:val="00D92A7D"/>
    <w:rsid w:val="00D92DEE"/>
    <w:rsid w:val="00D939B5"/>
    <w:rsid w:val="00D93B71"/>
    <w:rsid w:val="00D97D70"/>
    <w:rsid w:val="00DA1628"/>
    <w:rsid w:val="00DA31F6"/>
    <w:rsid w:val="00DA3339"/>
    <w:rsid w:val="00DA3396"/>
    <w:rsid w:val="00DA723A"/>
    <w:rsid w:val="00DB66CA"/>
    <w:rsid w:val="00DB678B"/>
    <w:rsid w:val="00DB6B48"/>
    <w:rsid w:val="00DC1EBC"/>
    <w:rsid w:val="00DC5004"/>
    <w:rsid w:val="00DD1613"/>
    <w:rsid w:val="00DD7790"/>
    <w:rsid w:val="00DD7B3B"/>
    <w:rsid w:val="00DE22F0"/>
    <w:rsid w:val="00DE30AB"/>
    <w:rsid w:val="00DE4DA8"/>
    <w:rsid w:val="00DF075C"/>
    <w:rsid w:val="00DF2A4A"/>
    <w:rsid w:val="00DF7F25"/>
    <w:rsid w:val="00E0018D"/>
    <w:rsid w:val="00E002E1"/>
    <w:rsid w:val="00E004EB"/>
    <w:rsid w:val="00E00D0C"/>
    <w:rsid w:val="00E02E3A"/>
    <w:rsid w:val="00E04792"/>
    <w:rsid w:val="00E04827"/>
    <w:rsid w:val="00E10844"/>
    <w:rsid w:val="00E13060"/>
    <w:rsid w:val="00E17913"/>
    <w:rsid w:val="00E24479"/>
    <w:rsid w:val="00E25D80"/>
    <w:rsid w:val="00E26949"/>
    <w:rsid w:val="00E320B9"/>
    <w:rsid w:val="00E33BBC"/>
    <w:rsid w:val="00E36920"/>
    <w:rsid w:val="00E41969"/>
    <w:rsid w:val="00E42E2D"/>
    <w:rsid w:val="00E44B23"/>
    <w:rsid w:val="00E45FEF"/>
    <w:rsid w:val="00E47DF9"/>
    <w:rsid w:val="00E518C4"/>
    <w:rsid w:val="00E519D0"/>
    <w:rsid w:val="00E526BA"/>
    <w:rsid w:val="00E527B2"/>
    <w:rsid w:val="00E536B2"/>
    <w:rsid w:val="00E54EC9"/>
    <w:rsid w:val="00E5507A"/>
    <w:rsid w:val="00E61FB6"/>
    <w:rsid w:val="00E71FD6"/>
    <w:rsid w:val="00E742A8"/>
    <w:rsid w:val="00E74EA2"/>
    <w:rsid w:val="00E769C9"/>
    <w:rsid w:val="00E77825"/>
    <w:rsid w:val="00E8154E"/>
    <w:rsid w:val="00E83642"/>
    <w:rsid w:val="00E836B6"/>
    <w:rsid w:val="00E83FAD"/>
    <w:rsid w:val="00E8411E"/>
    <w:rsid w:val="00E90088"/>
    <w:rsid w:val="00E90DAD"/>
    <w:rsid w:val="00E91657"/>
    <w:rsid w:val="00E91D8F"/>
    <w:rsid w:val="00E91FC1"/>
    <w:rsid w:val="00E92416"/>
    <w:rsid w:val="00E9501F"/>
    <w:rsid w:val="00E96479"/>
    <w:rsid w:val="00EA0049"/>
    <w:rsid w:val="00EA2920"/>
    <w:rsid w:val="00EA399F"/>
    <w:rsid w:val="00EA4F06"/>
    <w:rsid w:val="00EB0F61"/>
    <w:rsid w:val="00EB1516"/>
    <w:rsid w:val="00EB2139"/>
    <w:rsid w:val="00EB44F9"/>
    <w:rsid w:val="00EB6577"/>
    <w:rsid w:val="00EC0F14"/>
    <w:rsid w:val="00EC4E12"/>
    <w:rsid w:val="00ED0B1A"/>
    <w:rsid w:val="00ED3BF3"/>
    <w:rsid w:val="00ED52F7"/>
    <w:rsid w:val="00EE2091"/>
    <w:rsid w:val="00EE4761"/>
    <w:rsid w:val="00EE55B6"/>
    <w:rsid w:val="00EE5A4C"/>
    <w:rsid w:val="00EF11C0"/>
    <w:rsid w:val="00EF22CC"/>
    <w:rsid w:val="00EF3118"/>
    <w:rsid w:val="00EF3705"/>
    <w:rsid w:val="00EF48FA"/>
    <w:rsid w:val="00F007C3"/>
    <w:rsid w:val="00F01876"/>
    <w:rsid w:val="00F0797B"/>
    <w:rsid w:val="00F07EDE"/>
    <w:rsid w:val="00F16E48"/>
    <w:rsid w:val="00F22714"/>
    <w:rsid w:val="00F22E98"/>
    <w:rsid w:val="00F27DCD"/>
    <w:rsid w:val="00F32570"/>
    <w:rsid w:val="00F32BCB"/>
    <w:rsid w:val="00F33041"/>
    <w:rsid w:val="00F33341"/>
    <w:rsid w:val="00F36014"/>
    <w:rsid w:val="00F37AC3"/>
    <w:rsid w:val="00F420D6"/>
    <w:rsid w:val="00F420F3"/>
    <w:rsid w:val="00F46166"/>
    <w:rsid w:val="00F46690"/>
    <w:rsid w:val="00F5233D"/>
    <w:rsid w:val="00F5591C"/>
    <w:rsid w:val="00F55D6D"/>
    <w:rsid w:val="00F5633E"/>
    <w:rsid w:val="00F60409"/>
    <w:rsid w:val="00F606B6"/>
    <w:rsid w:val="00F6124F"/>
    <w:rsid w:val="00F61365"/>
    <w:rsid w:val="00F61F82"/>
    <w:rsid w:val="00F6255A"/>
    <w:rsid w:val="00F636C6"/>
    <w:rsid w:val="00F71BAE"/>
    <w:rsid w:val="00F80F8A"/>
    <w:rsid w:val="00F82C3B"/>
    <w:rsid w:val="00F83068"/>
    <w:rsid w:val="00F84D95"/>
    <w:rsid w:val="00F86EB0"/>
    <w:rsid w:val="00F879EF"/>
    <w:rsid w:val="00F9115C"/>
    <w:rsid w:val="00F92124"/>
    <w:rsid w:val="00F92C10"/>
    <w:rsid w:val="00F94314"/>
    <w:rsid w:val="00F94F42"/>
    <w:rsid w:val="00F968DF"/>
    <w:rsid w:val="00FA0993"/>
    <w:rsid w:val="00FA229C"/>
    <w:rsid w:val="00FA2E19"/>
    <w:rsid w:val="00FA33C1"/>
    <w:rsid w:val="00FA5487"/>
    <w:rsid w:val="00FB0D4C"/>
    <w:rsid w:val="00FB5B43"/>
    <w:rsid w:val="00FB5B51"/>
    <w:rsid w:val="00FB6E76"/>
    <w:rsid w:val="00FB6EB6"/>
    <w:rsid w:val="00FC0934"/>
    <w:rsid w:val="00FC1166"/>
    <w:rsid w:val="00FC1DF6"/>
    <w:rsid w:val="00FC1E9C"/>
    <w:rsid w:val="00FC3318"/>
    <w:rsid w:val="00FC49AB"/>
    <w:rsid w:val="00FC67F1"/>
    <w:rsid w:val="00FD24C3"/>
    <w:rsid w:val="00FD4B14"/>
    <w:rsid w:val="00FD7160"/>
    <w:rsid w:val="00FE0C7A"/>
    <w:rsid w:val="00FE1432"/>
    <w:rsid w:val="00FE1CFD"/>
    <w:rsid w:val="00FF1349"/>
    <w:rsid w:val="00FF2E97"/>
    <w:rsid w:val="00FF4786"/>
    <w:rsid w:val="00FF4866"/>
    <w:rsid w:val="00FF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F49416"/>
  <w15:docId w15:val="{384F9D69-0F95-4DEF-8278-522EAD0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rsid w:val="00AD08FA"/>
    <w:pPr>
      <w:spacing w:after="120"/>
      <w:jc w:val="both"/>
    </w:pPr>
  </w:style>
  <w:style w:type="paragraph" w:styleId="Cmsor1">
    <w:name w:val="heading 1"/>
    <w:basedOn w:val="Norml"/>
    <w:next w:val="Norml"/>
    <w:link w:val="Cmsor1Char"/>
    <w:qFormat/>
    <w:rsid w:val="00AD08FA"/>
    <w:pPr>
      <w:keepNext/>
      <w:keepLines/>
      <w:numPr>
        <w:numId w:val="1"/>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basedOn w:val="Norml"/>
    <w:next w:val="Norml"/>
    <w:link w:val="Cmsor2Char"/>
    <w:uiPriority w:val="9"/>
    <w:semiHidden/>
    <w:unhideWhenUsed/>
    <w:rsid w:val="00AD08FA"/>
    <w:pPr>
      <w:keepNext/>
      <w:keepLines/>
      <w:numPr>
        <w:ilvl w:val="1"/>
        <w:numId w:val="1"/>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basedOn w:val="Norml"/>
    <w:next w:val="Norml"/>
    <w:link w:val="Cmsor3Char"/>
    <w:uiPriority w:val="9"/>
    <w:semiHidden/>
    <w:unhideWhenUsed/>
    <w:qFormat/>
    <w:rsid w:val="00AD08FA"/>
    <w:pPr>
      <w:keepNext/>
      <w:keepLines/>
      <w:numPr>
        <w:ilvl w:val="2"/>
        <w:numId w:val="1"/>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basedOn w:val="Norml"/>
    <w:next w:val="Norml"/>
    <w:link w:val="Cmsor4Char"/>
    <w:uiPriority w:val="9"/>
    <w:semiHidden/>
    <w:unhideWhenUsed/>
    <w:qFormat/>
    <w:rsid w:val="00AD08FA"/>
    <w:pPr>
      <w:keepNext/>
      <w:keepLines/>
      <w:numPr>
        <w:ilvl w:val="3"/>
        <w:numId w:val="1"/>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rsid w:val="007D7C2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rsid w:val="00AD08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unhideWhenUsed/>
    <w:qFormat/>
    <w:rsid w:val="00AD08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AD08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rsid w:val="00AD08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08FA"/>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rsid w:val="00AD08FA"/>
    <w:pPr>
      <w:numPr>
        <w:numId w:val="0"/>
      </w:numPr>
      <w:outlineLvl w:val="9"/>
    </w:pPr>
  </w:style>
  <w:style w:type="paragraph" w:styleId="lfej">
    <w:name w:val="header"/>
    <w:aliases w:val="encabezado,he,header odd,header odd1,header odd2,header"/>
    <w:basedOn w:val="Norml"/>
    <w:link w:val="lfejChar"/>
    <w:unhideWhenUsed/>
    <w:rsid w:val="006F446C"/>
    <w:pPr>
      <w:tabs>
        <w:tab w:val="center" w:pos="4536"/>
        <w:tab w:val="right" w:pos="9072"/>
      </w:tabs>
      <w:spacing w:after="0" w:line="240" w:lineRule="auto"/>
    </w:pPr>
  </w:style>
  <w:style w:type="paragraph" w:styleId="Listaszerbekezds">
    <w:name w:val="List Paragraph"/>
    <w:aliases w:val="List Bullet"/>
    <w:basedOn w:val="Norml"/>
    <w:link w:val="ListaszerbekezdsChar"/>
    <w:uiPriority w:val="34"/>
    <w:qFormat/>
    <w:rsid w:val="00CA3CD6"/>
    <w:pPr>
      <w:ind w:left="720"/>
      <w:contextualSpacing/>
    </w:pPr>
  </w:style>
  <w:style w:type="character" w:customStyle="1" w:styleId="lfejChar">
    <w:name w:val="Élőfej Char"/>
    <w:aliases w:val="encabezado Char,he Char,header odd Char,header odd1 Char,header odd2 Char,header Char"/>
    <w:basedOn w:val="Bekezdsalapbettpusa"/>
    <w:link w:val="lfej"/>
    <w:rsid w:val="006F446C"/>
  </w:style>
  <w:style w:type="paragraph" w:styleId="llb">
    <w:name w:val="footer"/>
    <w:basedOn w:val="Norml"/>
    <w:link w:val="llbChar"/>
    <w:uiPriority w:val="99"/>
    <w:unhideWhenUsed/>
    <w:rsid w:val="006F446C"/>
    <w:pPr>
      <w:tabs>
        <w:tab w:val="center" w:pos="4536"/>
        <w:tab w:val="right" w:pos="9072"/>
      </w:tabs>
      <w:spacing w:after="0" w:line="240" w:lineRule="auto"/>
    </w:pPr>
  </w:style>
  <w:style w:type="character" w:customStyle="1" w:styleId="llbChar">
    <w:name w:val="Élőláb Char"/>
    <w:basedOn w:val="Bekezdsalapbettpusa"/>
    <w:link w:val="llb"/>
    <w:uiPriority w:val="99"/>
    <w:rsid w:val="006F446C"/>
  </w:style>
  <w:style w:type="paragraph" w:customStyle="1" w:styleId="Cmnmhh">
    <w:name w:val="Cím_nmhh"/>
    <w:basedOn w:val="Cm"/>
    <w:qFormat/>
    <w:rsid w:val="00BB417B"/>
    <w:pPr>
      <w:pBdr>
        <w:bottom w:val="none" w:sz="0" w:space="0" w:color="auto"/>
      </w:pBdr>
      <w:spacing w:after="480" w:line="720" w:lineRule="exact"/>
      <w:ind w:left="890"/>
      <w:contextualSpacing w:val="0"/>
      <w:jc w:val="left"/>
    </w:pPr>
    <w:rPr>
      <w:b/>
      <w:color w:val="911E6C"/>
      <w:sz w:val="60"/>
    </w:rPr>
  </w:style>
  <w:style w:type="paragraph" w:customStyle="1" w:styleId="Osztlynmhh">
    <w:name w:val="Osztály_nmhh"/>
    <w:basedOn w:val="Norml"/>
    <w:next w:val="Norml"/>
    <w:qFormat/>
    <w:rsid w:val="00BB417B"/>
    <w:pPr>
      <w:spacing w:after="0"/>
      <w:ind w:left="890"/>
      <w:jc w:val="left"/>
    </w:pPr>
    <w:rPr>
      <w:caps/>
      <w:color w:val="465155"/>
      <w:sz w:val="36"/>
    </w:rPr>
  </w:style>
  <w:style w:type="paragraph" w:styleId="Cm">
    <w:name w:val="Title"/>
    <w:basedOn w:val="Norml"/>
    <w:next w:val="Norml"/>
    <w:link w:val="CmChar"/>
    <w:uiPriority w:val="10"/>
    <w:rsid w:val="00A81A4D"/>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A81A4D"/>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rsid w:val="00184A51"/>
    <w:pPr>
      <w:spacing w:after="0"/>
      <w:ind w:left="890"/>
      <w:jc w:val="left"/>
    </w:pPr>
    <w:rPr>
      <w:color w:val="4C5256"/>
      <w:sz w:val="30"/>
    </w:rPr>
  </w:style>
  <w:style w:type="paragraph" w:customStyle="1" w:styleId="Tartalomjegyzkcmsoranmhh">
    <w:name w:val="Tartalomjegyzék_címsora_nmhh"/>
    <w:basedOn w:val="Tartalomjegyzkcmsora"/>
    <w:link w:val="TartalomjegyzkcmsoranmhhChar"/>
    <w:qFormat/>
    <w:rsid w:val="00087A8F"/>
    <w:rPr>
      <w:sz w:val="36"/>
    </w:rPr>
  </w:style>
  <w:style w:type="character" w:customStyle="1" w:styleId="BortlapegybnmhhChar">
    <w:name w:val="Borítólap egyéb_nmhh Char"/>
    <w:basedOn w:val="Bekezdsalapbettpusa"/>
    <w:link w:val="Bortlapegybnmhh"/>
    <w:rsid w:val="00184A51"/>
    <w:rPr>
      <w:color w:val="4C5256"/>
      <w:sz w:val="30"/>
    </w:rPr>
  </w:style>
  <w:style w:type="paragraph" w:customStyle="1" w:styleId="Bekezdsnmhh">
    <w:name w:val="Bekezdés_nmhh"/>
    <w:basedOn w:val="Norml"/>
    <w:link w:val="BekezdsnmhhChar"/>
    <w:qFormat/>
    <w:rsid w:val="00DA31F6"/>
    <w:rPr>
      <w:sz w:val="20"/>
      <w:szCs w:val="20"/>
    </w:rPr>
  </w:style>
  <w:style w:type="character" w:customStyle="1" w:styleId="TartalomjegyzkcmsoraChar">
    <w:name w:val="Tartalomjegyzék címsora Char"/>
    <w:basedOn w:val="Cmsor1Char"/>
    <w:link w:val="Tartalomjegyzkcmsora"/>
    <w:uiPriority w:val="39"/>
    <w:rsid w:val="00087A8F"/>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sid w:val="00087A8F"/>
    <w:rPr>
      <w:rFonts w:asciiTheme="majorHAnsi" w:eastAsiaTheme="majorEastAsia" w:hAnsiTheme="majorHAnsi" w:cstheme="majorBidi"/>
      <w:b/>
      <w:bCs/>
      <w:color w:val="000000" w:themeColor="text2" w:themeShade="BF"/>
      <w:sz w:val="36"/>
      <w:szCs w:val="28"/>
    </w:rPr>
  </w:style>
  <w:style w:type="paragraph" w:customStyle="1" w:styleId="Behzottbekezdsnmhh">
    <w:name w:val="Behúzott_bekezdés_nmhh"/>
    <w:basedOn w:val="Norml"/>
    <w:link w:val="BehzottbekezdsnmhhChar"/>
    <w:qFormat/>
    <w:rsid w:val="00CB2F81"/>
    <w:pPr>
      <w:ind w:firstLine="357"/>
    </w:pPr>
    <w:rPr>
      <w:sz w:val="20"/>
      <w:szCs w:val="20"/>
    </w:rPr>
  </w:style>
  <w:style w:type="character" w:customStyle="1" w:styleId="BekezdsnmhhChar">
    <w:name w:val="Bekezdés_nmhh Char"/>
    <w:basedOn w:val="Bekezdsalapbettpusa"/>
    <w:link w:val="Bekezdsnmhh"/>
    <w:rsid w:val="00DA31F6"/>
    <w:rPr>
      <w:sz w:val="20"/>
      <w:szCs w:val="20"/>
    </w:rPr>
  </w:style>
  <w:style w:type="paragraph" w:customStyle="1" w:styleId="Felsorolsbekezdsnmhh">
    <w:name w:val="Felsorolás_bekezdés_nmhh"/>
    <w:basedOn w:val="Norml"/>
    <w:qFormat/>
    <w:rsid w:val="00CB2F81"/>
    <w:pPr>
      <w:ind w:left="709"/>
    </w:pPr>
    <w:rPr>
      <w:sz w:val="20"/>
      <w:szCs w:val="20"/>
    </w:rPr>
  </w:style>
  <w:style w:type="character" w:customStyle="1" w:styleId="BehzottbekezdsnmhhChar">
    <w:name w:val="Behúzott_bekezdés_nmhh Char"/>
    <w:basedOn w:val="Bekezdsalapbettpusa"/>
    <w:link w:val="Behzottbekezdsnmhh"/>
    <w:rsid w:val="00CB2F81"/>
    <w:rPr>
      <w:sz w:val="20"/>
      <w:szCs w:val="20"/>
    </w:rPr>
  </w:style>
  <w:style w:type="paragraph" w:customStyle="1" w:styleId="Felsorolsnmhh">
    <w:name w:val="Felsorolás_nmhh"/>
    <w:basedOn w:val="Listaszerbekezds"/>
    <w:link w:val="FelsorolsnmhhChar"/>
    <w:qFormat/>
    <w:rsid w:val="00CB2F81"/>
    <w:pPr>
      <w:numPr>
        <w:numId w:val="2"/>
      </w:numPr>
      <w:ind w:left="714" w:hanging="357"/>
    </w:pPr>
    <w:rPr>
      <w:b/>
      <w:sz w:val="20"/>
      <w:szCs w:val="20"/>
    </w:rPr>
  </w:style>
  <w:style w:type="paragraph" w:customStyle="1" w:styleId="Felsorols1nmhh">
    <w:name w:val="Felsorolás1_nmhh"/>
    <w:basedOn w:val="Listaszerbekezds"/>
    <w:link w:val="Felsorols1nmhhChar"/>
    <w:qFormat/>
    <w:rsid w:val="002B2A3F"/>
    <w:pPr>
      <w:numPr>
        <w:numId w:val="4"/>
      </w:numPr>
      <w:ind w:left="357" w:hanging="357"/>
      <w:contextualSpacing w:val="0"/>
    </w:pPr>
    <w:rPr>
      <w:b/>
      <w:sz w:val="20"/>
      <w:szCs w:val="20"/>
    </w:rPr>
  </w:style>
  <w:style w:type="character" w:customStyle="1" w:styleId="ListaszerbekezdsChar">
    <w:name w:val="Listaszerű bekezdés Char"/>
    <w:aliases w:val="List Bullet Char"/>
    <w:basedOn w:val="Bekezdsalapbettpusa"/>
    <w:link w:val="Listaszerbekezds"/>
    <w:uiPriority w:val="34"/>
    <w:rsid w:val="00CB2F81"/>
  </w:style>
  <w:style w:type="character" w:customStyle="1" w:styleId="FelsorolsnmhhChar">
    <w:name w:val="Felsorolás_nmhh Char"/>
    <w:basedOn w:val="ListaszerbekezdsChar"/>
    <w:link w:val="Felsorolsnmhh"/>
    <w:rsid w:val="00CB2F81"/>
    <w:rPr>
      <w:b/>
      <w:sz w:val="20"/>
      <w:szCs w:val="20"/>
    </w:rPr>
  </w:style>
  <w:style w:type="character" w:customStyle="1" w:styleId="Cmsor5Char">
    <w:name w:val="Címsor 5 Char"/>
    <w:basedOn w:val="Bekezdsalapbettpusa"/>
    <w:link w:val="Cmsor5"/>
    <w:rsid w:val="007D7C2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rsid w:val="00AD08F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9"/>
    <w:rsid w:val="00AD08F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rsid w:val="00AD08F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AD08F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link w:val="KpalrsChar"/>
    <w:uiPriority w:val="35"/>
    <w:unhideWhenUsed/>
    <w:qFormat/>
    <w:rsid w:val="00AD08FA"/>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rsid w:val="002B2A3F"/>
    <w:pPr>
      <w:numPr>
        <w:numId w:val="3"/>
      </w:numPr>
      <w:ind w:left="357" w:hanging="357"/>
    </w:pPr>
    <w:rPr>
      <w:b/>
      <w:sz w:val="20"/>
      <w:szCs w:val="20"/>
    </w:rPr>
  </w:style>
  <w:style w:type="character" w:customStyle="1" w:styleId="Felsorols1nmhhChar">
    <w:name w:val="Felsorolás1_nmhh Char"/>
    <w:basedOn w:val="ListaszerbekezdsChar"/>
    <w:link w:val="Felsorols1nmhh"/>
    <w:rsid w:val="002B2A3F"/>
    <w:rPr>
      <w:b/>
      <w:sz w:val="20"/>
      <w:szCs w:val="20"/>
    </w:rPr>
  </w:style>
  <w:style w:type="paragraph" w:customStyle="1" w:styleId="Lista1nmhh">
    <w:name w:val="Lista1_nmhh"/>
    <w:basedOn w:val="Listaszerbekezds"/>
    <w:link w:val="Lista1nmhhChar"/>
    <w:qFormat/>
    <w:rsid w:val="002B2A3F"/>
    <w:pPr>
      <w:spacing w:after="0"/>
      <w:ind w:left="0"/>
    </w:pPr>
    <w:rPr>
      <w:sz w:val="20"/>
      <w:szCs w:val="20"/>
    </w:rPr>
  </w:style>
  <w:style w:type="character" w:customStyle="1" w:styleId="Felsorols2nmhhChar">
    <w:name w:val="Felsorolás2_nmhh Char"/>
    <w:basedOn w:val="ListaszerbekezdsChar"/>
    <w:link w:val="Felsorols2nmhh"/>
    <w:rsid w:val="002B2A3F"/>
    <w:rPr>
      <w:b/>
      <w:sz w:val="20"/>
      <w:szCs w:val="20"/>
    </w:rPr>
  </w:style>
  <w:style w:type="paragraph" w:customStyle="1" w:styleId="Lista2nmhh">
    <w:name w:val="Lista2_nmhh"/>
    <w:basedOn w:val="Listaszerbekezds"/>
    <w:link w:val="Lista2nmhhChar"/>
    <w:qFormat/>
    <w:rsid w:val="002B2A3F"/>
    <w:pPr>
      <w:numPr>
        <w:numId w:val="6"/>
      </w:numPr>
      <w:spacing w:after="0"/>
    </w:pPr>
    <w:rPr>
      <w:sz w:val="20"/>
      <w:szCs w:val="20"/>
    </w:rPr>
  </w:style>
  <w:style w:type="character" w:customStyle="1" w:styleId="Lista1nmhhChar">
    <w:name w:val="Lista1_nmhh Char"/>
    <w:basedOn w:val="ListaszerbekezdsChar"/>
    <w:link w:val="Lista1nmhh"/>
    <w:rsid w:val="002B2A3F"/>
    <w:rPr>
      <w:sz w:val="20"/>
      <w:szCs w:val="20"/>
    </w:rPr>
  </w:style>
  <w:style w:type="paragraph" w:customStyle="1" w:styleId="Cmsorszmozatlannmhh">
    <w:name w:val="Címsor_számozatlan_nmhh"/>
    <w:basedOn w:val="Norml"/>
    <w:next w:val="Behzottbekezdsnmhh"/>
    <w:link w:val="CmsorszmozatlannmhhChar"/>
    <w:qFormat/>
    <w:rsid w:val="002B2A3F"/>
    <w:pPr>
      <w:pageBreakBefore/>
      <w:tabs>
        <w:tab w:val="left" w:pos="6564"/>
      </w:tabs>
      <w:spacing w:after="240"/>
      <w:jc w:val="left"/>
    </w:pPr>
    <w:rPr>
      <w:rFonts w:asciiTheme="majorHAnsi" w:hAnsiTheme="majorHAnsi" w:cstheme="majorHAnsi"/>
      <w:b/>
      <w:sz w:val="36"/>
      <w:szCs w:val="36"/>
    </w:rPr>
  </w:style>
  <w:style w:type="character" w:customStyle="1" w:styleId="Lista2nmhhChar">
    <w:name w:val="Lista2_nmhh Char"/>
    <w:basedOn w:val="ListaszerbekezdsChar"/>
    <w:link w:val="Lista2nmhh"/>
    <w:rsid w:val="002B2A3F"/>
    <w:rPr>
      <w:sz w:val="20"/>
      <w:szCs w:val="20"/>
    </w:rPr>
  </w:style>
  <w:style w:type="paragraph" w:customStyle="1" w:styleId="Cmsor1szmozottnmhh">
    <w:name w:val="Címsor1_számozott_nmhh"/>
    <w:basedOn w:val="Listaszerbekezds"/>
    <w:next w:val="Behzottbekezdsnmhh"/>
    <w:link w:val="Cmsor1szmozottnmhhChar"/>
    <w:qFormat/>
    <w:rsid w:val="002B2A3F"/>
    <w:pPr>
      <w:pageBreakBefore/>
      <w:numPr>
        <w:numId w:val="5"/>
      </w:numPr>
      <w:spacing w:after="240"/>
      <w:contextualSpacing w:val="0"/>
      <w:jc w:val="left"/>
      <w:outlineLvl w:val="0"/>
    </w:pPr>
    <w:rPr>
      <w:rFonts w:asciiTheme="majorHAnsi" w:hAnsiTheme="majorHAnsi" w:cstheme="majorHAnsi"/>
      <w:b/>
      <w:sz w:val="36"/>
      <w:szCs w:val="36"/>
    </w:rPr>
  </w:style>
  <w:style w:type="character" w:customStyle="1" w:styleId="CmsorszmozatlannmhhChar">
    <w:name w:val="Címsor_számozatlan_nmhh Char"/>
    <w:basedOn w:val="Bekezdsalapbettpusa"/>
    <w:link w:val="Cmsorszmozatlannmhh"/>
    <w:rsid w:val="002B2A3F"/>
    <w:rPr>
      <w:rFonts w:asciiTheme="majorHAnsi" w:hAnsiTheme="majorHAnsi" w:cstheme="majorHAnsi"/>
      <w:b/>
      <w:sz w:val="36"/>
      <w:szCs w:val="36"/>
    </w:rPr>
  </w:style>
  <w:style w:type="paragraph" w:customStyle="1" w:styleId="Cmsor2szmozottnmhh">
    <w:name w:val="Címsor2_számozott_nmhh"/>
    <w:basedOn w:val="Listaszerbekezds"/>
    <w:next w:val="Behzottbekezdsnmhh"/>
    <w:link w:val="Cmsor2szmozottnmhhChar"/>
    <w:qFormat/>
    <w:rsid w:val="002B2A3F"/>
    <w:pPr>
      <w:numPr>
        <w:ilvl w:val="1"/>
        <w:numId w:val="5"/>
      </w:numPr>
      <w:spacing w:after="240"/>
      <w:ind w:left="576"/>
      <w:contextualSpacing w:val="0"/>
      <w:jc w:val="left"/>
      <w:outlineLvl w:val="1"/>
    </w:pPr>
    <w:rPr>
      <w:rFonts w:asciiTheme="majorHAnsi" w:hAnsiTheme="majorHAnsi" w:cstheme="majorHAnsi"/>
      <w:b/>
      <w:sz w:val="32"/>
      <w:szCs w:val="32"/>
    </w:rPr>
  </w:style>
  <w:style w:type="character" w:customStyle="1" w:styleId="Cmsor1szmozottnmhhChar">
    <w:name w:val="Címsor1_számozott_nmhh Char"/>
    <w:basedOn w:val="ListaszerbekezdsChar"/>
    <w:link w:val="Cmsor1szmozottnmhh"/>
    <w:rsid w:val="002B2A3F"/>
    <w:rPr>
      <w:rFonts w:asciiTheme="majorHAnsi" w:hAnsiTheme="majorHAnsi" w:cstheme="majorHAnsi"/>
      <w:b/>
      <w:sz w:val="36"/>
      <w:szCs w:val="36"/>
    </w:rPr>
  </w:style>
  <w:style w:type="paragraph" w:customStyle="1" w:styleId="Cmsor3szmozottnmhh">
    <w:name w:val="Címsor3_számozott_nmhh"/>
    <w:basedOn w:val="Listaszerbekezds"/>
    <w:next w:val="Behzottbekezdsnmhh"/>
    <w:link w:val="Cmsor3szmozottnmhhChar"/>
    <w:qFormat/>
    <w:rsid w:val="002B2A3F"/>
    <w:pPr>
      <w:numPr>
        <w:ilvl w:val="2"/>
        <w:numId w:val="5"/>
      </w:numPr>
      <w:spacing w:after="240"/>
      <w:contextualSpacing w:val="0"/>
      <w:jc w:val="left"/>
      <w:outlineLvl w:val="2"/>
    </w:pPr>
    <w:rPr>
      <w:rFonts w:asciiTheme="majorHAnsi" w:hAnsiTheme="majorHAnsi" w:cstheme="majorHAnsi"/>
      <w:b/>
      <w:sz w:val="28"/>
      <w:szCs w:val="28"/>
    </w:rPr>
  </w:style>
  <w:style w:type="character" w:customStyle="1" w:styleId="Cmsor2szmozottnmhhChar">
    <w:name w:val="Címsor2_számozott_nmhh Char"/>
    <w:basedOn w:val="ListaszerbekezdsChar"/>
    <w:link w:val="Cmsor2szmozottnmhh"/>
    <w:rsid w:val="002B2A3F"/>
    <w:rPr>
      <w:rFonts w:asciiTheme="majorHAnsi" w:hAnsiTheme="majorHAnsi" w:cstheme="majorHAnsi"/>
      <w:b/>
      <w:sz w:val="32"/>
      <w:szCs w:val="32"/>
    </w:rPr>
  </w:style>
  <w:style w:type="paragraph" w:customStyle="1" w:styleId="Cmsor4szmozottnmhh">
    <w:name w:val="Címsor4_számozott_nmhh"/>
    <w:basedOn w:val="Listaszerbekezds"/>
    <w:next w:val="Behzottbekezdsnmhh"/>
    <w:link w:val="Cmsor4szmozottnmhhChar"/>
    <w:qFormat/>
    <w:rsid w:val="002B2A3F"/>
    <w:pPr>
      <w:numPr>
        <w:ilvl w:val="3"/>
        <w:numId w:val="5"/>
      </w:numPr>
      <w:spacing w:after="240"/>
      <w:contextualSpacing w:val="0"/>
      <w:jc w:val="left"/>
      <w:outlineLvl w:val="3"/>
    </w:pPr>
    <w:rPr>
      <w:rFonts w:asciiTheme="majorHAnsi" w:hAnsiTheme="majorHAnsi" w:cstheme="majorHAnsi"/>
      <w:b/>
      <w:sz w:val="24"/>
      <w:szCs w:val="24"/>
    </w:rPr>
  </w:style>
  <w:style w:type="character" w:customStyle="1" w:styleId="Cmsor3szmozottnmhhChar">
    <w:name w:val="Címsor3_számozott_nmhh Char"/>
    <w:basedOn w:val="ListaszerbekezdsChar"/>
    <w:link w:val="Cmsor3szmozottnmhh"/>
    <w:rsid w:val="002B2A3F"/>
    <w:rPr>
      <w:rFonts w:asciiTheme="majorHAnsi" w:hAnsiTheme="majorHAnsi" w:cstheme="majorHAnsi"/>
      <w:b/>
      <w:sz w:val="28"/>
      <w:szCs w:val="28"/>
    </w:rPr>
  </w:style>
  <w:style w:type="paragraph" w:customStyle="1" w:styleId="Irodalomjegyzkfelsorolsnmhh">
    <w:name w:val="Irodalomjegyzék_felsorolás_nmhh"/>
    <w:basedOn w:val="Bekezdsnmhh"/>
    <w:link w:val="IrodalomjegyzkfelsorolsnmhhChar"/>
    <w:qFormat/>
    <w:rsid w:val="0018360B"/>
    <w:pPr>
      <w:numPr>
        <w:numId w:val="7"/>
      </w:numPr>
      <w:jc w:val="left"/>
    </w:pPr>
  </w:style>
  <w:style w:type="character" w:customStyle="1" w:styleId="Cmsor4szmozottnmhhChar">
    <w:name w:val="Címsor4_számozott_nmhh Char"/>
    <w:basedOn w:val="ListaszerbekezdsChar"/>
    <w:link w:val="Cmsor4szmozottnmhh"/>
    <w:rsid w:val="002B2A3F"/>
    <w:rPr>
      <w:rFonts w:asciiTheme="majorHAnsi" w:hAnsiTheme="majorHAnsi" w:cstheme="majorHAnsi"/>
      <w:b/>
      <w:sz w:val="24"/>
      <w:szCs w:val="24"/>
    </w:rPr>
  </w:style>
  <w:style w:type="paragraph" w:styleId="TJ1">
    <w:name w:val="toc 1"/>
    <w:basedOn w:val="Norml"/>
    <w:next w:val="Norml"/>
    <w:autoRedefine/>
    <w:uiPriority w:val="39"/>
    <w:unhideWhenUsed/>
    <w:rsid w:val="0018360B"/>
    <w:pPr>
      <w:spacing w:after="100"/>
    </w:pPr>
  </w:style>
  <w:style w:type="character" w:customStyle="1" w:styleId="IrodalomjegyzkfelsorolsnmhhChar">
    <w:name w:val="Irodalomjegyzék_felsorolás_nmhh Char"/>
    <w:basedOn w:val="BekezdsnmhhChar"/>
    <w:link w:val="Irodalomjegyzkfelsorolsnmhh"/>
    <w:rsid w:val="0018360B"/>
    <w:rPr>
      <w:sz w:val="20"/>
      <w:szCs w:val="20"/>
    </w:rPr>
  </w:style>
  <w:style w:type="character" w:customStyle="1" w:styleId="Cmsor2Char">
    <w:name w:val="Címsor 2 Char"/>
    <w:basedOn w:val="Bekezdsalapbettpusa"/>
    <w:link w:val="Cmsor2"/>
    <w:uiPriority w:val="9"/>
    <w:semiHidden/>
    <w:rsid w:val="00AD08FA"/>
    <w:rPr>
      <w:rFonts w:asciiTheme="majorHAnsi" w:eastAsiaTheme="majorEastAsia" w:hAnsiTheme="majorHAnsi" w:cstheme="majorBidi"/>
      <w:b/>
      <w:bCs/>
      <w:color w:val="666666" w:themeColor="text2" w:themeTint="99"/>
      <w:sz w:val="28"/>
      <w:szCs w:val="26"/>
    </w:rPr>
  </w:style>
  <w:style w:type="character" w:customStyle="1" w:styleId="Cmsor3Char">
    <w:name w:val="Címsor 3 Char"/>
    <w:basedOn w:val="Bekezdsalapbettpusa"/>
    <w:link w:val="Cmsor3"/>
    <w:uiPriority w:val="9"/>
    <w:semiHidden/>
    <w:rsid w:val="00AD08FA"/>
    <w:rPr>
      <w:rFonts w:asciiTheme="majorHAnsi" w:eastAsiaTheme="majorEastAsia" w:hAnsiTheme="majorHAnsi" w:cstheme="majorBidi"/>
      <w:b/>
      <w:bCs/>
      <w:color w:val="999999" w:themeColor="text2" w:themeTint="66"/>
      <w:sz w:val="24"/>
    </w:rPr>
  </w:style>
  <w:style w:type="character" w:customStyle="1" w:styleId="Cmsor4Char">
    <w:name w:val="Címsor 4 Char"/>
    <w:basedOn w:val="Bekezdsalapbettpusa"/>
    <w:link w:val="Cmsor4"/>
    <w:uiPriority w:val="9"/>
    <w:semiHidden/>
    <w:rsid w:val="00AD08FA"/>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rsid w:val="0018360B"/>
    <w:pPr>
      <w:spacing w:after="100"/>
      <w:ind w:left="220"/>
    </w:pPr>
  </w:style>
  <w:style w:type="paragraph" w:styleId="TJ3">
    <w:name w:val="toc 3"/>
    <w:basedOn w:val="Norml"/>
    <w:next w:val="Norml"/>
    <w:autoRedefine/>
    <w:uiPriority w:val="39"/>
    <w:unhideWhenUsed/>
    <w:rsid w:val="0018360B"/>
    <w:pPr>
      <w:spacing w:after="100"/>
      <w:ind w:left="440"/>
    </w:pPr>
  </w:style>
  <w:style w:type="paragraph" w:customStyle="1" w:styleId="BasicParagraph">
    <w:name w:val="[Basic Paragraph]"/>
    <w:basedOn w:val="Norml"/>
    <w:uiPriority w:val="99"/>
    <w:rsid w:val="00AD08FA"/>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rsid w:val="006F446C"/>
    <w:pPr>
      <w:spacing w:after="240" w:line="720" w:lineRule="exact"/>
      <w:jc w:val="left"/>
    </w:pPr>
    <w:rPr>
      <w:rFonts w:ascii="Arial" w:hAnsi="Arial" w:cstheme="minorBidi"/>
      <w:b/>
      <w:color w:val="911E6C"/>
      <w:sz w:val="60"/>
      <w:szCs w:val="60"/>
    </w:rPr>
  </w:style>
  <w:style w:type="paragraph" w:customStyle="1" w:styleId="Style3">
    <w:name w:val="Style3"/>
    <w:basedOn w:val="Norml"/>
    <w:rsid w:val="00AD08FA"/>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rsid w:val="00A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D08FA"/>
    <w:rPr>
      <w:color w:val="808080"/>
    </w:rPr>
  </w:style>
  <w:style w:type="character" w:styleId="Hiperhivatkozs">
    <w:name w:val="Hyperlink"/>
    <w:basedOn w:val="Bekezdsalapbettpusa"/>
    <w:uiPriority w:val="99"/>
    <w:unhideWhenUsed/>
    <w:rsid w:val="00AD08FA"/>
    <w:rPr>
      <w:color w:val="0000FF" w:themeColor="hyperlink"/>
      <w:u w:val="single"/>
    </w:rPr>
  </w:style>
  <w:style w:type="paragraph" w:styleId="Buborkszveg">
    <w:name w:val="Balloon Text"/>
    <w:basedOn w:val="Norml"/>
    <w:link w:val="BuborkszvegChar"/>
    <w:uiPriority w:val="99"/>
    <w:semiHidden/>
    <w:unhideWhenUsed/>
    <w:rsid w:val="00AD08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08FA"/>
    <w:rPr>
      <w:rFonts w:ascii="Tahoma" w:hAnsi="Tahoma" w:cs="Tahoma"/>
      <w:sz w:val="16"/>
      <w:szCs w:val="16"/>
    </w:rPr>
  </w:style>
  <w:style w:type="paragraph" w:customStyle="1" w:styleId="fnot1">
    <w:name w:val="fnot1"/>
    <w:basedOn w:val="Norml"/>
    <w:rsid w:val="0020657B"/>
    <w:pPr>
      <w:spacing w:after="0" w:line="180" w:lineRule="atLeast"/>
      <w:jc w:val="left"/>
    </w:pPr>
    <w:rPr>
      <w:rFonts w:ascii="Arial" w:eastAsia="Times New Roman" w:hAnsi="Arial" w:cs="Times New Roman"/>
      <w:sz w:val="14"/>
      <w:szCs w:val="20"/>
    </w:rPr>
  </w:style>
  <w:style w:type="paragraph" w:customStyle="1" w:styleId="fnot3">
    <w:name w:val="fnot3"/>
    <w:basedOn w:val="fnot1"/>
    <w:rsid w:val="0020657B"/>
    <w:pPr>
      <w:ind w:left="2007"/>
    </w:pPr>
  </w:style>
  <w:style w:type="character" w:customStyle="1" w:styleId="fr">
    <w:name w:val="fr"/>
    <w:basedOn w:val="Bekezdsalapbettpusa"/>
    <w:rsid w:val="0020657B"/>
    <w:rPr>
      <w:b/>
    </w:rPr>
  </w:style>
  <w:style w:type="paragraph" w:customStyle="1" w:styleId="fr1or2">
    <w:name w:val="fr1or2"/>
    <w:basedOn w:val="serv1"/>
    <w:rsid w:val="0020657B"/>
    <w:rPr>
      <w:b/>
    </w:rPr>
  </w:style>
  <w:style w:type="paragraph" w:customStyle="1" w:styleId="frserv3">
    <w:name w:val="frserv3"/>
    <w:basedOn w:val="fnot1"/>
    <w:rsid w:val="0020657B"/>
    <w:pPr>
      <w:tabs>
        <w:tab w:val="left" w:pos="2007"/>
      </w:tabs>
      <w:ind w:left="2121" w:hanging="2121"/>
    </w:pPr>
  </w:style>
  <w:style w:type="paragraph" w:customStyle="1" w:styleId="serv1">
    <w:name w:val="serv1"/>
    <w:basedOn w:val="fnot1"/>
    <w:rsid w:val="0020657B"/>
    <w:pPr>
      <w:ind w:left="113" w:hanging="113"/>
    </w:pPr>
  </w:style>
  <w:style w:type="paragraph" w:customStyle="1" w:styleId="serv2">
    <w:name w:val="serv2"/>
    <w:basedOn w:val="Norml"/>
    <w:rsid w:val="0020657B"/>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20657B"/>
    <w:pPr>
      <w:ind w:left="2120" w:hanging="113"/>
    </w:pPr>
  </w:style>
  <w:style w:type="paragraph" w:customStyle="1" w:styleId="frthead">
    <w:name w:val="frthead"/>
    <w:basedOn w:val="fnot1"/>
    <w:rsid w:val="0020657B"/>
    <w:pPr>
      <w:jc w:val="center"/>
    </w:pPr>
  </w:style>
  <w:style w:type="character" w:customStyle="1" w:styleId="Artdef">
    <w:name w:val="Art_def"/>
    <w:basedOn w:val="Bekezdsalapbettpusa"/>
    <w:rsid w:val="0020657B"/>
    <w:rPr>
      <w:b/>
      <w:color w:val="FFCC00"/>
    </w:rPr>
  </w:style>
  <w:style w:type="paragraph" w:styleId="Lbjegyzetszveg">
    <w:name w:val="footnote text"/>
    <w:aliases w:val=" Char,Char,DNV-FT Char,DNV-FT,DNV-FT Char Char Char,Char1,Footnote Text Char Char1,Footnote Text Char4 Char Char,Footnote Text Char1 Char1 Char1 Char,Footnote Text Char Char1 Char1 Char Char,ABA Footnote Text,DNV-,ALTS FOOTNOTE Char"/>
    <w:basedOn w:val="Norml"/>
    <w:link w:val="LbjegyzetszvegChar"/>
    <w:uiPriority w:val="99"/>
    <w:unhideWhenUsed/>
    <w:qFormat/>
    <w:rsid w:val="00B92822"/>
    <w:pPr>
      <w:spacing w:after="0" w:line="240" w:lineRule="auto"/>
      <w:jc w:val="left"/>
    </w:pPr>
    <w:rPr>
      <w:rFonts w:cstheme="minorBidi"/>
      <w:sz w:val="20"/>
      <w:szCs w:val="20"/>
    </w:rPr>
  </w:style>
  <w:style w:type="character" w:customStyle="1" w:styleId="LbjegyzetszvegChar">
    <w:name w:val="Lábjegyzetszöveg Char"/>
    <w:aliases w:val=" Char Char,Char Char,DNV-FT Char Char,DNV-FT Char1,DNV-FT Char Char Char Char,Char1 Char,Footnote Text Char Char1 Char,Footnote Text Char4 Char Char Char,Footnote Text Char1 Char1 Char1 Char Char,ABA Footnote Text Char,DNV- Char"/>
    <w:basedOn w:val="Bekezdsalapbettpusa"/>
    <w:link w:val="Lbjegyzetszveg"/>
    <w:uiPriority w:val="99"/>
    <w:rsid w:val="00B92822"/>
    <w:rPr>
      <w:rFonts w:cstheme="minorBidi"/>
      <w:sz w:val="20"/>
      <w:szCs w:val="20"/>
    </w:rPr>
  </w:style>
  <w:style w:type="character" w:styleId="Lbjegyzet-hivatkozs">
    <w:name w:val="footnote reference"/>
    <w:aliases w:val="Footnote symbol,Footnote,Nota,Footnote Reference/,Appel note de bas de p,Style 12,(NECG) Footnote Reference,Style 124,o,Style 13,FR,Style 17,Style 3,Appel note de bas de p + 11 pt,Italic,Appel note de bas de p1,Times 10 Point"/>
    <w:basedOn w:val="Bekezdsalapbettpusa"/>
    <w:uiPriority w:val="99"/>
    <w:unhideWhenUsed/>
    <w:rsid w:val="00B92822"/>
    <w:rPr>
      <w:vertAlign w:val="superscript"/>
    </w:rPr>
  </w:style>
  <w:style w:type="character" w:customStyle="1" w:styleId="KpalrsChar">
    <w:name w:val="Képaláírás Char"/>
    <w:basedOn w:val="Bekezdsalapbettpusa"/>
    <w:link w:val="Kpalrs"/>
    <w:uiPriority w:val="35"/>
    <w:rsid w:val="006963E1"/>
    <w:rPr>
      <w:b/>
      <w:bCs/>
      <w:color w:val="4F81BD" w:themeColor="accent1"/>
      <w:sz w:val="18"/>
      <w:szCs w:val="18"/>
    </w:rPr>
  </w:style>
  <w:style w:type="paragraph" w:customStyle="1" w:styleId="Default">
    <w:name w:val="Default"/>
    <w:rsid w:val="00590CCD"/>
    <w:pPr>
      <w:autoSpaceDE w:val="0"/>
      <w:autoSpaceDN w:val="0"/>
      <w:adjustRightInd w:val="0"/>
      <w:spacing w:after="0" w:line="240" w:lineRule="auto"/>
    </w:pPr>
    <w:rPr>
      <w:rFonts w:ascii="EUAlbertina" w:hAnsi="EUAlbertina" w:cs="EUAlbertina"/>
      <w:color w:val="000000"/>
      <w:sz w:val="24"/>
      <w:szCs w:val="24"/>
    </w:rPr>
  </w:style>
  <w:style w:type="paragraph" w:styleId="NormlWeb">
    <w:name w:val="Normal (Web)"/>
    <w:basedOn w:val="Norml"/>
    <w:uiPriority w:val="99"/>
    <w:unhideWhenUsed/>
    <w:rsid w:val="00590CCD"/>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BA4836"/>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BA4836"/>
    <w:rPr>
      <w:rFonts w:ascii="Arial" w:eastAsia="Times New Roman" w:hAnsi="Arial" w:cs="Times New Roman"/>
      <w:sz w:val="24"/>
      <w:szCs w:val="20"/>
    </w:rPr>
  </w:style>
  <w:style w:type="paragraph" w:styleId="Szvegtrzs3">
    <w:name w:val="Body Text 3"/>
    <w:basedOn w:val="Norml"/>
    <w:link w:val="Szvegtrzs3Char"/>
    <w:unhideWhenUsed/>
    <w:rsid w:val="00660B07"/>
    <w:rPr>
      <w:sz w:val="16"/>
      <w:szCs w:val="16"/>
    </w:rPr>
  </w:style>
  <w:style w:type="character" w:customStyle="1" w:styleId="Szvegtrzs3Char">
    <w:name w:val="Szövegtörzs 3 Char"/>
    <w:basedOn w:val="Bekezdsalapbettpusa"/>
    <w:link w:val="Szvegtrzs3"/>
    <w:rsid w:val="00660B07"/>
    <w:rPr>
      <w:sz w:val="16"/>
      <w:szCs w:val="16"/>
    </w:rPr>
  </w:style>
  <w:style w:type="paragraph" w:customStyle="1" w:styleId="Szoveg">
    <w:name w:val="Szoveg"/>
    <w:basedOn w:val="Norml"/>
    <w:qFormat/>
    <w:rsid w:val="00F33341"/>
    <w:pPr>
      <w:spacing w:before="60" w:after="60"/>
    </w:pPr>
    <w:rPr>
      <w:rFonts w:ascii="Times New Roman" w:eastAsia="Times New Roman" w:hAnsi="Times New Roman" w:cs="Times New Roman"/>
      <w:noProof/>
      <w:sz w:val="24"/>
      <w:szCs w:val="20"/>
    </w:rPr>
  </w:style>
  <w:style w:type="character" w:styleId="Mrltotthiperhivatkozs">
    <w:name w:val="FollowedHyperlink"/>
    <w:basedOn w:val="Bekezdsalapbettpusa"/>
    <w:uiPriority w:val="99"/>
    <w:semiHidden/>
    <w:unhideWhenUsed/>
    <w:rsid w:val="00382326"/>
    <w:rPr>
      <w:color w:val="800080" w:themeColor="followedHyperlink"/>
      <w:u w:val="single"/>
    </w:rPr>
  </w:style>
  <w:style w:type="paragraph" w:styleId="z-Akrdvteteje">
    <w:name w:val="HTML Top of Form"/>
    <w:basedOn w:val="Norml"/>
    <w:next w:val="Norml"/>
    <w:link w:val="z-AkrdvtetejeChar"/>
    <w:hidden/>
    <w:uiPriority w:val="99"/>
    <w:semiHidden/>
    <w:unhideWhenUsed/>
    <w:rsid w:val="005971DE"/>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5971DE"/>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5971DE"/>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5971DE"/>
    <w:rPr>
      <w:rFonts w:ascii="Arial" w:eastAsia="Times New Roman" w:hAnsi="Arial" w:cs="Arial"/>
      <w:vanish/>
      <w:sz w:val="16"/>
      <w:szCs w:val="16"/>
      <w:lang w:eastAsia="hu-HU"/>
    </w:rPr>
  </w:style>
  <w:style w:type="character" w:customStyle="1" w:styleId="twitter-typeahead3">
    <w:name w:val="twitter-typeahead3"/>
    <w:basedOn w:val="Bekezdsalapbettpusa"/>
    <w:rsid w:val="005971DE"/>
  </w:style>
  <w:style w:type="character" w:customStyle="1" w:styleId="mw-cite-backlink">
    <w:name w:val="mw-cite-backlink"/>
    <w:basedOn w:val="Bekezdsalapbettpusa"/>
    <w:rsid w:val="00615CDA"/>
  </w:style>
  <w:style w:type="character" w:customStyle="1" w:styleId="cite-accessibility-label1">
    <w:name w:val="cite-accessibility-label1"/>
    <w:basedOn w:val="Bekezdsalapbettpusa"/>
    <w:rsid w:val="00615CDA"/>
    <w:rPr>
      <w:bdr w:val="none" w:sz="0" w:space="0" w:color="auto" w:frame="1"/>
    </w:rPr>
  </w:style>
  <w:style w:type="character" w:customStyle="1" w:styleId="reference-text">
    <w:name w:val="reference-text"/>
    <w:basedOn w:val="Bekezdsalapbettpusa"/>
    <w:rsid w:val="00615CDA"/>
  </w:style>
  <w:style w:type="character" w:styleId="Kiemels">
    <w:name w:val="Emphasis"/>
    <w:basedOn w:val="Bekezdsalapbettpusa"/>
    <w:uiPriority w:val="20"/>
    <w:qFormat/>
    <w:rsid w:val="00A42EE6"/>
    <w:rPr>
      <w:i/>
      <w:iCs/>
    </w:rPr>
  </w:style>
  <w:style w:type="table" w:styleId="Vilgoslista4jellszn">
    <w:name w:val="Light List Accent 4"/>
    <w:basedOn w:val="Normltblzat"/>
    <w:uiPriority w:val="61"/>
    <w:rsid w:val="00662AA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ilgoslista5jellszn">
    <w:name w:val="Light List Accent 5"/>
    <w:basedOn w:val="Normltblzat"/>
    <w:uiPriority w:val="61"/>
    <w:rsid w:val="00662AAD"/>
    <w:pPr>
      <w:spacing w:after="0" w:line="240" w:lineRule="auto"/>
    </w:pPr>
    <w:rPr>
      <w:rFonts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Headingi">
    <w:name w:val="Heading_i"/>
    <w:basedOn w:val="Cmsor3"/>
    <w:next w:val="Norml"/>
    <w:qFormat/>
    <w:rsid w:val="004E0EF4"/>
    <w:pPr>
      <w:numPr>
        <w:ilvl w:val="0"/>
        <w:numId w:val="0"/>
      </w:numPr>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val="0"/>
      <w:bCs w:val="0"/>
      <w:i/>
      <w:color w:val="auto"/>
      <w:szCs w:val="20"/>
      <w:lang w:val="fr-FR"/>
    </w:rPr>
  </w:style>
  <w:style w:type="paragraph" w:customStyle="1" w:styleId="Normalaftertitle">
    <w:name w:val="Normal_after_title"/>
    <w:basedOn w:val="Norml"/>
    <w:next w:val="Norml"/>
    <w:rsid w:val="004E0EF4"/>
    <w:pPr>
      <w:tabs>
        <w:tab w:val="left" w:pos="794"/>
        <w:tab w:val="left" w:pos="1191"/>
        <w:tab w:val="left" w:pos="1588"/>
        <w:tab w:val="left" w:pos="1985"/>
      </w:tabs>
      <w:overflowPunct w:val="0"/>
      <w:autoSpaceDE w:val="0"/>
      <w:autoSpaceDN w:val="0"/>
      <w:adjustRightInd w:val="0"/>
      <w:spacing w:before="32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l"/>
    <w:rsid w:val="004E0EF4"/>
    <w:pPr>
      <w:overflowPunct w:val="0"/>
      <w:autoSpaceDE w:val="0"/>
      <w:autoSpaceDN w:val="0"/>
      <w:adjustRightInd w:val="0"/>
      <w:spacing w:before="80" w:after="0" w:line="240" w:lineRule="auto"/>
      <w:textAlignment w:val="baseline"/>
    </w:pPr>
    <w:rPr>
      <w:rFonts w:ascii="Times New Roman" w:eastAsia="Times New Roman" w:hAnsi="Times New Roman" w:cs="Times New Roman"/>
      <w:szCs w:val="20"/>
      <w:lang w:val="fr-FR"/>
    </w:rPr>
  </w:style>
  <w:style w:type="paragraph" w:customStyle="1" w:styleId="Tablefin">
    <w:name w:val="Table_fin"/>
    <w:basedOn w:val="Norml"/>
    <w:next w:val="Norml"/>
    <w:rsid w:val="004E0EF4"/>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Tablehead">
    <w:name w:val="Table_head"/>
    <w:basedOn w:val="Norml"/>
    <w:next w:val="Norml"/>
    <w:link w:val="TableheadChar"/>
    <w:rsid w:val="004E0EF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Cs w:val="20"/>
      <w:lang w:val="fr-FR"/>
    </w:rPr>
  </w:style>
  <w:style w:type="paragraph" w:customStyle="1" w:styleId="TableNo">
    <w:name w:val="Table_No"/>
    <w:basedOn w:val="Norml"/>
    <w:next w:val="Norml"/>
    <w:rsid w:val="004E0EF4"/>
    <w:pPr>
      <w:keepNext/>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rFonts w:ascii="Times New Roman" w:eastAsia="Times New Roman" w:hAnsi="Times New Roman" w:cs="Times New Roman"/>
      <w:sz w:val="24"/>
      <w:szCs w:val="20"/>
      <w:lang w:val="fr-FR"/>
    </w:rPr>
  </w:style>
  <w:style w:type="paragraph" w:customStyle="1" w:styleId="Tabletext">
    <w:name w:val="Table_text"/>
    <w:basedOn w:val="Norml"/>
    <w:link w:val="TabletextChar"/>
    <w:rsid w:val="004E0E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fr-FR"/>
    </w:rPr>
  </w:style>
  <w:style w:type="paragraph" w:customStyle="1" w:styleId="Tabletitle">
    <w:name w:val="Table_title"/>
    <w:basedOn w:val="Norml"/>
    <w:next w:val="Tablehead"/>
    <w:rsid w:val="004E0EF4"/>
    <w:pPr>
      <w:keepNext/>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eastAsia="Times New Roman" w:hAnsi="Times New Roman" w:cs="Times New Roman"/>
      <w:b/>
      <w:sz w:val="24"/>
      <w:szCs w:val="20"/>
      <w:lang w:val="fr-FR"/>
    </w:rPr>
  </w:style>
  <w:style w:type="character" w:customStyle="1" w:styleId="TableheadChar">
    <w:name w:val="Table_head Char"/>
    <w:basedOn w:val="Bekezdsalapbettpusa"/>
    <w:link w:val="Tablehead"/>
    <w:locked/>
    <w:rsid w:val="004E0EF4"/>
    <w:rPr>
      <w:rFonts w:ascii="Times New Roman" w:eastAsia="Times New Roman" w:hAnsi="Times New Roman" w:cs="Times New Roman"/>
      <w:b/>
      <w:szCs w:val="20"/>
      <w:lang w:val="fr-FR"/>
    </w:rPr>
  </w:style>
  <w:style w:type="character" w:customStyle="1" w:styleId="TabletextChar">
    <w:name w:val="Table_text Char"/>
    <w:basedOn w:val="Bekezdsalapbettpusa"/>
    <w:link w:val="Tabletext"/>
    <w:locked/>
    <w:rsid w:val="004E0EF4"/>
    <w:rPr>
      <w:rFonts w:ascii="Times New Roman" w:eastAsia="Times New Roman" w:hAnsi="Times New Roman" w:cs="Times New Roman"/>
      <w:szCs w:val="20"/>
      <w:lang w:val="fr-FR"/>
    </w:rPr>
  </w:style>
  <w:style w:type="paragraph" w:customStyle="1" w:styleId="Figure">
    <w:name w:val="Figure"/>
    <w:basedOn w:val="Norml"/>
    <w:next w:val="Norml"/>
    <w:rsid w:val="004E0EF4"/>
    <w:pPr>
      <w:keepLines/>
      <w:tabs>
        <w:tab w:val="left" w:pos="794"/>
        <w:tab w:val="left" w:pos="1191"/>
        <w:tab w:val="left" w:pos="1588"/>
        <w:tab w:val="left" w:pos="1985"/>
      </w:tabs>
      <w:overflowPunct w:val="0"/>
      <w:autoSpaceDE w:val="0"/>
      <w:autoSpaceDN w:val="0"/>
      <w:adjustRightInd w:val="0"/>
      <w:spacing w:after="240" w:line="240" w:lineRule="auto"/>
      <w:jc w:val="center"/>
      <w:textAlignment w:val="baseline"/>
    </w:pPr>
    <w:rPr>
      <w:rFonts w:ascii="Times New Roman" w:eastAsia="Times New Roman" w:hAnsi="Times New Roman" w:cs="Times New Roman"/>
      <w:caps/>
      <w:sz w:val="18"/>
      <w:szCs w:val="20"/>
      <w:lang w:val="fr-FR"/>
    </w:rPr>
  </w:style>
  <w:style w:type="paragraph" w:customStyle="1" w:styleId="ECCParagraph">
    <w:name w:val="ECC Paragraph"/>
    <w:basedOn w:val="Norml"/>
    <w:link w:val="ECCParagraphChar"/>
    <w:rsid w:val="00EA2920"/>
    <w:pPr>
      <w:spacing w:after="240" w:line="240" w:lineRule="auto"/>
    </w:pPr>
    <w:rPr>
      <w:rFonts w:ascii="Arial" w:eastAsia="Times New Roman" w:hAnsi="Arial" w:cs="Times New Roman"/>
      <w:sz w:val="20"/>
      <w:szCs w:val="24"/>
      <w:lang w:val="en-GB"/>
    </w:rPr>
  </w:style>
  <w:style w:type="paragraph" w:customStyle="1" w:styleId="ECCFiguretitle">
    <w:name w:val="ECC Figure title"/>
    <w:basedOn w:val="ECCParagraph"/>
    <w:next w:val="ECCParagraph"/>
    <w:rsid w:val="00EA2920"/>
    <w:pPr>
      <w:numPr>
        <w:numId w:val="9"/>
      </w:numPr>
      <w:spacing w:before="240" w:after="480"/>
      <w:jc w:val="center"/>
    </w:pPr>
    <w:rPr>
      <w:b/>
      <w:color w:val="D2232A"/>
    </w:rPr>
  </w:style>
  <w:style w:type="numbering" w:customStyle="1" w:styleId="ECCNumbers-Letters">
    <w:name w:val="ECC Numbers-Letters"/>
    <w:uiPriority w:val="99"/>
    <w:rsid w:val="00EA2920"/>
    <w:pPr>
      <w:numPr>
        <w:numId w:val="10"/>
      </w:numPr>
    </w:pPr>
  </w:style>
  <w:style w:type="paragraph" w:customStyle="1" w:styleId="ECCNumbered-LetteredList">
    <w:name w:val="ECC Numbered-Lettered List"/>
    <w:basedOn w:val="Norml"/>
    <w:rsid w:val="00EA2920"/>
    <w:pPr>
      <w:numPr>
        <w:numId w:val="10"/>
      </w:numPr>
      <w:spacing w:after="0" w:line="240" w:lineRule="auto"/>
      <w:jc w:val="left"/>
    </w:pPr>
    <w:rPr>
      <w:rFonts w:ascii="Arial" w:eastAsia="Times New Roman" w:hAnsi="Arial" w:cs="Times New Roman"/>
      <w:sz w:val="20"/>
      <w:szCs w:val="24"/>
      <w:lang w:val="en-US"/>
    </w:rPr>
  </w:style>
  <w:style w:type="character" w:customStyle="1" w:styleId="ECCParagraphChar">
    <w:name w:val="ECC Paragraph Char"/>
    <w:link w:val="ECCParagraph"/>
    <w:locked/>
    <w:rsid w:val="00EA2920"/>
    <w:rPr>
      <w:rFonts w:ascii="Arial" w:eastAsia="Times New Roman" w:hAnsi="Arial" w:cs="Times New Roman"/>
      <w:sz w:val="20"/>
      <w:szCs w:val="24"/>
      <w:lang w:val="en-GB"/>
    </w:rPr>
  </w:style>
  <w:style w:type="character" w:styleId="Kiemels2">
    <w:name w:val="Strong"/>
    <w:basedOn w:val="Bekezdsalapbettpusa"/>
    <w:uiPriority w:val="22"/>
    <w:qFormat/>
    <w:rsid w:val="00BB068C"/>
    <w:rPr>
      <w:b/>
      <w:bCs/>
    </w:rPr>
  </w:style>
  <w:style w:type="paragraph" w:customStyle="1" w:styleId="ECCParBulleted">
    <w:name w:val="ECC Par Bulleted"/>
    <w:basedOn w:val="ECCParagraph"/>
    <w:rsid w:val="00037754"/>
    <w:pPr>
      <w:numPr>
        <w:numId w:val="11"/>
      </w:numPr>
      <w:spacing w:after="120"/>
      <w:ind w:left="0" w:firstLine="0"/>
    </w:pPr>
    <w:rPr>
      <w:rFonts w:eastAsiaTheme="minorHAnsi" w:cs="Arial"/>
      <w:sz w:val="22"/>
      <w:lang w:val="hu-HU"/>
    </w:rPr>
  </w:style>
  <w:style w:type="paragraph" w:customStyle="1" w:styleId="ECCAnnex-heading1">
    <w:name w:val="ECC Annex - heading1"/>
    <w:basedOn w:val="Cmsor1"/>
    <w:next w:val="Norml"/>
    <w:rsid w:val="00037754"/>
    <w:pPr>
      <w:keepLines w:val="0"/>
      <w:pageBreakBefore/>
      <w:numPr>
        <w:numId w:val="12"/>
      </w:numPr>
      <w:tabs>
        <w:tab w:val="num" w:pos="360"/>
      </w:tabs>
      <w:spacing w:before="400" w:line="240" w:lineRule="auto"/>
      <w:jc w:val="left"/>
    </w:pPr>
    <w:rPr>
      <w:rFonts w:ascii="Arial" w:eastAsia="Times New Roman" w:hAnsi="Arial" w:cs="Arial"/>
      <w:caps/>
      <w:color w:val="D2232A"/>
      <w:kern w:val="32"/>
      <w:sz w:val="20"/>
      <w:szCs w:val="32"/>
      <w:lang w:val="en-GB"/>
    </w:rPr>
  </w:style>
  <w:style w:type="paragraph" w:customStyle="1" w:styleId="ECCTablenote">
    <w:name w:val="ECC Table note"/>
    <w:basedOn w:val="Norml"/>
    <w:next w:val="Norml"/>
    <w:autoRedefine/>
    <w:rsid w:val="00037754"/>
    <w:pPr>
      <w:spacing w:after="0" w:line="240" w:lineRule="auto"/>
      <w:jc w:val="left"/>
    </w:pPr>
    <w:rPr>
      <w:rFonts w:ascii="Arial" w:eastAsia="Times New Roman" w:hAnsi="Arial" w:cs="Times New Roman"/>
      <w:sz w:val="16"/>
      <w:szCs w:val="16"/>
      <w:lang w:val="en-GB"/>
    </w:rPr>
  </w:style>
  <w:style w:type="paragraph" w:customStyle="1" w:styleId="ECCAnnexheading2">
    <w:name w:val="ECC Annex heading2"/>
    <w:basedOn w:val="Norml"/>
    <w:next w:val="Norml"/>
    <w:rsid w:val="00037754"/>
    <w:pPr>
      <w:numPr>
        <w:ilvl w:val="1"/>
        <w:numId w:val="12"/>
      </w:numPr>
      <w:overflowPunct w:val="0"/>
      <w:autoSpaceDE w:val="0"/>
      <w:autoSpaceDN w:val="0"/>
      <w:adjustRightInd w:val="0"/>
      <w:spacing w:before="480" w:after="240" w:line="240" w:lineRule="auto"/>
      <w:ind w:left="576"/>
      <w:jc w:val="left"/>
    </w:pPr>
    <w:rPr>
      <w:rFonts w:ascii="Arial" w:eastAsia="Times New Roman" w:hAnsi="Arial" w:cs="Times New Roman"/>
      <w:b/>
      <w:caps/>
      <w:sz w:val="20"/>
      <w:szCs w:val="24"/>
      <w:lang w:val="en-US"/>
    </w:rPr>
  </w:style>
  <w:style w:type="paragraph" w:customStyle="1" w:styleId="ECCAnnexheading3">
    <w:name w:val="ECC Annex heading3"/>
    <w:basedOn w:val="Norml"/>
    <w:next w:val="Norml"/>
    <w:rsid w:val="00037754"/>
    <w:pPr>
      <w:numPr>
        <w:ilvl w:val="2"/>
        <w:numId w:val="12"/>
      </w:numPr>
      <w:overflowPunct w:val="0"/>
      <w:autoSpaceDE w:val="0"/>
      <w:autoSpaceDN w:val="0"/>
      <w:adjustRightInd w:val="0"/>
      <w:spacing w:before="360" w:line="240" w:lineRule="auto"/>
      <w:jc w:val="left"/>
    </w:pPr>
    <w:rPr>
      <w:rFonts w:ascii="Arial" w:eastAsia="Times New Roman" w:hAnsi="Arial" w:cs="Times New Roman"/>
      <w:b/>
      <w:sz w:val="20"/>
      <w:szCs w:val="24"/>
      <w:lang w:val="en-US"/>
    </w:rPr>
  </w:style>
  <w:style w:type="paragraph" w:customStyle="1" w:styleId="ECCAnnexheading4">
    <w:name w:val="ECC Annex heading4"/>
    <w:basedOn w:val="Norml"/>
    <w:next w:val="Norml"/>
    <w:rsid w:val="00037754"/>
    <w:pPr>
      <w:numPr>
        <w:ilvl w:val="3"/>
        <w:numId w:val="12"/>
      </w:numPr>
      <w:overflowPunct w:val="0"/>
      <w:autoSpaceDE w:val="0"/>
      <w:autoSpaceDN w:val="0"/>
      <w:adjustRightInd w:val="0"/>
      <w:spacing w:before="360" w:line="240" w:lineRule="auto"/>
      <w:jc w:val="left"/>
    </w:pPr>
    <w:rPr>
      <w:rFonts w:ascii="Arial" w:eastAsia="Times New Roman" w:hAnsi="Arial" w:cs="Times New Roman"/>
      <w:i/>
      <w:color w:val="D2232A"/>
      <w:sz w:val="20"/>
      <w:szCs w:val="24"/>
      <w:lang w:val="en-US"/>
    </w:rPr>
  </w:style>
  <w:style w:type="paragraph" w:customStyle="1" w:styleId="TabellenInhalt">
    <w:name w:val="Tabellen Inhalt"/>
    <w:basedOn w:val="Norml"/>
    <w:rsid w:val="00037754"/>
    <w:pPr>
      <w:suppressLineNumbers/>
      <w:suppressAutoHyphens/>
      <w:spacing w:after="0" w:line="240" w:lineRule="auto"/>
      <w:jc w:val="left"/>
    </w:pPr>
    <w:rPr>
      <w:rFonts w:ascii="Times New Roman" w:eastAsia="Times New Roman" w:hAnsi="Times New Roman" w:cs="Times New Roman"/>
      <w:sz w:val="24"/>
      <w:szCs w:val="24"/>
      <w:lang w:val="en-GB" w:eastAsia="ar-SA"/>
    </w:rPr>
  </w:style>
  <w:style w:type="character" w:styleId="Jegyzethivatkozs">
    <w:name w:val="annotation reference"/>
    <w:uiPriority w:val="99"/>
    <w:rsid w:val="00AB4424"/>
    <w:rPr>
      <w:sz w:val="16"/>
      <w:szCs w:val="16"/>
    </w:rPr>
  </w:style>
  <w:style w:type="paragraph" w:styleId="Jegyzetszveg">
    <w:name w:val="annotation text"/>
    <w:basedOn w:val="Norml"/>
    <w:link w:val="JegyzetszvegChar"/>
    <w:rsid w:val="00AB4424"/>
    <w:pPr>
      <w:spacing w:after="0" w:line="24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AB4424"/>
    <w:rPr>
      <w:rFonts w:ascii="Arial" w:eastAsia="Times New Roman" w:hAnsi="Arial" w:cs="Times New Roman"/>
      <w:sz w:val="20"/>
      <w:szCs w:val="20"/>
      <w:lang w:eastAsia="hu-HU"/>
    </w:rPr>
  </w:style>
  <w:style w:type="paragraph" w:customStyle="1" w:styleId="Hanging035">
    <w:name w:val="Hanging0_35"/>
    <w:basedOn w:val="Norml"/>
    <w:rsid w:val="00AB4424"/>
    <w:pPr>
      <w:spacing w:after="0" w:line="240" w:lineRule="auto"/>
      <w:ind w:left="198" w:hanging="198"/>
    </w:pPr>
    <w:rPr>
      <w:rFonts w:ascii="Arial" w:eastAsia="Times New Roman" w:hAnsi="Arial" w:cs="Times New Roman"/>
      <w:sz w:val="14"/>
      <w:szCs w:val="20"/>
      <w:lang w:eastAsia="hu-HU"/>
    </w:rPr>
  </w:style>
  <w:style w:type="paragraph" w:customStyle="1" w:styleId="fnftnorm">
    <w:name w:val="fnft_norm"/>
    <w:basedOn w:val="Norml"/>
    <w:uiPriority w:val="99"/>
    <w:rsid w:val="00AB4424"/>
    <w:pPr>
      <w:spacing w:after="0" w:line="240" w:lineRule="auto"/>
    </w:pPr>
    <w:rPr>
      <w:rFonts w:ascii="Arial" w:eastAsia="Times New Roman" w:hAnsi="Arial"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AB4424"/>
    <w:pPr>
      <w:spacing w:after="200"/>
      <w:jc w:val="left"/>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B4424"/>
    <w:rPr>
      <w:rFonts w:ascii="Calibri" w:eastAsia="Calibri" w:hAnsi="Calibri" w:cs="Times New Roman"/>
      <w:b/>
      <w:bCs/>
      <w:sz w:val="20"/>
      <w:szCs w:val="20"/>
      <w:lang w:eastAsia="hu-HU"/>
    </w:rPr>
  </w:style>
  <w:style w:type="paragraph" w:styleId="Vltozat">
    <w:name w:val="Revision"/>
    <w:hidden/>
    <w:uiPriority w:val="99"/>
    <w:semiHidden/>
    <w:rsid w:val="00AB4424"/>
    <w:pPr>
      <w:spacing w:after="0" w:line="240" w:lineRule="auto"/>
    </w:pPr>
    <w:rPr>
      <w:rFonts w:ascii="Calibri" w:eastAsia="Calibri" w:hAnsi="Calibri" w:cs="Times New Roman"/>
    </w:rPr>
  </w:style>
  <w:style w:type="table" w:customStyle="1" w:styleId="Rcsostblzat1">
    <w:name w:val="Rácsos táblázat1"/>
    <w:basedOn w:val="Normltblzat"/>
    <w:next w:val="Rcsostblzat"/>
    <w:rsid w:val="00AB4424"/>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l"/>
    <w:next w:val="Norml"/>
    <w:rsid w:val="002E7A14"/>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paragraph" w:customStyle="1" w:styleId="Reporttitledescription">
    <w:name w:val="Report title/description"/>
    <w:basedOn w:val="Norml"/>
    <w:rsid w:val="008467C7"/>
    <w:pPr>
      <w:spacing w:before="600" w:after="0" w:line="288" w:lineRule="auto"/>
      <w:ind w:left="3402"/>
      <w:jc w:val="left"/>
    </w:pPr>
    <w:rPr>
      <w:rFonts w:ascii="Arial" w:eastAsia="Times New Roman" w:hAnsi="Arial" w:cs="Times New Roman"/>
      <w:sz w:val="24"/>
      <w:szCs w:val="24"/>
      <w:lang w:val="en-GB"/>
    </w:rPr>
  </w:style>
  <w:style w:type="character" w:customStyle="1" w:styleId="normaltext">
    <w:name w:val="normaltext"/>
    <w:basedOn w:val="Bekezdsalapbettpusa"/>
    <w:uiPriority w:val="99"/>
    <w:rsid w:val="007A6BF7"/>
  </w:style>
  <w:style w:type="character" w:customStyle="1" w:styleId="jlqj4b">
    <w:name w:val="jlqj4b"/>
    <w:basedOn w:val="Bekezdsalapbettpusa"/>
    <w:rsid w:val="0037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48">
      <w:bodyDiv w:val="1"/>
      <w:marLeft w:val="0"/>
      <w:marRight w:val="0"/>
      <w:marTop w:val="0"/>
      <w:marBottom w:val="0"/>
      <w:divBdr>
        <w:top w:val="none" w:sz="0" w:space="0" w:color="auto"/>
        <w:left w:val="none" w:sz="0" w:space="0" w:color="auto"/>
        <w:bottom w:val="none" w:sz="0" w:space="0" w:color="auto"/>
        <w:right w:val="none" w:sz="0" w:space="0" w:color="auto"/>
      </w:divBdr>
    </w:div>
    <w:div w:id="56558514">
      <w:bodyDiv w:val="1"/>
      <w:marLeft w:val="0"/>
      <w:marRight w:val="0"/>
      <w:marTop w:val="0"/>
      <w:marBottom w:val="0"/>
      <w:divBdr>
        <w:top w:val="none" w:sz="0" w:space="0" w:color="auto"/>
        <w:left w:val="none" w:sz="0" w:space="0" w:color="auto"/>
        <w:bottom w:val="none" w:sz="0" w:space="0" w:color="auto"/>
        <w:right w:val="none" w:sz="0" w:space="0" w:color="auto"/>
      </w:divBdr>
    </w:div>
    <w:div w:id="101270806">
      <w:bodyDiv w:val="1"/>
      <w:marLeft w:val="0"/>
      <w:marRight w:val="0"/>
      <w:marTop w:val="0"/>
      <w:marBottom w:val="0"/>
      <w:divBdr>
        <w:top w:val="none" w:sz="0" w:space="0" w:color="auto"/>
        <w:left w:val="none" w:sz="0" w:space="0" w:color="auto"/>
        <w:bottom w:val="none" w:sz="0" w:space="0" w:color="auto"/>
        <w:right w:val="none" w:sz="0" w:space="0" w:color="auto"/>
      </w:divBdr>
      <w:divsChild>
        <w:div w:id="707682978">
          <w:marLeft w:val="720"/>
          <w:marRight w:val="0"/>
          <w:marTop w:val="86"/>
          <w:marBottom w:val="0"/>
          <w:divBdr>
            <w:top w:val="none" w:sz="0" w:space="0" w:color="auto"/>
            <w:left w:val="none" w:sz="0" w:space="0" w:color="auto"/>
            <w:bottom w:val="none" w:sz="0" w:space="0" w:color="auto"/>
            <w:right w:val="none" w:sz="0" w:space="0" w:color="auto"/>
          </w:divBdr>
        </w:div>
        <w:div w:id="1511989918">
          <w:marLeft w:val="720"/>
          <w:marRight w:val="0"/>
          <w:marTop w:val="86"/>
          <w:marBottom w:val="0"/>
          <w:divBdr>
            <w:top w:val="none" w:sz="0" w:space="0" w:color="auto"/>
            <w:left w:val="none" w:sz="0" w:space="0" w:color="auto"/>
            <w:bottom w:val="none" w:sz="0" w:space="0" w:color="auto"/>
            <w:right w:val="none" w:sz="0" w:space="0" w:color="auto"/>
          </w:divBdr>
        </w:div>
      </w:divsChild>
    </w:div>
    <w:div w:id="178617986">
      <w:bodyDiv w:val="1"/>
      <w:marLeft w:val="0"/>
      <w:marRight w:val="0"/>
      <w:marTop w:val="0"/>
      <w:marBottom w:val="0"/>
      <w:divBdr>
        <w:top w:val="none" w:sz="0" w:space="0" w:color="auto"/>
        <w:left w:val="none" w:sz="0" w:space="0" w:color="auto"/>
        <w:bottom w:val="none" w:sz="0" w:space="0" w:color="auto"/>
        <w:right w:val="none" w:sz="0" w:space="0" w:color="auto"/>
      </w:divBdr>
      <w:divsChild>
        <w:div w:id="350298047">
          <w:marLeft w:val="1166"/>
          <w:marRight w:val="0"/>
          <w:marTop w:val="67"/>
          <w:marBottom w:val="0"/>
          <w:divBdr>
            <w:top w:val="none" w:sz="0" w:space="0" w:color="auto"/>
            <w:left w:val="none" w:sz="0" w:space="0" w:color="auto"/>
            <w:bottom w:val="none" w:sz="0" w:space="0" w:color="auto"/>
            <w:right w:val="none" w:sz="0" w:space="0" w:color="auto"/>
          </w:divBdr>
        </w:div>
        <w:div w:id="1437361369">
          <w:marLeft w:val="1800"/>
          <w:marRight w:val="0"/>
          <w:marTop w:val="58"/>
          <w:marBottom w:val="0"/>
          <w:divBdr>
            <w:top w:val="none" w:sz="0" w:space="0" w:color="auto"/>
            <w:left w:val="none" w:sz="0" w:space="0" w:color="auto"/>
            <w:bottom w:val="none" w:sz="0" w:space="0" w:color="auto"/>
            <w:right w:val="none" w:sz="0" w:space="0" w:color="auto"/>
          </w:divBdr>
        </w:div>
      </w:divsChild>
    </w:div>
    <w:div w:id="191505938">
      <w:bodyDiv w:val="1"/>
      <w:marLeft w:val="0"/>
      <w:marRight w:val="0"/>
      <w:marTop w:val="0"/>
      <w:marBottom w:val="0"/>
      <w:divBdr>
        <w:top w:val="none" w:sz="0" w:space="0" w:color="auto"/>
        <w:left w:val="none" w:sz="0" w:space="0" w:color="auto"/>
        <w:bottom w:val="none" w:sz="0" w:space="0" w:color="auto"/>
        <w:right w:val="none" w:sz="0" w:space="0" w:color="auto"/>
      </w:divBdr>
    </w:div>
    <w:div w:id="195196116">
      <w:bodyDiv w:val="1"/>
      <w:marLeft w:val="0"/>
      <w:marRight w:val="0"/>
      <w:marTop w:val="0"/>
      <w:marBottom w:val="0"/>
      <w:divBdr>
        <w:top w:val="none" w:sz="0" w:space="0" w:color="auto"/>
        <w:left w:val="none" w:sz="0" w:space="0" w:color="auto"/>
        <w:bottom w:val="none" w:sz="0" w:space="0" w:color="auto"/>
        <w:right w:val="none" w:sz="0" w:space="0" w:color="auto"/>
      </w:divBdr>
      <w:divsChild>
        <w:div w:id="911235419">
          <w:marLeft w:val="0"/>
          <w:marRight w:val="0"/>
          <w:marTop w:val="0"/>
          <w:marBottom w:val="0"/>
          <w:divBdr>
            <w:top w:val="none" w:sz="0" w:space="0" w:color="auto"/>
            <w:left w:val="none" w:sz="0" w:space="0" w:color="auto"/>
            <w:bottom w:val="none" w:sz="0" w:space="0" w:color="auto"/>
            <w:right w:val="none" w:sz="0" w:space="0" w:color="auto"/>
          </w:divBdr>
          <w:divsChild>
            <w:div w:id="1068772550">
              <w:marLeft w:val="0"/>
              <w:marRight w:val="0"/>
              <w:marTop w:val="0"/>
              <w:marBottom w:val="0"/>
              <w:divBdr>
                <w:top w:val="none" w:sz="0" w:space="0" w:color="auto"/>
                <w:left w:val="none" w:sz="0" w:space="0" w:color="auto"/>
                <w:bottom w:val="none" w:sz="0" w:space="0" w:color="auto"/>
                <w:right w:val="none" w:sz="0" w:space="0" w:color="auto"/>
              </w:divBdr>
              <w:divsChild>
                <w:div w:id="2142141770">
                  <w:marLeft w:val="0"/>
                  <w:marRight w:val="0"/>
                  <w:marTop w:val="0"/>
                  <w:marBottom w:val="0"/>
                  <w:divBdr>
                    <w:top w:val="none" w:sz="0" w:space="0" w:color="auto"/>
                    <w:left w:val="none" w:sz="0" w:space="0" w:color="auto"/>
                    <w:bottom w:val="none" w:sz="0" w:space="0" w:color="auto"/>
                    <w:right w:val="none" w:sz="0" w:space="0" w:color="auto"/>
                  </w:divBdr>
                  <w:divsChild>
                    <w:div w:id="44454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443852">
      <w:bodyDiv w:val="1"/>
      <w:marLeft w:val="0"/>
      <w:marRight w:val="0"/>
      <w:marTop w:val="0"/>
      <w:marBottom w:val="0"/>
      <w:divBdr>
        <w:top w:val="none" w:sz="0" w:space="0" w:color="auto"/>
        <w:left w:val="none" w:sz="0" w:space="0" w:color="auto"/>
        <w:bottom w:val="none" w:sz="0" w:space="0" w:color="auto"/>
        <w:right w:val="none" w:sz="0" w:space="0" w:color="auto"/>
      </w:divBdr>
    </w:div>
    <w:div w:id="332951435">
      <w:bodyDiv w:val="1"/>
      <w:marLeft w:val="0"/>
      <w:marRight w:val="0"/>
      <w:marTop w:val="0"/>
      <w:marBottom w:val="0"/>
      <w:divBdr>
        <w:top w:val="none" w:sz="0" w:space="0" w:color="auto"/>
        <w:left w:val="none" w:sz="0" w:space="0" w:color="auto"/>
        <w:bottom w:val="none" w:sz="0" w:space="0" w:color="auto"/>
        <w:right w:val="none" w:sz="0" w:space="0" w:color="auto"/>
      </w:divBdr>
    </w:div>
    <w:div w:id="418404908">
      <w:bodyDiv w:val="1"/>
      <w:marLeft w:val="0"/>
      <w:marRight w:val="0"/>
      <w:marTop w:val="0"/>
      <w:marBottom w:val="0"/>
      <w:divBdr>
        <w:top w:val="none" w:sz="0" w:space="0" w:color="auto"/>
        <w:left w:val="none" w:sz="0" w:space="0" w:color="auto"/>
        <w:bottom w:val="none" w:sz="0" w:space="0" w:color="auto"/>
        <w:right w:val="none" w:sz="0" w:space="0" w:color="auto"/>
      </w:divBdr>
      <w:divsChild>
        <w:div w:id="740760939">
          <w:marLeft w:val="547"/>
          <w:marRight w:val="0"/>
          <w:marTop w:val="77"/>
          <w:marBottom w:val="0"/>
          <w:divBdr>
            <w:top w:val="none" w:sz="0" w:space="0" w:color="auto"/>
            <w:left w:val="none" w:sz="0" w:space="0" w:color="auto"/>
            <w:bottom w:val="none" w:sz="0" w:space="0" w:color="auto"/>
            <w:right w:val="none" w:sz="0" w:space="0" w:color="auto"/>
          </w:divBdr>
        </w:div>
      </w:divsChild>
    </w:div>
    <w:div w:id="442387772">
      <w:bodyDiv w:val="1"/>
      <w:marLeft w:val="0"/>
      <w:marRight w:val="0"/>
      <w:marTop w:val="0"/>
      <w:marBottom w:val="0"/>
      <w:divBdr>
        <w:top w:val="none" w:sz="0" w:space="0" w:color="auto"/>
        <w:left w:val="none" w:sz="0" w:space="0" w:color="auto"/>
        <w:bottom w:val="none" w:sz="0" w:space="0" w:color="auto"/>
        <w:right w:val="none" w:sz="0" w:space="0" w:color="auto"/>
      </w:divBdr>
      <w:divsChild>
        <w:div w:id="1357652685">
          <w:marLeft w:val="0"/>
          <w:marRight w:val="0"/>
          <w:marTop w:val="0"/>
          <w:marBottom w:val="0"/>
          <w:divBdr>
            <w:top w:val="none" w:sz="0" w:space="0" w:color="auto"/>
            <w:left w:val="none" w:sz="0" w:space="0" w:color="auto"/>
            <w:bottom w:val="none" w:sz="0" w:space="0" w:color="auto"/>
            <w:right w:val="none" w:sz="0" w:space="0" w:color="auto"/>
          </w:divBdr>
          <w:divsChild>
            <w:div w:id="1533687023">
              <w:marLeft w:val="0"/>
              <w:marRight w:val="0"/>
              <w:marTop w:val="0"/>
              <w:marBottom w:val="0"/>
              <w:divBdr>
                <w:top w:val="none" w:sz="0" w:space="0" w:color="auto"/>
                <w:left w:val="none" w:sz="0" w:space="0" w:color="auto"/>
                <w:bottom w:val="none" w:sz="0" w:space="0" w:color="auto"/>
                <w:right w:val="none" w:sz="0" w:space="0" w:color="auto"/>
              </w:divBdr>
              <w:divsChild>
                <w:div w:id="786852153">
                  <w:marLeft w:val="0"/>
                  <w:marRight w:val="0"/>
                  <w:marTop w:val="0"/>
                  <w:marBottom w:val="0"/>
                  <w:divBdr>
                    <w:top w:val="none" w:sz="0" w:space="0" w:color="auto"/>
                    <w:left w:val="none" w:sz="0" w:space="0" w:color="auto"/>
                    <w:bottom w:val="none" w:sz="0" w:space="0" w:color="auto"/>
                    <w:right w:val="none" w:sz="0" w:space="0" w:color="auto"/>
                  </w:divBdr>
                  <w:divsChild>
                    <w:div w:id="298612646">
                      <w:marLeft w:val="0"/>
                      <w:marRight w:val="0"/>
                      <w:marTop w:val="0"/>
                      <w:marBottom w:val="0"/>
                      <w:divBdr>
                        <w:top w:val="none" w:sz="0" w:space="0" w:color="auto"/>
                        <w:left w:val="none" w:sz="0" w:space="0" w:color="auto"/>
                        <w:bottom w:val="none" w:sz="0" w:space="0" w:color="auto"/>
                        <w:right w:val="none" w:sz="0" w:space="0" w:color="auto"/>
                      </w:divBdr>
                    </w:div>
                    <w:div w:id="966594009">
                      <w:marLeft w:val="0"/>
                      <w:marRight w:val="0"/>
                      <w:marTop w:val="0"/>
                      <w:marBottom w:val="0"/>
                      <w:divBdr>
                        <w:top w:val="none" w:sz="0" w:space="0" w:color="auto"/>
                        <w:left w:val="none" w:sz="0" w:space="0" w:color="auto"/>
                        <w:bottom w:val="none" w:sz="0" w:space="0" w:color="auto"/>
                        <w:right w:val="none" w:sz="0" w:space="0" w:color="auto"/>
                      </w:divBdr>
                    </w:div>
                    <w:div w:id="1097167065">
                      <w:marLeft w:val="150"/>
                      <w:marRight w:val="0"/>
                      <w:marTop w:val="0"/>
                      <w:marBottom w:val="75"/>
                      <w:divBdr>
                        <w:top w:val="none" w:sz="0" w:space="0" w:color="auto"/>
                        <w:left w:val="none" w:sz="0" w:space="0" w:color="auto"/>
                        <w:bottom w:val="none" w:sz="0" w:space="0" w:color="auto"/>
                        <w:right w:val="none" w:sz="0" w:space="0" w:color="auto"/>
                      </w:divBdr>
                    </w:div>
                    <w:div w:id="1358584584">
                      <w:marLeft w:val="0"/>
                      <w:marRight w:val="0"/>
                      <w:marTop w:val="0"/>
                      <w:marBottom w:val="0"/>
                      <w:divBdr>
                        <w:top w:val="none" w:sz="0" w:space="0" w:color="auto"/>
                        <w:left w:val="none" w:sz="0" w:space="0" w:color="auto"/>
                        <w:bottom w:val="none" w:sz="0" w:space="0" w:color="auto"/>
                        <w:right w:val="none" w:sz="0" w:space="0" w:color="auto"/>
                      </w:divBdr>
                    </w:div>
                    <w:div w:id="1626698390">
                      <w:marLeft w:val="0"/>
                      <w:marRight w:val="0"/>
                      <w:marTop w:val="0"/>
                      <w:marBottom w:val="0"/>
                      <w:divBdr>
                        <w:top w:val="none" w:sz="0" w:space="0" w:color="auto"/>
                        <w:left w:val="none" w:sz="0" w:space="0" w:color="auto"/>
                        <w:bottom w:val="none" w:sz="0" w:space="0" w:color="auto"/>
                        <w:right w:val="none" w:sz="0" w:space="0" w:color="auto"/>
                      </w:divBdr>
                    </w:div>
                    <w:div w:id="1755054489">
                      <w:marLeft w:val="0"/>
                      <w:marRight w:val="0"/>
                      <w:marTop w:val="0"/>
                      <w:marBottom w:val="0"/>
                      <w:divBdr>
                        <w:top w:val="none" w:sz="0" w:space="0" w:color="auto"/>
                        <w:left w:val="none" w:sz="0" w:space="0" w:color="auto"/>
                        <w:bottom w:val="none" w:sz="0" w:space="0" w:color="auto"/>
                        <w:right w:val="none" w:sz="0" w:space="0" w:color="auto"/>
                      </w:divBdr>
                    </w:div>
                    <w:div w:id="1875993153">
                      <w:marLeft w:val="0"/>
                      <w:marRight w:val="0"/>
                      <w:marTop w:val="0"/>
                      <w:marBottom w:val="0"/>
                      <w:divBdr>
                        <w:top w:val="none" w:sz="0" w:space="0" w:color="auto"/>
                        <w:left w:val="none" w:sz="0" w:space="0" w:color="auto"/>
                        <w:bottom w:val="none" w:sz="0" w:space="0" w:color="auto"/>
                        <w:right w:val="none" w:sz="0" w:space="0" w:color="auto"/>
                      </w:divBdr>
                    </w:div>
                    <w:div w:id="2122720398">
                      <w:marLeft w:val="0"/>
                      <w:marRight w:val="0"/>
                      <w:marTop w:val="0"/>
                      <w:marBottom w:val="0"/>
                      <w:divBdr>
                        <w:top w:val="none" w:sz="0" w:space="0" w:color="auto"/>
                        <w:left w:val="none" w:sz="0" w:space="0" w:color="auto"/>
                        <w:bottom w:val="none" w:sz="0" w:space="0" w:color="auto"/>
                        <w:right w:val="none" w:sz="0" w:space="0" w:color="auto"/>
                      </w:divBdr>
                    </w:div>
                  </w:divsChild>
                </w:div>
                <w:div w:id="1125195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0026700">
      <w:bodyDiv w:val="1"/>
      <w:marLeft w:val="0"/>
      <w:marRight w:val="0"/>
      <w:marTop w:val="0"/>
      <w:marBottom w:val="0"/>
      <w:divBdr>
        <w:top w:val="none" w:sz="0" w:space="0" w:color="auto"/>
        <w:left w:val="none" w:sz="0" w:space="0" w:color="auto"/>
        <w:bottom w:val="none" w:sz="0" w:space="0" w:color="auto"/>
        <w:right w:val="none" w:sz="0" w:space="0" w:color="auto"/>
      </w:divBdr>
      <w:divsChild>
        <w:div w:id="595479671">
          <w:marLeft w:val="0"/>
          <w:marRight w:val="0"/>
          <w:marTop w:val="0"/>
          <w:marBottom w:val="0"/>
          <w:divBdr>
            <w:top w:val="none" w:sz="0" w:space="0" w:color="auto"/>
            <w:left w:val="none" w:sz="0" w:space="0" w:color="auto"/>
            <w:bottom w:val="none" w:sz="0" w:space="0" w:color="auto"/>
            <w:right w:val="none" w:sz="0" w:space="0" w:color="auto"/>
          </w:divBdr>
          <w:divsChild>
            <w:div w:id="476145982">
              <w:marLeft w:val="1"/>
              <w:marRight w:val="1"/>
              <w:marTop w:val="1"/>
              <w:marBottom w:val="1"/>
              <w:divBdr>
                <w:top w:val="none" w:sz="0" w:space="0" w:color="auto"/>
                <w:left w:val="none" w:sz="0" w:space="0" w:color="auto"/>
                <w:bottom w:val="none" w:sz="0" w:space="0" w:color="auto"/>
                <w:right w:val="none" w:sz="0" w:space="0" w:color="auto"/>
              </w:divBdr>
              <w:divsChild>
                <w:div w:id="447237158">
                  <w:marLeft w:val="0"/>
                  <w:marRight w:val="0"/>
                  <w:marTop w:val="0"/>
                  <w:marBottom w:val="0"/>
                  <w:divBdr>
                    <w:top w:val="none" w:sz="0" w:space="0" w:color="auto"/>
                    <w:left w:val="none" w:sz="0" w:space="0" w:color="auto"/>
                    <w:bottom w:val="none" w:sz="0" w:space="0" w:color="auto"/>
                    <w:right w:val="none" w:sz="0" w:space="0" w:color="auto"/>
                  </w:divBdr>
                  <w:divsChild>
                    <w:div w:id="6829402">
                      <w:marLeft w:val="0"/>
                      <w:marRight w:val="0"/>
                      <w:marTop w:val="0"/>
                      <w:marBottom w:val="0"/>
                      <w:divBdr>
                        <w:top w:val="none" w:sz="0" w:space="0" w:color="auto"/>
                        <w:left w:val="none" w:sz="0" w:space="0" w:color="auto"/>
                        <w:bottom w:val="none" w:sz="0" w:space="0" w:color="auto"/>
                        <w:right w:val="none" w:sz="0" w:space="0" w:color="auto"/>
                      </w:divBdr>
                    </w:div>
                    <w:div w:id="1210453284">
                      <w:marLeft w:val="0"/>
                      <w:marRight w:val="0"/>
                      <w:marTop w:val="0"/>
                      <w:marBottom w:val="0"/>
                      <w:divBdr>
                        <w:top w:val="none" w:sz="0" w:space="0" w:color="auto"/>
                        <w:left w:val="none" w:sz="0" w:space="0" w:color="auto"/>
                        <w:bottom w:val="none" w:sz="0" w:space="0" w:color="auto"/>
                        <w:right w:val="none" w:sz="0" w:space="0" w:color="auto"/>
                      </w:divBdr>
                    </w:div>
                    <w:div w:id="1294557374">
                      <w:marLeft w:val="0"/>
                      <w:marRight w:val="0"/>
                      <w:marTop w:val="0"/>
                      <w:marBottom w:val="0"/>
                      <w:divBdr>
                        <w:top w:val="none" w:sz="0" w:space="0" w:color="auto"/>
                        <w:left w:val="none" w:sz="0" w:space="0" w:color="auto"/>
                        <w:bottom w:val="none" w:sz="0" w:space="0" w:color="auto"/>
                        <w:right w:val="none" w:sz="0" w:space="0" w:color="auto"/>
                      </w:divBdr>
                    </w:div>
                    <w:div w:id="13165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238">
              <w:marLeft w:val="1"/>
              <w:marRight w:val="1"/>
              <w:marTop w:val="1"/>
              <w:marBottom w:val="1"/>
              <w:divBdr>
                <w:top w:val="none" w:sz="0" w:space="0" w:color="auto"/>
                <w:left w:val="none" w:sz="0" w:space="0" w:color="auto"/>
                <w:bottom w:val="none" w:sz="0" w:space="0" w:color="auto"/>
                <w:right w:val="none" w:sz="0" w:space="0" w:color="auto"/>
              </w:divBdr>
              <w:divsChild>
                <w:div w:id="643386525">
                  <w:marLeft w:val="0"/>
                  <w:marRight w:val="0"/>
                  <w:marTop w:val="0"/>
                  <w:marBottom w:val="0"/>
                  <w:divBdr>
                    <w:top w:val="none" w:sz="0" w:space="0" w:color="auto"/>
                    <w:left w:val="none" w:sz="0" w:space="0" w:color="auto"/>
                    <w:bottom w:val="none" w:sz="0" w:space="0" w:color="auto"/>
                    <w:right w:val="none" w:sz="0" w:space="0" w:color="auto"/>
                  </w:divBdr>
                  <w:divsChild>
                    <w:div w:id="39944132">
                      <w:marLeft w:val="0"/>
                      <w:marRight w:val="0"/>
                      <w:marTop w:val="0"/>
                      <w:marBottom w:val="0"/>
                      <w:divBdr>
                        <w:top w:val="none" w:sz="0" w:space="0" w:color="auto"/>
                        <w:left w:val="none" w:sz="0" w:space="0" w:color="auto"/>
                        <w:bottom w:val="none" w:sz="0" w:space="0" w:color="auto"/>
                        <w:right w:val="none" w:sz="0" w:space="0" w:color="auto"/>
                      </w:divBdr>
                      <w:divsChild>
                        <w:div w:id="165246751">
                          <w:marLeft w:val="0"/>
                          <w:marRight w:val="0"/>
                          <w:marTop w:val="0"/>
                          <w:marBottom w:val="0"/>
                          <w:divBdr>
                            <w:top w:val="none" w:sz="0" w:space="0" w:color="auto"/>
                            <w:left w:val="none" w:sz="0" w:space="0" w:color="auto"/>
                            <w:bottom w:val="none" w:sz="0" w:space="0" w:color="auto"/>
                            <w:right w:val="none" w:sz="0" w:space="0" w:color="auto"/>
                          </w:divBdr>
                        </w:div>
                      </w:divsChild>
                    </w:div>
                    <w:div w:id="279069017">
                      <w:marLeft w:val="0"/>
                      <w:marRight w:val="0"/>
                      <w:marTop w:val="0"/>
                      <w:marBottom w:val="0"/>
                      <w:divBdr>
                        <w:top w:val="none" w:sz="0" w:space="0" w:color="auto"/>
                        <w:left w:val="none" w:sz="0" w:space="0" w:color="auto"/>
                        <w:bottom w:val="none" w:sz="0" w:space="0" w:color="auto"/>
                        <w:right w:val="none" w:sz="0" w:space="0" w:color="auto"/>
                      </w:divBdr>
                    </w:div>
                    <w:div w:id="617445825">
                      <w:marLeft w:val="0"/>
                      <w:marRight w:val="0"/>
                      <w:marTop w:val="0"/>
                      <w:marBottom w:val="0"/>
                      <w:divBdr>
                        <w:top w:val="none" w:sz="0" w:space="0" w:color="auto"/>
                        <w:left w:val="none" w:sz="0" w:space="0" w:color="auto"/>
                        <w:bottom w:val="none" w:sz="0" w:space="0" w:color="auto"/>
                        <w:right w:val="none" w:sz="0" w:space="0" w:color="auto"/>
                      </w:divBdr>
                      <w:divsChild>
                        <w:div w:id="1878468795">
                          <w:marLeft w:val="0"/>
                          <w:marRight w:val="0"/>
                          <w:marTop w:val="0"/>
                          <w:marBottom w:val="0"/>
                          <w:divBdr>
                            <w:top w:val="none" w:sz="0" w:space="0" w:color="auto"/>
                            <w:left w:val="none" w:sz="0" w:space="0" w:color="auto"/>
                            <w:bottom w:val="none" w:sz="0" w:space="0" w:color="auto"/>
                            <w:right w:val="none" w:sz="0" w:space="0" w:color="auto"/>
                          </w:divBdr>
                        </w:div>
                      </w:divsChild>
                    </w:div>
                    <w:div w:id="625549567">
                      <w:marLeft w:val="0"/>
                      <w:marRight w:val="0"/>
                      <w:marTop w:val="0"/>
                      <w:marBottom w:val="0"/>
                      <w:divBdr>
                        <w:top w:val="none" w:sz="0" w:space="0" w:color="auto"/>
                        <w:left w:val="none" w:sz="0" w:space="0" w:color="auto"/>
                        <w:bottom w:val="none" w:sz="0" w:space="0" w:color="auto"/>
                        <w:right w:val="none" w:sz="0" w:space="0" w:color="auto"/>
                      </w:divBdr>
                      <w:divsChild>
                        <w:div w:id="694307145">
                          <w:marLeft w:val="0"/>
                          <w:marRight w:val="0"/>
                          <w:marTop w:val="0"/>
                          <w:marBottom w:val="0"/>
                          <w:divBdr>
                            <w:top w:val="none" w:sz="0" w:space="0" w:color="auto"/>
                            <w:left w:val="none" w:sz="0" w:space="0" w:color="auto"/>
                            <w:bottom w:val="none" w:sz="0" w:space="0" w:color="auto"/>
                            <w:right w:val="none" w:sz="0" w:space="0" w:color="auto"/>
                          </w:divBdr>
                        </w:div>
                      </w:divsChild>
                    </w:div>
                    <w:div w:id="646783005">
                      <w:marLeft w:val="0"/>
                      <w:marRight w:val="0"/>
                      <w:marTop w:val="0"/>
                      <w:marBottom w:val="0"/>
                      <w:divBdr>
                        <w:top w:val="none" w:sz="0" w:space="0" w:color="auto"/>
                        <w:left w:val="none" w:sz="0" w:space="0" w:color="auto"/>
                        <w:bottom w:val="none" w:sz="0" w:space="0" w:color="auto"/>
                        <w:right w:val="none" w:sz="0" w:space="0" w:color="auto"/>
                      </w:divBdr>
                      <w:divsChild>
                        <w:div w:id="1357123409">
                          <w:marLeft w:val="0"/>
                          <w:marRight w:val="0"/>
                          <w:marTop w:val="0"/>
                          <w:marBottom w:val="0"/>
                          <w:divBdr>
                            <w:top w:val="none" w:sz="0" w:space="0" w:color="auto"/>
                            <w:left w:val="none" w:sz="0" w:space="0" w:color="auto"/>
                            <w:bottom w:val="none" w:sz="0" w:space="0" w:color="auto"/>
                            <w:right w:val="none" w:sz="0" w:space="0" w:color="auto"/>
                          </w:divBdr>
                        </w:div>
                      </w:divsChild>
                    </w:div>
                    <w:div w:id="846406726">
                      <w:marLeft w:val="0"/>
                      <w:marRight w:val="0"/>
                      <w:marTop w:val="0"/>
                      <w:marBottom w:val="0"/>
                      <w:divBdr>
                        <w:top w:val="none" w:sz="0" w:space="0" w:color="auto"/>
                        <w:left w:val="none" w:sz="0" w:space="0" w:color="auto"/>
                        <w:bottom w:val="none" w:sz="0" w:space="0" w:color="auto"/>
                        <w:right w:val="none" w:sz="0" w:space="0" w:color="auto"/>
                      </w:divBdr>
                    </w:div>
                    <w:div w:id="1092168536">
                      <w:marLeft w:val="0"/>
                      <w:marRight w:val="0"/>
                      <w:marTop w:val="0"/>
                      <w:marBottom w:val="0"/>
                      <w:divBdr>
                        <w:top w:val="none" w:sz="0" w:space="0" w:color="auto"/>
                        <w:left w:val="none" w:sz="0" w:space="0" w:color="auto"/>
                        <w:bottom w:val="none" w:sz="0" w:space="0" w:color="auto"/>
                        <w:right w:val="none" w:sz="0" w:space="0" w:color="auto"/>
                      </w:divBdr>
                      <w:divsChild>
                        <w:div w:id="237713337">
                          <w:marLeft w:val="0"/>
                          <w:marRight w:val="0"/>
                          <w:marTop w:val="0"/>
                          <w:marBottom w:val="0"/>
                          <w:divBdr>
                            <w:top w:val="none" w:sz="0" w:space="0" w:color="auto"/>
                            <w:left w:val="none" w:sz="0" w:space="0" w:color="auto"/>
                            <w:bottom w:val="none" w:sz="0" w:space="0" w:color="auto"/>
                            <w:right w:val="none" w:sz="0" w:space="0" w:color="auto"/>
                          </w:divBdr>
                        </w:div>
                      </w:divsChild>
                    </w:div>
                    <w:div w:id="1678115464">
                      <w:marLeft w:val="0"/>
                      <w:marRight w:val="0"/>
                      <w:marTop w:val="0"/>
                      <w:marBottom w:val="0"/>
                      <w:divBdr>
                        <w:top w:val="none" w:sz="0" w:space="0" w:color="auto"/>
                        <w:left w:val="none" w:sz="0" w:space="0" w:color="auto"/>
                        <w:bottom w:val="none" w:sz="0" w:space="0" w:color="auto"/>
                        <w:right w:val="none" w:sz="0" w:space="0" w:color="auto"/>
                      </w:divBdr>
                      <w:divsChild>
                        <w:div w:id="1262881945">
                          <w:marLeft w:val="0"/>
                          <w:marRight w:val="0"/>
                          <w:marTop w:val="0"/>
                          <w:marBottom w:val="0"/>
                          <w:divBdr>
                            <w:top w:val="none" w:sz="0" w:space="0" w:color="auto"/>
                            <w:left w:val="none" w:sz="0" w:space="0" w:color="auto"/>
                            <w:bottom w:val="none" w:sz="0" w:space="0" w:color="auto"/>
                            <w:right w:val="none" w:sz="0" w:space="0" w:color="auto"/>
                          </w:divBdr>
                        </w:div>
                      </w:divsChild>
                    </w:div>
                    <w:div w:id="1837645718">
                      <w:marLeft w:val="0"/>
                      <w:marRight w:val="0"/>
                      <w:marTop w:val="0"/>
                      <w:marBottom w:val="0"/>
                      <w:divBdr>
                        <w:top w:val="none" w:sz="0" w:space="0" w:color="auto"/>
                        <w:left w:val="none" w:sz="0" w:space="0" w:color="auto"/>
                        <w:bottom w:val="none" w:sz="0" w:space="0" w:color="auto"/>
                        <w:right w:val="none" w:sz="0" w:space="0" w:color="auto"/>
                      </w:divBdr>
                      <w:divsChild>
                        <w:div w:id="239484775">
                          <w:marLeft w:val="0"/>
                          <w:marRight w:val="0"/>
                          <w:marTop w:val="0"/>
                          <w:marBottom w:val="0"/>
                          <w:divBdr>
                            <w:top w:val="none" w:sz="0" w:space="0" w:color="auto"/>
                            <w:left w:val="none" w:sz="0" w:space="0" w:color="auto"/>
                            <w:bottom w:val="none" w:sz="0" w:space="0" w:color="auto"/>
                            <w:right w:val="none" w:sz="0" w:space="0" w:color="auto"/>
                          </w:divBdr>
                        </w:div>
                      </w:divsChild>
                    </w:div>
                    <w:div w:id="2101026210">
                      <w:marLeft w:val="0"/>
                      <w:marRight w:val="0"/>
                      <w:marTop w:val="0"/>
                      <w:marBottom w:val="0"/>
                      <w:divBdr>
                        <w:top w:val="none" w:sz="0" w:space="0" w:color="auto"/>
                        <w:left w:val="none" w:sz="0" w:space="0" w:color="auto"/>
                        <w:bottom w:val="none" w:sz="0" w:space="0" w:color="auto"/>
                        <w:right w:val="none" w:sz="0" w:space="0" w:color="auto"/>
                      </w:divBdr>
                      <w:divsChild>
                        <w:div w:id="1476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1288">
      <w:bodyDiv w:val="1"/>
      <w:marLeft w:val="0"/>
      <w:marRight w:val="0"/>
      <w:marTop w:val="0"/>
      <w:marBottom w:val="0"/>
      <w:divBdr>
        <w:top w:val="none" w:sz="0" w:space="0" w:color="auto"/>
        <w:left w:val="none" w:sz="0" w:space="0" w:color="auto"/>
        <w:bottom w:val="none" w:sz="0" w:space="0" w:color="auto"/>
        <w:right w:val="none" w:sz="0" w:space="0" w:color="auto"/>
      </w:divBdr>
      <w:divsChild>
        <w:div w:id="236476229">
          <w:marLeft w:val="0"/>
          <w:marRight w:val="0"/>
          <w:marTop w:val="0"/>
          <w:marBottom w:val="0"/>
          <w:divBdr>
            <w:top w:val="none" w:sz="0" w:space="0" w:color="auto"/>
            <w:left w:val="none" w:sz="0" w:space="0" w:color="auto"/>
            <w:bottom w:val="none" w:sz="0" w:space="0" w:color="auto"/>
            <w:right w:val="none" w:sz="0" w:space="0" w:color="auto"/>
          </w:divBdr>
          <w:divsChild>
            <w:div w:id="853110495">
              <w:marLeft w:val="0"/>
              <w:marRight w:val="0"/>
              <w:marTop w:val="450"/>
              <w:marBottom w:val="0"/>
              <w:divBdr>
                <w:top w:val="none" w:sz="0" w:space="0" w:color="auto"/>
                <w:left w:val="none" w:sz="0" w:space="0" w:color="auto"/>
                <w:bottom w:val="none" w:sz="0" w:space="0" w:color="auto"/>
                <w:right w:val="none" w:sz="0" w:space="0" w:color="auto"/>
              </w:divBdr>
              <w:divsChild>
                <w:div w:id="512456548">
                  <w:marLeft w:val="0"/>
                  <w:marRight w:val="645"/>
                  <w:marTop w:val="0"/>
                  <w:marBottom w:val="0"/>
                  <w:divBdr>
                    <w:top w:val="none" w:sz="0" w:space="0" w:color="auto"/>
                    <w:left w:val="none" w:sz="0" w:space="0" w:color="auto"/>
                    <w:bottom w:val="none" w:sz="0" w:space="0" w:color="auto"/>
                    <w:right w:val="none" w:sz="0" w:space="0" w:color="auto"/>
                  </w:divBdr>
                  <w:divsChild>
                    <w:div w:id="1576815740">
                      <w:marLeft w:val="0"/>
                      <w:marRight w:val="0"/>
                      <w:marTop w:val="0"/>
                      <w:marBottom w:val="0"/>
                      <w:divBdr>
                        <w:top w:val="none" w:sz="0" w:space="0" w:color="auto"/>
                        <w:left w:val="none" w:sz="0" w:space="0" w:color="auto"/>
                        <w:bottom w:val="none" w:sz="0" w:space="0" w:color="auto"/>
                        <w:right w:val="none" w:sz="0" w:space="0" w:color="auto"/>
                      </w:divBdr>
                    </w:div>
                  </w:divsChild>
                </w:div>
                <w:div w:id="690565515">
                  <w:marLeft w:val="0"/>
                  <w:marRight w:val="645"/>
                  <w:marTop w:val="0"/>
                  <w:marBottom w:val="0"/>
                  <w:divBdr>
                    <w:top w:val="none" w:sz="0" w:space="0" w:color="auto"/>
                    <w:left w:val="none" w:sz="0" w:space="0" w:color="auto"/>
                    <w:bottom w:val="none" w:sz="0" w:space="0" w:color="auto"/>
                    <w:right w:val="none" w:sz="0" w:space="0" w:color="auto"/>
                  </w:divBdr>
                  <w:divsChild>
                    <w:div w:id="1511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165">
      <w:bodyDiv w:val="1"/>
      <w:marLeft w:val="0"/>
      <w:marRight w:val="0"/>
      <w:marTop w:val="0"/>
      <w:marBottom w:val="0"/>
      <w:divBdr>
        <w:top w:val="none" w:sz="0" w:space="0" w:color="auto"/>
        <w:left w:val="none" w:sz="0" w:space="0" w:color="auto"/>
        <w:bottom w:val="none" w:sz="0" w:space="0" w:color="auto"/>
        <w:right w:val="none" w:sz="0" w:space="0" w:color="auto"/>
      </w:divBdr>
    </w:div>
    <w:div w:id="648827122">
      <w:bodyDiv w:val="1"/>
      <w:marLeft w:val="0"/>
      <w:marRight w:val="0"/>
      <w:marTop w:val="0"/>
      <w:marBottom w:val="0"/>
      <w:divBdr>
        <w:top w:val="none" w:sz="0" w:space="0" w:color="auto"/>
        <w:left w:val="none" w:sz="0" w:space="0" w:color="auto"/>
        <w:bottom w:val="none" w:sz="0" w:space="0" w:color="auto"/>
        <w:right w:val="none" w:sz="0" w:space="0" w:color="auto"/>
      </w:divBdr>
    </w:div>
    <w:div w:id="940724970">
      <w:bodyDiv w:val="1"/>
      <w:marLeft w:val="0"/>
      <w:marRight w:val="0"/>
      <w:marTop w:val="0"/>
      <w:marBottom w:val="0"/>
      <w:divBdr>
        <w:top w:val="none" w:sz="0" w:space="0" w:color="auto"/>
        <w:left w:val="none" w:sz="0" w:space="0" w:color="auto"/>
        <w:bottom w:val="none" w:sz="0" w:space="0" w:color="auto"/>
        <w:right w:val="none" w:sz="0" w:space="0" w:color="auto"/>
      </w:divBdr>
    </w:div>
    <w:div w:id="1007442851">
      <w:bodyDiv w:val="1"/>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0"/>
          <w:marBottom w:val="750"/>
          <w:divBdr>
            <w:top w:val="none" w:sz="0" w:space="0" w:color="auto"/>
            <w:left w:val="none" w:sz="0" w:space="0" w:color="auto"/>
            <w:bottom w:val="none" w:sz="0" w:space="0" w:color="auto"/>
            <w:right w:val="none" w:sz="0" w:space="0" w:color="auto"/>
          </w:divBdr>
          <w:divsChild>
            <w:div w:id="242959715">
              <w:marLeft w:val="0"/>
              <w:marRight w:val="0"/>
              <w:marTop w:val="0"/>
              <w:marBottom w:val="0"/>
              <w:divBdr>
                <w:top w:val="none" w:sz="0" w:space="0" w:color="auto"/>
                <w:left w:val="none" w:sz="0" w:space="0" w:color="auto"/>
                <w:bottom w:val="none" w:sz="0" w:space="0" w:color="auto"/>
                <w:right w:val="none" w:sz="0" w:space="0" w:color="auto"/>
              </w:divBdr>
              <w:divsChild>
                <w:div w:id="550848574">
                  <w:marLeft w:val="-225"/>
                  <w:marRight w:val="-225"/>
                  <w:marTop w:val="0"/>
                  <w:marBottom w:val="0"/>
                  <w:divBdr>
                    <w:top w:val="none" w:sz="0" w:space="0" w:color="auto"/>
                    <w:left w:val="none" w:sz="0" w:space="0" w:color="auto"/>
                    <w:bottom w:val="none" w:sz="0" w:space="0" w:color="auto"/>
                    <w:right w:val="none" w:sz="0" w:space="0" w:color="auto"/>
                  </w:divBdr>
                  <w:divsChild>
                    <w:div w:id="894976436">
                      <w:marLeft w:val="0"/>
                      <w:marRight w:val="0"/>
                      <w:marTop w:val="0"/>
                      <w:marBottom w:val="0"/>
                      <w:divBdr>
                        <w:top w:val="none" w:sz="0" w:space="0" w:color="auto"/>
                        <w:left w:val="none" w:sz="0" w:space="0" w:color="auto"/>
                        <w:bottom w:val="none" w:sz="0" w:space="0" w:color="auto"/>
                        <w:right w:val="none" w:sz="0" w:space="0" w:color="auto"/>
                      </w:divBdr>
                      <w:divsChild>
                        <w:div w:id="105391224">
                          <w:marLeft w:val="-225"/>
                          <w:marRight w:val="-225"/>
                          <w:marTop w:val="0"/>
                          <w:marBottom w:val="0"/>
                          <w:divBdr>
                            <w:top w:val="none" w:sz="0" w:space="0" w:color="auto"/>
                            <w:left w:val="none" w:sz="0" w:space="0" w:color="auto"/>
                            <w:bottom w:val="none" w:sz="0" w:space="0" w:color="auto"/>
                            <w:right w:val="none" w:sz="0" w:space="0" w:color="auto"/>
                          </w:divBdr>
                          <w:divsChild>
                            <w:div w:id="570189888">
                              <w:marLeft w:val="0"/>
                              <w:marRight w:val="0"/>
                              <w:marTop w:val="0"/>
                              <w:marBottom w:val="0"/>
                              <w:divBdr>
                                <w:top w:val="none" w:sz="0" w:space="0" w:color="auto"/>
                                <w:left w:val="none" w:sz="0" w:space="0" w:color="auto"/>
                                <w:bottom w:val="none" w:sz="0" w:space="0" w:color="auto"/>
                                <w:right w:val="none" w:sz="0" w:space="0" w:color="auto"/>
                              </w:divBdr>
                            </w:div>
                          </w:divsChild>
                        </w:div>
                        <w:div w:id="461770611">
                          <w:marLeft w:val="-225"/>
                          <w:marRight w:val="-225"/>
                          <w:marTop w:val="0"/>
                          <w:marBottom w:val="0"/>
                          <w:divBdr>
                            <w:top w:val="none" w:sz="0" w:space="0" w:color="auto"/>
                            <w:left w:val="none" w:sz="0" w:space="0" w:color="auto"/>
                            <w:bottom w:val="none" w:sz="0" w:space="0" w:color="auto"/>
                            <w:right w:val="none" w:sz="0" w:space="0" w:color="auto"/>
                          </w:divBdr>
                          <w:divsChild>
                            <w:div w:id="824781234">
                              <w:marLeft w:val="0"/>
                              <w:marRight w:val="0"/>
                              <w:marTop w:val="0"/>
                              <w:marBottom w:val="0"/>
                              <w:divBdr>
                                <w:top w:val="none" w:sz="0" w:space="0" w:color="auto"/>
                                <w:left w:val="none" w:sz="0" w:space="0" w:color="auto"/>
                                <w:bottom w:val="none" w:sz="0" w:space="0" w:color="auto"/>
                                <w:right w:val="none" w:sz="0" w:space="0" w:color="auto"/>
                              </w:divBdr>
                              <w:divsChild>
                                <w:div w:id="520052560">
                                  <w:marLeft w:val="-75"/>
                                  <w:marRight w:val="0"/>
                                  <w:marTop w:val="0"/>
                                  <w:marBottom w:val="0"/>
                                  <w:divBdr>
                                    <w:top w:val="none" w:sz="0" w:space="0" w:color="auto"/>
                                    <w:left w:val="none" w:sz="0" w:space="0" w:color="auto"/>
                                    <w:bottom w:val="none" w:sz="0" w:space="0" w:color="auto"/>
                                    <w:right w:val="none" w:sz="0" w:space="0" w:color="auto"/>
                                  </w:divBdr>
                                  <w:divsChild>
                                    <w:div w:id="50153096">
                                      <w:marLeft w:val="0"/>
                                      <w:marRight w:val="0"/>
                                      <w:marTop w:val="0"/>
                                      <w:marBottom w:val="0"/>
                                      <w:divBdr>
                                        <w:top w:val="none" w:sz="0" w:space="0" w:color="auto"/>
                                        <w:left w:val="none" w:sz="0" w:space="0" w:color="auto"/>
                                        <w:bottom w:val="none" w:sz="0" w:space="0" w:color="auto"/>
                                        <w:right w:val="none" w:sz="0" w:space="0" w:color="auto"/>
                                      </w:divBdr>
                                    </w:div>
                                    <w:div w:id="16287035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3136735">
                              <w:marLeft w:val="0"/>
                              <w:marRight w:val="0"/>
                              <w:marTop w:val="0"/>
                              <w:marBottom w:val="0"/>
                              <w:divBdr>
                                <w:top w:val="none" w:sz="0" w:space="0" w:color="auto"/>
                                <w:left w:val="none" w:sz="0" w:space="0" w:color="auto"/>
                                <w:bottom w:val="none" w:sz="0" w:space="0" w:color="auto"/>
                                <w:right w:val="none" w:sz="0" w:space="0" w:color="auto"/>
                              </w:divBdr>
                              <w:divsChild>
                                <w:div w:id="980647296">
                                  <w:marLeft w:val="-75"/>
                                  <w:marRight w:val="0"/>
                                  <w:marTop w:val="0"/>
                                  <w:marBottom w:val="0"/>
                                  <w:divBdr>
                                    <w:top w:val="none" w:sz="0" w:space="0" w:color="auto"/>
                                    <w:left w:val="none" w:sz="0" w:space="0" w:color="auto"/>
                                    <w:bottom w:val="none" w:sz="0" w:space="0" w:color="auto"/>
                                    <w:right w:val="none" w:sz="0" w:space="0" w:color="auto"/>
                                  </w:divBdr>
                                  <w:divsChild>
                                    <w:div w:id="849680902">
                                      <w:marLeft w:val="0"/>
                                      <w:marRight w:val="0"/>
                                      <w:marTop w:val="0"/>
                                      <w:marBottom w:val="0"/>
                                      <w:divBdr>
                                        <w:top w:val="none" w:sz="0" w:space="0" w:color="auto"/>
                                        <w:left w:val="none" w:sz="0" w:space="0" w:color="auto"/>
                                        <w:bottom w:val="none" w:sz="0" w:space="0" w:color="auto"/>
                                        <w:right w:val="none" w:sz="0" w:space="0" w:color="auto"/>
                                      </w:divBdr>
                                    </w:div>
                                    <w:div w:id="1488089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38989">
      <w:bodyDiv w:val="1"/>
      <w:marLeft w:val="0"/>
      <w:marRight w:val="0"/>
      <w:marTop w:val="0"/>
      <w:marBottom w:val="0"/>
      <w:divBdr>
        <w:top w:val="none" w:sz="0" w:space="0" w:color="auto"/>
        <w:left w:val="none" w:sz="0" w:space="0" w:color="auto"/>
        <w:bottom w:val="none" w:sz="0" w:space="0" w:color="auto"/>
        <w:right w:val="none" w:sz="0" w:space="0" w:color="auto"/>
      </w:divBdr>
      <w:divsChild>
        <w:div w:id="45837211">
          <w:marLeft w:val="547"/>
          <w:marRight w:val="0"/>
          <w:marTop w:val="0"/>
          <w:marBottom w:val="0"/>
          <w:divBdr>
            <w:top w:val="none" w:sz="0" w:space="0" w:color="auto"/>
            <w:left w:val="none" w:sz="0" w:space="0" w:color="auto"/>
            <w:bottom w:val="none" w:sz="0" w:space="0" w:color="auto"/>
            <w:right w:val="none" w:sz="0" w:space="0" w:color="auto"/>
          </w:divBdr>
        </w:div>
        <w:div w:id="899292701">
          <w:marLeft w:val="547"/>
          <w:marRight w:val="0"/>
          <w:marTop w:val="0"/>
          <w:marBottom w:val="0"/>
          <w:divBdr>
            <w:top w:val="none" w:sz="0" w:space="0" w:color="auto"/>
            <w:left w:val="none" w:sz="0" w:space="0" w:color="auto"/>
            <w:bottom w:val="none" w:sz="0" w:space="0" w:color="auto"/>
            <w:right w:val="none" w:sz="0" w:space="0" w:color="auto"/>
          </w:divBdr>
        </w:div>
        <w:div w:id="1721435441">
          <w:marLeft w:val="547"/>
          <w:marRight w:val="0"/>
          <w:marTop w:val="0"/>
          <w:marBottom w:val="0"/>
          <w:divBdr>
            <w:top w:val="none" w:sz="0" w:space="0" w:color="auto"/>
            <w:left w:val="none" w:sz="0" w:space="0" w:color="auto"/>
            <w:bottom w:val="none" w:sz="0" w:space="0" w:color="auto"/>
            <w:right w:val="none" w:sz="0" w:space="0" w:color="auto"/>
          </w:divBdr>
        </w:div>
      </w:divsChild>
    </w:div>
    <w:div w:id="1066104653">
      <w:bodyDiv w:val="1"/>
      <w:marLeft w:val="0"/>
      <w:marRight w:val="0"/>
      <w:marTop w:val="0"/>
      <w:marBottom w:val="0"/>
      <w:divBdr>
        <w:top w:val="none" w:sz="0" w:space="0" w:color="auto"/>
        <w:left w:val="none" w:sz="0" w:space="0" w:color="auto"/>
        <w:bottom w:val="none" w:sz="0" w:space="0" w:color="auto"/>
        <w:right w:val="none" w:sz="0" w:space="0" w:color="auto"/>
      </w:divBdr>
      <w:divsChild>
        <w:div w:id="1161508179">
          <w:marLeft w:val="0"/>
          <w:marRight w:val="0"/>
          <w:marTop w:val="0"/>
          <w:marBottom w:val="0"/>
          <w:divBdr>
            <w:top w:val="none" w:sz="0" w:space="0" w:color="auto"/>
            <w:left w:val="none" w:sz="0" w:space="0" w:color="auto"/>
            <w:bottom w:val="none" w:sz="0" w:space="0" w:color="auto"/>
            <w:right w:val="none" w:sz="0" w:space="0" w:color="auto"/>
          </w:divBdr>
          <w:divsChild>
            <w:div w:id="243956940">
              <w:marLeft w:val="1"/>
              <w:marRight w:val="1"/>
              <w:marTop w:val="1"/>
              <w:marBottom w:val="1"/>
              <w:divBdr>
                <w:top w:val="none" w:sz="0" w:space="0" w:color="auto"/>
                <w:left w:val="none" w:sz="0" w:space="0" w:color="auto"/>
                <w:bottom w:val="none" w:sz="0" w:space="0" w:color="auto"/>
                <w:right w:val="none" w:sz="0" w:space="0" w:color="auto"/>
              </w:divBdr>
              <w:divsChild>
                <w:div w:id="678510340">
                  <w:marLeft w:val="0"/>
                  <w:marRight w:val="0"/>
                  <w:marTop w:val="0"/>
                  <w:marBottom w:val="0"/>
                  <w:divBdr>
                    <w:top w:val="none" w:sz="0" w:space="0" w:color="auto"/>
                    <w:left w:val="none" w:sz="0" w:space="0" w:color="auto"/>
                    <w:bottom w:val="none" w:sz="0" w:space="0" w:color="auto"/>
                    <w:right w:val="none" w:sz="0" w:space="0" w:color="auto"/>
                  </w:divBdr>
                  <w:divsChild>
                    <w:div w:id="1177035256">
                      <w:marLeft w:val="0"/>
                      <w:marRight w:val="0"/>
                      <w:marTop w:val="0"/>
                      <w:marBottom w:val="0"/>
                      <w:divBdr>
                        <w:top w:val="none" w:sz="0" w:space="0" w:color="auto"/>
                        <w:left w:val="none" w:sz="0" w:space="0" w:color="auto"/>
                        <w:bottom w:val="none" w:sz="0" w:space="0" w:color="auto"/>
                        <w:right w:val="none" w:sz="0" w:space="0" w:color="auto"/>
                      </w:divBdr>
                    </w:div>
                    <w:div w:id="1391733822">
                      <w:marLeft w:val="0"/>
                      <w:marRight w:val="0"/>
                      <w:marTop w:val="0"/>
                      <w:marBottom w:val="0"/>
                      <w:divBdr>
                        <w:top w:val="none" w:sz="0" w:space="0" w:color="auto"/>
                        <w:left w:val="none" w:sz="0" w:space="0" w:color="auto"/>
                        <w:bottom w:val="none" w:sz="0" w:space="0" w:color="auto"/>
                        <w:right w:val="none" w:sz="0" w:space="0" w:color="auto"/>
                      </w:divBdr>
                      <w:divsChild>
                        <w:div w:id="864903791">
                          <w:marLeft w:val="0"/>
                          <w:marRight w:val="0"/>
                          <w:marTop w:val="0"/>
                          <w:marBottom w:val="0"/>
                          <w:divBdr>
                            <w:top w:val="none" w:sz="0" w:space="0" w:color="auto"/>
                            <w:left w:val="none" w:sz="0" w:space="0" w:color="auto"/>
                            <w:bottom w:val="none" w:sz="0" w:space="0" w:color="auto"/>
                            <w:right w:val="none" w:sz="0" w:space="0" w:color="auto"/>
                          </w:divBdr>
                        </w:div>
                      </w:divsChild>
                    </w:div>
                    <w:div w:id="1893342275">
                      <w:marLeft w:val="0"/>
                      <w:marRight w:val="0"/>
                      <w:marTop w:val="0"/>
                      <w:marBottom w:val="0"/>
                      <w:divBdr>
                        <w:top w:val="none" w:sz="0" w:space="0" w:color="auto"/>
                        <w:left w:val="none" w:sz="0" w:space="0" w:color="auto"/>
                        <w:bottom w:val="none" w:sz="0" w:space="0" w:color="auto"/>
                        <w:right w:val="none" w:sz="0" w:space="0" w:color="auto"/>
                      </w:divBdr>
                      <w:divsChild>
                        <w:div w:id="1721973644">
                          <w:marLeft w:val="0"/>
                          <w:marRight w:val="0"/>
                          <w:marTop w:val="0"/>
                          <w:marBottom w:val="0"/>
                          <w:divBdr>
                            <w:top w:val="none" w:sz="0" w:space="0" w:color="auto"/>
                            <w:left w:val="none" w:sz="0" w:space="0" w:color="auto"/>
                            <w:bottom w:val="none" w:sz="0" w:space="0" w:color="auto"/>
                            <w:right w:val="none" w:sz="0" w:space="0" w:color="auto"/>
                          </w:divBdr>
                        </w:div>
                      </w:divsChild>
                    </w:div>
                    <w:div w:id="1942760004">
                      <w:marLeft w:val="0"/>
                      <w:marRight w:val="0"/>
                      <w:marTop w:val="0"/>
                      <w:marBottom w:val="0"/>
                      <w:divBdr>
                        <w:top w:val="none" w:sz="0" w:space="0" w:color="auto"/>
                        <w:left w:val="none" w:sz="0" w:space="0" w:color="auto"/>
                        <w:bottom w:val="none" w:sz="0" w:space="0" w:color="auto"/>
                        <w:right w:val="none" w:sz="0" w:space="0" w:color="auto"/>
                      </w:divBdr>
                      <w:divsChild>
                        <w:div w:id="1884633398">
                          <w:marLeft w:val="0"/>
                          <w:marRight w:val="0"/>
                          <w:marTop w:val="0"/>
                          <w:marBottom w:val="0"/>
                          <w:divBdr>
                            <w:top w:val="none" w:sz="0" w:space="0" w:color="auto"/>
                            <w:left w:val="none" w:sz="0" w:space="0" w:color="auto"/>
                            <w:bottom w:val="none" w:sz="0" w:space="0" w:color="auto"/>
                            <w:right w:val="none" w:sz="0" w:space="0" w:color="auto"/>
                          </w:divBdr>
                        </w:div>
                      </w:divsChild>
                    </w:div>
                    <w:div w:id="1975132717">
                      <w:marLeft w:val="0"/>
                      <w:marRight w:val="0"/>
                      <w:marTop w:val="0"/>
                      <w:marBottom w:val="0"/>
                      <w:divBdr>
                        <w:top w:val="none" w:sz="0" w:space="0" w:color="auto"/>
                        <w:left w:val="none" w:sz="0" w:space="0" w:color="auto"/>
                        <w:bottom w:val="none" w:sz="0" w:space="0" w:color="auto"/>
                        <w:right w:val="none" w:sz="0" w:space="0" w:color="auto"/>
                      </w:divBdr>
                      <w:divsChild>
                        <w:div w:id="374936854">
                          <w:marLeft w:val="0"/>
                          <w:marRight w:val="0"/>
                          <w:marTop w:val="0"/>
                          <w:marBottom w:val="0"/>
                          <w:divBdr>
                            <w:top w:val="none" w:sz="0" w:space="0" w:color="auto"/>
                            <w:left w:val="none" w:sz="0" w:space="0" w:color="auto"/>
                            <w:bottom w:val="none" w:sz="0" w:space="0" w:color="auto"/>
                            <w:right w:val="none" w:sz="0" w:space="0" w:color="auto"/>
                          </w:divBdr>
                        </w:div>
                      </w:divsChild>
                    </w:div>
                    <w:div w:id="1989018587">
                      <w:marLeft w:val="0"/>
                      <w:marRight w:val="0"/>
                      <w:marTop w:val="0"/>
                      <w:marBottom w:val="0"/>
                      <w:divBdr>
                        <w:top w:val="none" w:sz="0" w:space="0" w:color="auto"/>
                        <w:left w:val="none" w:sz="0" w:space="0" w:color="auto"/>
                        <w:bottom w:val="none" w:sz="0" w:space="0" w:color="auto"/>
                        <w:right w:val="none" w:sz="0" w:space="0" w:color="auto"/>
                      </w:divBdr>
                      <w:divsChild>
                        <w:div w:id="12830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90294">
      <w:bodyDiv w:val="1"/>
      <w:marLeft w:val="0"/>
      <w:marRight w:val="0"/>
      <w:marTop w:val="0"/>
      <w:marBottom w:val="0"/>
      <w:divBdr>
        <w:top w:val="none" w:sz="0" w:space="0" w:color="auto"/>
        <w:left w:val="none" w:sz="0" w:space="0" w:color="auto"/>
        <w:bottom w:val="none" w:sz="0" w:space="0" w:color="auto"/>
        <w:right w:val="none" w:sz="0" w:space="0" w:color="auto"/>
      </w:divBdr>
    </w:div>
    <w:div w:id="1197815236">
      <w:bodyDiv w:val="1"/>
      <w:marLeft w:val="0"/>
      <w:marRight w:val="0"/>
      <w:marTop w:val="0"/>
      <w:marBottom w:val="0"/>
      <w:divBdr>
        <w:top w:val="none" w:sz="0" w:space="0" w:color="auto"/>
        <w:left w:val="none" w:sz="0" w:space="0" w:color="auto"/>
        <w:bottom w:val="none" w:sz="0" w:space="0" w:color="auto"/>
        <w:right w:val="none" w:sz="0" w:space="0" w:color="auto"/>
      </w:divBdr>
      <w:divsChild>
        <w:div w:id="503207160">
          <w:marLeft w:val="1166"/>
          <w:marRight w:val="0"/>
          <w:marTop w:val="58"/>
          <w:marBottom w:val="0"/>
          <w:divBdr>
            <w:top w:val="none" w:sz="0" w:space="0" w:color="auto"/>
            <w:left w:val="none" w:sz="0" w:space="0" w:color="auto"/>
            <w:bottom w:val="none" w:sz="0" w:space="0" w:color="auto"/>
            <w:right w:val="none" w:sz="0" w:space="0" w:color="auto"/>
          </w:divBdr>
        </w:div>
        <w:div w:id="715395024">
          <w:marLeft w:val="547"/>
          <w:marRight w:val="0"/>
          <w:marTop w:val="67"/>
          <w:marBottom w:val="0"/>
          <w:divBdr>
            <w:top w:val="none" w:sz="0" w:space="0" w:color="auto"/>
            <w:left w:val="none" w:sz="0" w:space="0" w:color="auto"/>
            <w:bottom w:val="none" w:sz="0" w:space="0" w:color="auto"/>
            <w:right w:val="none" w:sz="0" w:space="0" w:color="auto"/>
          </w:divBdr>
        </w:div>
      </w:divsChild>
    </w:div>
    <w:div w:id="1205680711">
      <w:bodyDiv w:val="1"/>
      <w:marLeft w:val="0"/>
      <w:marRight w:val="0"/>
      <w:marTop w:val="0"/>
      <w:marBottom w:val="0"/>
      <w:divBdr>
        <w:top w:val="none" w:sz="0" w:space="0" w:color="auto"/>
        <w:left w:val="none" w:sz="0" w:space="0" w:color="auto"/>
        <w:bottom w:val="none" w:sz="0" w:space="0" w:color="auto"/>
        <w:right w:val="none" w:sz="0" w:space="0" w:color="auto"/>
      </w:divBdr>
      <w:divsChild>
        <w:div w:id="1725132793">
          <w:marLeft w:val="0"/>
          <w:marRight w:val="0"/>
          <w:marTop w:val="0"/>
          <w:marBottom w:val="0"/>
          <w:divBdr>
            <w:top w:val="none" w:sz="0" w:space="0" w:color="auto"/>
            <w:left w:val="none" w:sz="0" w:space="0" w:color="auto"/>
            <w:bottom w:val="none" w:sz="0" w:space="0" w:color="auto"/>
            <w:right w:val="none" w:sz="0" w:space="0" w:color="auto"/>
          </w:divBdr>
          <w:divsChild>
            <w:div w:id="838040611">
              <w:marLeft w:val="1"/>
              <w:marRight w:val="1"/>
              <w:marTop w:val="1"/>
              <w:marBottom w:val="1"/>
              <w:divBdr>
                <w:top w:val="none" w:sz="0" w:space="0" w:color="auto"/>
                <w:left w:val="none" w:sz="0" w:space="0" w:color="auto"/>
                <w:bottom w:val="none" w:sz="0" w:space="0" w:color="auto"/>
                <w:right w:val="none" w:sz="0" w:space="0" w:color="auto"/>
              </w:divBdr>
              <w:divsChild>
                <w:div w:id="11149012">
                  <w:marLeft w:val="0"/>
                  <w:marRight w:val="0"/>
                  <w:marTop w:val="0"/>
                  <w:marBottom w:val="0"/>
                  <w:divBdr>
                    <w:top w:val="none" w:sz="0" w:space="0" w:color="auto"/>
                    <w:left w:val="none" w:sz="0" w:space="0" w:color="auto"/>
                    <w:bottom w:val="none" w:sz="0" w:space="0" w:color="auto"/>
                    <w:right w:val="none" w:sz="0" w:space="0" w:color="auto"/>
                  </w:divBdr>
                  <w:divsChild>
                    <w:div w:id="758596436">
                      <w:marLeft w:val="0"/>
                      <w:marRight w:val="0"/>
                      <w:marTop w:val="0"/>
                      <w:marBottom w:val="0"/>
                      <w:divBdr>
                        <w:top w:val="none" w:sz="0" w:space="0" w:color="auto"/>
                        <w:left w:val="none" w:sz="0" w:space="0" w:color="auto"/>
                        <w:bottom w:val="none" w:sz="0" w:space="0" w:color="auto"/>
                        <w:right w:val="none" w:sz="0" w:space="0" w:color="auto"/>
                      </w:divBdr>
                      <w:divsChild>
                        <w:div w:id="1266646917">
                          <w:marLeft w:val="0"/>
                          <w:marRight w:val="0"/>
                          <w:marTop w:val="0"/>
                          <w:marBottom w:val="0"/>
                          <w:divBdr>
                            <w:top w:val="none" w:sz="0" w:space="0" w:color="auto"/>
                            <w:left w:val="none" w:sz="0" w:space="0" w:color="auto"/>
                            <w:bottom w:val="none" w:sz="0" w:space="0" w:color="auto"/>
                            <w:right w:val="none" w:sz="0" w:space="0" w:color="auto"/>
                          </w:divBdr>
                        </w:div>
                      </w:divsChild>
                    </w:div>
                    <w:div w:id="1414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5262">
      <w:bodyDiv w:val="1"/>
      <w:marLeft w:val="0"/>
      <w:marRight w:val="0"/>
      <w:marTop w:val="0"/>
      <w:marBottom w:val="0"/>
      <w:divBdr>
        <w:top w:val="none" w:sz="0" w:space="0" w:color="auto"/>
        <w:left w:val="none" w:sz="0" w:space="0" w:color="auto"/>
        <w:bottom w:val="none" w:sz="0" w:space="0" w:color="auto"/>
        <w:right w:val="none" w:sz="0" w:space="0" w:color="auto"/>
      </w:divBdr>
      <w:divsChild>
        <w:div w:id="733161030">
          <w:marLeft w:val="547"/>
          <w:marRight w:val="0"/>
          <w:marTop w:val="86"/>
          <w:marBottom w:val="0"/>
          <w:divBdr>
            <w:top w:val="none" w:sz="0" w:space="0" w:color="auto"/>
            <w:left w:val="none" w:sz="0" w:space="0" w:color="auto"/>
            <w:bottom w:val="none" w:sz="0" w:space="0" w:color="auto"/>
            <w:right w:val="none" w:sz="0" w:space="0" w:color="auto"/>
          </w:divBdr>
        </w:div>
        <w:div w:id="1028795430">
          <w:marLeft w:val="547"/>
          <w:marRight w:val="0"/>
          <w:marTop w:val="86"/>
          <w:marBottom w:val="0"/>
          <w:divBdr>
            <w:top w:val="none" w:sz="0" w:space="0" w:color="auto"/>
            <w:left w:val="none" w:sz="0" w:space="0" w:color="auto"/>
            <w:bottom w:val="none" w:sz="0" w:space="0" w:color="auto"/>
            <w:right w:val="none" w:sz="0" w:space="0" w:color="auto"/>
          </w:divBdr>
        </w:div>
        <w:div w:id="1361122154">
          <w:marLeft w:val="547"/>
          <w:marRight w:val="0"/>
          <w:marTop w:val="86"/>
          <w:marBottom w:val="0"/>
          <w:divBdr>
            <w:top w:val="none" w:sz="0" w:space="0" w:color="auto"/>
            <w:left w:val="none" w:sz="0" w:space="0" w:color="auto"/>
            <w:bottom w:val="none" w:sz="0" w:space="0" w:color="auto"/>
            <w:right w:val="none" w:sz="0" w:space="0" w:color="auto"/>
          </w:divBdr>
        </w:div>
        <w:div w:id="1376539906">
          <w:marLeft w:val="547"/>
          <w:marRight w:val="0"/>
          <w:marTop w:val="86"/>
          <w:marBottom w:val="0"/>
          <w:divBdr>
            <w:top w:val="none" w:sz="0" w:space="0" w:color="auto"/>
            <w:left w:val="none" w:sz="0" w:space="0" w:color="auto"/>
            <w:bottom w:val="none" w:sz="0" w:space="0" w:color="auto"/>
            <w:right w:val="none" w:sz="0" w:space="0" w:color="auto"/>
          </w:divBdr>
        </w:div>
        <w:div w:id="1401828196">
          <w:marLeft w:val="547"/>
          <w:marRight w:val="0"/>
          <w:marTop w:val="86"/>
          <w:marBottom w:val="0"/>
          <w:divBdr>
            <w:top w:val="none" w:sz="0" w:space="0" w:color="auto"/>
            <w:left w:val="none" w:sz="0" w:space="0" w:color="auto"/>
            <w:bottom w:val="none" w:sz="0" w:space="0" w:color="auto"/>
            <w:right w:val="none" w:sz="0" w:space="0" w:color="auto"/>
          </w:divBdr>
        </w:div>
        <w:div w:id="1583879353">
          <w:marLeft w:val="547"/>
          <w:marRight w:val="0"/>
          <w:marTop w:val="86"/>
          <w:marBottom w:val="0"/>
          <w:divBdr>
            <w:top w:val="none" w:sz="0" w:space="0" w:color="auto"/>
            <w:left w:val="none" w:sz="0" w:space="0" w:color="auto"/>
            <w:bottom w:val="none" w:sz="0" w:space="0" w:color="auto"/>
            <w:right w:val="none" w:sz="0" w:space="0" w:color="auto"/>
          </w:divBdr>
        </w:div>
        <w:div w:id="1673099961">
          <w:marLeft w:val="547"/>
          <w:marRight w:val="0"/>
          <w:marTop w:val="86"/>
          <w:marBottom w:val="0"/>
          <w:divBdr>
            <w:top w:val="none" w:sz="0" w:space="0" w:color="auto"/>
            <w:left w:val="none" w:sz="0" w:space="0" w:color="auto"/>
            <w:bottom w:val="none" w:sz="0" w:space="0" w:color="auto"/>
            <w:right w:val="none" w:sz="0" w:space="0" w:color="auto"/>
          </w:divBdr>
        </w:div>
        <w:div w:id="1756320571">
          <w:marLeft w:val="547"/>
          <w:marRight w:val="0"/>
          <w:marTop w:val="86"/>
          <w:marBottom w:val="0"/>
          <w:divBdr>
            <w:top w:val="none" w:sz="0" w:space="0" w:color="auto"/>
            <w:left w:val="none" w:sz="0" w:space="0" w:color="auto"/>
            <w:bottom w:val="none" w:sz="0" w:space="0" w:color="auto"/>
            <w:right w:val="none" w:sz="0" w:space="0" w:color="auto"/>
          </w:divBdr>
        </w:div>
        <w:div w:id="1868323933">
          <w:marLeft w:val="547"/>
          <w:marRight w:val="0"/>
          <w:marTop w:val="86"/>
          <w:marBottom w:val="0"/>
          <w:divBdr>
            <w:top w:val="none" w:sz="0" w:space="0" w:color="auto"/>
            <w:left w:val="none" w:sz="0" w:space="0" w:color="auto"/>
            <w:bottom w:val="none" w:sz="0" w:space="0" w:color="auto"/>
            <w:right w:val="none" w:sz="0" w:space="0" w:color="auto"/>
          </w:divBdr>
        </w:div>
      </w:divsChild>
    </w:div>
    <w:div w:id="1422676413">
      <w:bodyDiv w:val="1"/>
      <w:marLeft w:val="0"/>
      <w:marRight w:val="0"/>
      <w:marTop w:val="0"/>
      <w:marBottom w:val="0"/>
      <w:divBdr>
        <w:top w:val="none" w:sz="0" w:space="0" w:color="auto"/>
        <w:left w:val="none" w:sz="0" w:space="0" w:color="auto"/>
        <w:bottom w:val="none" w:sz="0" w:space="0" w:color="auto"/>
        <w:right w:val="none" w:sz="0" w:space="0" w:color="auto"/>
      </w:divBdr>
      <w:divsChild>
        <w:div w:id="138230453">
          <w:marLeft w:val="547"/>
          <w:marRight w:val="0"/>
          <w:marTop w:val="0"/>
          <w:marBottom w:val="0"/>
          <w:divBdr>
            <w:top w:val="none" w:sz="0" w:space="0" w:color="auto"/>
            <w:left w:val="none" w:sz="0" w:space="0" w:color="auto"/>
            <w:bottom w:val="none" w:sz="0" w:space="0" w:color="auto"/>
            <w:right w:val="none" w:sz="0" w:space="0" w:color="auto"/>
          </w:divBdr>
        </w:div>
        <w:div w:id="284316790">
          <w:marLeft w:val="547"/>
          <w:marRight w:val="0"/>
          <w:marTop w:val="0"/>
          <w:marBottom w:val="0"/>
          <w:divBdr>
            <w:top w:val="none" w:sz="0" w:space="0" w:color="auto"/>
            <w:left w:val="none" w:sz="0" w:space="0" w:color="auto"/>
            <w:bottom w:val="none" w:sz="0" w:space="0" w:color="auto"/>
            <w:right w:val="none" w:sz="0" w:space="0" w:color="auto"/>
          </w:divBdr>
        </w:div>
        <w:div w:id="954365529">
          <w:marLeft w:val="547"/>
          <w:marRight w:val="0"/>
          <w:marTop w:val="0"/>
          <w:marBottom w:val="0"/>
          <w:divBdr>
            <w:top w:val="none" w:sz="0" w:space="0" w:color="auto"/>
            <w:left w:val="none" w:sz="0" w:space="0" w:color="auto"/>
            <w:bottom w:val="none" w:sz="0" w:space="0" w:color="auto"/>
            <w:right w:val="none" w:sz="0" w:space="0" w:color="auto"/>
          </w:divBdr>
        </w:div>
      </w:divsChild>
    </w:div>
    <w:div w:id="1648316871">
      <w:bodyDiv w:val="1"/>
      <w:marLeft w:val="0"/>
      <w:marRight w:val="0"/>
      <w:marTop w:val="0"/>
      <w:marBottom w:val="0"/>
      <w:divBdr>
        <w:top w:val="none" w:sz="0" w:space="0" w:color="auto"/>
        <w:left w:val="none" w:sz="0" w:space="0" w:color="auto"/>
        <w:bottom w:val="none" w:sz="0" w:space="0" w:color="auto"/>
        <w:right w:val="none" w:sz="0" w:space="0" w:color="auto"/>
      </w:divBdr>
    </w:div>
    <w:div w:id="1670401060">
      <w:bodyDiv w:val="1"/>
      <w:marLeft w:val="0"/>
      <w:marRight w:val="0"/>
      <w:marTop w:val="0"/>
      <w:marBottom w:val="0"/>
      <w:divBdr>
        <w:top w:val="none" w:sz="0" w:space="0" w:color="auto"/>
        <w:left w:val="none" w:sz="0" w:space="0" w:color="auto"/>
        <w:bottom w:val="none" w:sz="0" w:space="0" w:color="auto"/>
        <w:right w:val="none" w:sz="0" w:space="0" w:color="auto"/>
      </w:divBdr>
    </w:div>
    <w:div w:id="1673296506">
      <w:bodyDiv w:val="1"/>
      <w:marLeft w:val="0"/>
      <w:marRight w:val="0"/>
      <w:marTop w:val="0"/>
      <w:marBottom w:val="0"/>
      <w:divBdr>
        <w:top w:val="none" w:sz="0" w:space="0" w:color="auto"/>
        <w:left w:val="none" w:sz="0" w:space="0" w:color="auto"/>
        <w:bottom w:val="none" w:sz="0" w:space="0" w:color="auto"/>
        <w:right w:val="none" w:sz="0" w:space="0" w:color="auto"/>
      </w:divBdr>
    </w:div>
    <w:div w:id="1745108938">
      <w:bodyDiv w:val="1"/>
      <w:marLeft w:val="0"/>
      <w:marRight w:val="0"/>
      <w:marTop w:val="0"/>
      <w:marBottom w:val="0"/>
      <w:divBdr>
        <w:top w:val="none" w:sz="0" w:space="0" w:color="auto"/>
        <w:left w:val="none" w:sz="0" w:space="0" w:color="auto"/>
        <w:bottom w:val="none" w:sz="0" w:space="0" w:color="auto"/>
        <w:right w:val="none" w:sz="0" w:space="0" w:color="auto"/>
      </w:divBdr>
    </w:div>
    <w:div w:id="1934313543">
      <w:bodyDiv w:val="1"/>
      <w:marLeft w:val="0"/>
      <w:marRight w:val="0"/>
      <w:marTop w:val="0"/>
      <w:marBottom w:val="0"/>
      <w:divBdr>
        <w:top w:val="none" w:sz="0" w:space="0" w:color="auto"/>
        <w:left w:val="none" w:sz="0" w:space="0" w:color="auto"/>
        <w:bottom w:val="none" w:sz="0" w:space="0" w:color="auto"/>
        <w:right w:val="none" w:sz="0" w:space="0" w:color="auto"/>
      </w:divBdr>
      <w:divsChild>
        <w:div w:id="1250962655">
          <w:marLeft w:val="0"/>
          <w:marRight w:val="0"/>
          <w:marTop w:val="0"/>
          <w:marBottom w:val="0"/>
          <w:divBdr>
            <w:top w:val="none" w:sz="0" w:space="0" w:color="auto"/>
            <w:left w:val="none" w:sz="0" w:space="0" w:color="auto"/>
            <w:bottom w:val="none" w:sz="0" w:space="0" w:color="auto"/>
            <w:right w:val="none" w:sz="0" w:space="0" w:color="auto"/>
          </w:divBdr>
          <w:divsChild>
            <w:div w:id="1437362072">
              <w:marLeft w:val="0"/>
              <w:marRight w:val="0"/>
              <w:marTop w:val="0"/>
              <w:marBottom w:val="0"/>
              <w:divBdr>
                <w:top w:val="none" w:sz="0" w:space="0" w:color="auto"/>
                <w:left w:val="none" w:sz="0" w:space="0" w:color="auto"/>
                <w:bottom w:val="none" w:sz="0" w:space="0" w:color="auto"/>
                <w:right w:val="none" w:sz="0" w:space="0" w:color="auto"/>
              </w:divBdr>
              <w:divsChild>
                <w:div w:id="540173675">
                  <w:marLeft w:val="0"/>
                  <w:marRight w:val="0"/>
                  <w:marTop w:val="0"/>
                  <w:marBottom w:val="0"/>
                  <w:divBdr>
                    <w:top w:val="none" w:sz="0" w:space="0" w:color="auto"/>
                    <w:left w:val="none" w:sz="0" w:space="0" w:color="auto"/>
                    <w:bottom w:val="none" w:sz="0" w:space="0" w:color="auto"/>
                    <w:right w:val="none" w:sz="0" w:space="0" w:color="auto"/>
                  </w:divBdr>
                  <w:divsChild>
                    <w:div w:id="1756438998">
                      <w:marLeft w:val="0"/>
                      <w:marRight w:val="0"/>
                      <w:marTop w:val="0"/>
                      <w:marBottom w:val="0"/>
                      <w:divBdr>
                        <w:top w:val="none" w:sz="0" w:space="0" w:color="auto"/>
                        <w:left w:val="none" w:sz="0" w:space="0" w:color="auto"/>
                        <w:bottom w:val="none" w:sz="0" w:space="0" w:color="auto"/>
                        <w:right w:val="none" w:sz="0" w:space="0" w:color="auto"/>
                      </w:divBdr>
                      <w:divsChild>
                        <w:div w:id="1092243731">
                          <w:marLeft w:val="0"/>
                          <w:marRight w:val="0"/>
                          <w:marTop w:val="0"/>
                          <w:marBottom w:val="0"/>
                          <w:divBdr>
                            <w:top w:val="none" w:sz="0" w:space="0" w:color="auto"/>
                            <w:left w:val="none" w:sz="0" w:space="0" w:color="auto"/>
                            <w:bottom w:val="none" w:sz="0" w:space="0" w:color="auto"/>
                            <w:right w:val="none" w:sz="0" w:space="0" w:color="auto"/>
                          </w:divBdr>
                          <w:divsChild>
                            <w:div w:id="494996189">
                              <w:marLeft w:val="0"/>
                              <w:marRight w:val="0"/>
                              <w:marTop w:val="0"/>
                              <w:marBottom w:val="0"/>
                              <w:divBdr>
                                <w:top w:val="none" w:sz="0" w:space="0" w:color="auto"/>
                                <w:left w:val="none" w:sz="0" w:space="0" w:color="auto"/>
                                <w:bottom w:val="none" w:sz="0" w:space="0" w:color="auto"/>
                                <w:right w:val="none" w:sz="0" w:space="0" w:color="auto"/>
                              </w:divBdr>
                              <w:divsChild>
                                <w:div w:id="246766189">
                                  <w:marLeft w:val="0"/>
                                  <w:marRight w:val="0"/>
                                  <w:marTop w:val="0"/>
                                  <w:marBottom w:val="0"/>
                                  <w:divBdr>
                                    <w:top w:val="none" w:sz="0" w:space="0" w:color="auto"/>
                                    <w:left w:val="none" w:sz="0" w:space="0" w:color="auto"/>
                                    <w:bottom w:val="none" w:sz="0" w:space="0" w:color="auto"/>
                                    <w:right w:val="none" w:sz="0" w:space="0" w:color="auto"/>
                                  </w:divBdr>
                                  <w:divsChild>
                                    <w:div w:id="1506164410">
                                      <w:marLeft w:val="0"/>
                                      <w:marRight w:val="0"/>
                                      <w:marTop w:val="0"/>
                                      <w:marBottom w:val="0"/>
                                      <w:divBdr>
                                        <w:top w:val="none" w:sz="0" w:space="0" w:color="auto"/>
                                        <w:left w:val="none" w:sz="0" w:space="0" w:color="auto"/>
                                        <w:bottom w:val="none" w:sz="0" w:space="0" w:color="auto"/>
                                        <w:right w:val="none" w:sz="0" w:space="0" w:color="auto"/>
                                      </w:divBdr>
                                      <w:divsChild>
                                        <w:div w:id="8750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49380">
      <w:bodyDiv w:val="1"/>
      <w:marLeft w:val="0"/>
      <w:marRight w:val="0"/>
      <w:marTop w:val="0"/>
      <w:marBottom w:val="0"/>
      <w:divBdr>
        <w:top w:val="none" w:sz="0" w:space="0" w:color="auto"/>
        <w:left w:val="none" w:sz="0" w:space="0" w:color="auto"/>
        <w:bottom w:val="none" w:sz="0" w:space="0" w:color="auto"/>
        <w:right w:val="none" w:sz="0" w:space="0" w:color="auto"/>
      </w:divBdr>
    </w:div>
    <w:div w:id="1993094699">
      <w:bodyDiv w:val="1"/>
      <w:marLeft w:val="0"/>
      <w:marRight w:val="0"/>
      <w:marTop w:val="0"/>
      <w:marBottom w:val="0"/>
      <w:divBdr>
        <w:top w:val="none" w:sz="0" w:space="0" w:color="auto"/>
        <w:left w:val="none" w:sz="0" w:space="0" w:color="auto"/>
        <w:bottom w:val="none" w:sz="0" w:space="0" w:color="auto"/>
        <w:right w:val="none" w:sz="0" w:space="0" w:color="auto"/>
      </w:divBdr>
      <w:divsChild>
        <w:div w:id="1067147938">
          <w:marLeft w:val="0"/>
          <w:marRight w:val="0"/>
          <w:marTop w:val="0"/>
          <w:marBottom w:val="0"/>
          <w:divBdr>
            <w:top w:val="none" w:sz="0" w:space="0" w:color="auto"/>
            <w:left w:val="none" w:sz="0" w:space="0" w:color="auto"/>
            <w:bottom w:val="none" w:sz="0" w:space="0" w:color="auto"/>
            <w:right w:val="none" w:sz="0" w:space="0" w:color="auto"/>
          </w:divBdr>
          <w:divsChild>
            <w:div w:id="2075161336">
              <w:marLeft w:val="0"/>
              <w:marRight w:val="0"/>
              <w:marTop w:val="0"/>
              <w:marBottom w:val="0"/>
              <w:divBdr>
                <w:top w:val="none" w:sz="0" w:space="0" w:color="auto"/>
                <w:left w:val="none" w:sz="0" w:space="0" w:color="auto"/>
                <w:bottom w:val="none" w:sz="0" w:space="0" w:color="auto"/>
                <w:right w:val="none" w:sz="0" w:space="0" w:color="auto"/>
              </w:divBdr>
              <w:divsChild>
                <w:div w:id="764031186">
                  <w:marLeft w:val="0"/>
                  <w:marRight w:val="0"/>
                  <w:marTop w:val="0"/>
                  <w:marBottom w:val="0"/>
                  <w:divBdr>
                    <w:top w:val="none" w:sz="0" w:space="0" w:color="auto"/>
                    <w:left w:val="none" w:sz="0" w:space="0" w:color="auto"/>
                    <w:bottom w:val="none" w:sz="0" w:space="0" w:color="auto"/>
                    <w:right w:val="none" w:sz="0" w:space="0" w:color="auto"/>
                  </w:divBdr>
                  <w:divsChild>
                    <w:div w:id="1163200704">
                      <w:marLeft w:val="0"/>
                      <w:marRight w:val="0"/>
                      <w:marTop w:val="100"/>
                      <w:marBottom w:val="100"/>
                      <w:divBdr>
                        <w:top w:val="none" w:sz="0" w:space="0" w:color="auto"/>
                        <w:left w:val="none" w:sz="0" w:space="0" w:color="auto"/>
                        <w:bottom w:val="none" w:sz="0" w:space="0" w:color="auto"/>
                        <w:right w:val="none" w:sz="0" w:space="0" w:color="auto"/>
                      </w:divBdr>
                      <w:divsChild>
                        <w:div w:id="1488201576">
                          <w:marLeft w:val="0"/>
                          <w:marRight w:val="0"/>
                          <w:marTop w:val="0"/>
                          <w:marBottom w:val="0"/>
                          <w:divBdr>
                            <w:top w:val="none" w:sz="0" w:space="0" w:color="auto"/>
                            <w:left w:val="none" w:sz="0" w:space="0" w:color="auto"/>
                            <w:bottom w:val="none" w:sz="0" w:space="0" w:color="auto"/>
                            <w:right w:val="none" w:sz="0" w:space="0" w:color="auto"/>
                          </w:divBdr>
                          <w:divsChild>
                            <w:div w:id="540361194">
                              <w:marLeft w:val="0"/>
                              <w:marRight w:val="0"/>
                              <w:marTop w:val="0"/>
                              <w:marBottom w:val="0"/>
                              <w:divBdr>
                                <w:top w:val="none" w:sz="0" w:space="0" w:color="auto"/>
                                <w:left w:val="none" w:sz="0" w:space="0" w:color="auto"/>
                                <w:bottom w:val="none" w:sz="0" w:space="0" w:color="auto"/>
                                <w:right w:val="none" w:sz="0" w:space="0" w:color="auto"/>
                              </w:divBdr>
                              <w:divsChild>
                                <w:div w:id="371659251">
                                  <w:marLeft w:val="0"/>
                                  <w:marRight w:val="0"/>
                                  <w:marTop w:val="0"/>
                                  <w:marBottom w:val="0"/>
                                  <w:divBdr>
                                    <w:top w:val="none" w:sz="0" w:space="0" w:color="auto"/>
                                    <w:left w:val="none" w:sz="0" w:space="0" w:color="auto"/>
                                    <w:bottom w:val="none" w:sz="0" w:space="0" w:color="auto"/>
                                    <w:right w:val="none" w:sz="0" w:space="0" w:color="auto"/>
                                  </w:divBdr>
                                  <w:divsChild>
                                    <w:div w:id="14306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7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ir.nmhh.hu/publicview/?p=d&amp;name=3melleklet" TargetMode="Externa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ir.nmhh.hu/publicview/?p=d&amp;name=3melleklet" TargetMode="External"/><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ec/2021/2219/oj" TargetMode="External"/><Relationship Id="rId2" Type="http://schemas.openxmlformats.org/officeDocument/2006/relationships/hyperlink" Target="https://nmhh.hu/cikk/191649/Osszefoglalo_a_VHF_III_es_az_UHF_sav_hasznositasarol_szolo_nemzeti_utemterv_vegrehajtasaval_osszefuggo_feladatokrol" TargetMode="External"/><Relationship Id="rId1" Type="http://schemas.openxmlformats.org/officeDocument/2006/relationships/hyperlink" Target="http://nmhh.hu/dokumentum/189921/uhf_nemzeti_utemter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F8BE4-8782-4A93-A2C6-7ADB28C5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2</TotalTime>
  <Pages>21</Pages>
  <Words>5869</Words>
  <Characters>40501</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NCA</Company>
  <LinksUpToDate>false</LinksUpToDate>
  <CharactersWithSpaces>46278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dc:creator>
  <cp:keywords/>
  <dc:description/>
  <cp:lastModifiedBy>Ulelay Emília dr.</cp:lastModifiedBy>
  <cp:revision>3</cp:revision>
  <cp:lastPrinted>2017-11-07T17:45:00Z</cp:lastPrinted>
  <dcterms:created xsi:type="dcterms:W3CDTF">2022-02-17T17:29:00Z</dcterms:created>
  <dcterms:modified xsi:type="dcterms:W3CDTF">2022-02-17T17:31:00Z</dcterms:modified>
</cp:coreProperties>
</file>