
<file path=[Content_Types].xml><?xml version="1.0" encoding="utf-8"?>
<Types xmlns="http://schemas.openxmlformats.org/package/2006/content-types">
  <Default Extension="png" ContentType="image/png"/>
  <Default Extension="vsd" ContentType="application/vnd.visio"/>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HAnsi"/>
          <w:b w:val="0"/>
          <w:color w:val="auto"/>
          <w:spacing w:val="0"/>
          <w:kern w:val="0"/>
          <w:sz w:val="22"/>
          <w:szCs w:val="22"/>
        </w:rPr>
        <w:id w:val="7557074"/>
        <w:docPartObj>
          <w:docPartGallery w:val="Cover Pages"/>
          <w:docPartUnique/>
        </w:docPartObj>
      </w:sdtPr>
      <w:sdtEndPr>
        <w:rPr>
          <w:bCs/>
        </w:rPr>
      </w:sdtEndPr>
      <w:sdtContent>
        <w:p w14:paraId="6CF1E2AC" w14:textId="562C6995" w:rsidR="00517579" w:rsidRDefault="00537B19" w:rsidP="007B2341">
          <w:pPr>
            <w:pStyle w:val="Cmnmhh"/>
            <w:jc w:val="center"/>
          </w:pPr>
          <w:r>
            <w:rPr>
              <w:noProof/>
              <w:lang w:eastAsia="hu-HU"/>
            </w:rPr>
            <w:drawing>
              <wp:anchor distT="0" distB="1011555" distL="114300" distR="114300" simplePos="0" relativeHeight="251652608" behindDoc="1" locked="0" layoutInCell="1" allowOverlap="1" wp14:anchorId="1CFE83A5" wp14:editId="6B0D210A">
                <wp:simplePos x="0" y="0"/>
                <wp:positionH relativeFrom="page">
                  <wp:posOffset>0</wp:posOffset>
                </wp:positionH>
                <wp:positionV relativeFrom="page">
                  <wp:posOffset>4445</wp:posOffset>
                </wp:positionV>
                <wp:extent cx="7556500" cy="3351530"/>
                <wp:effectExtent l="0" t="0" r="0" b="0"/>
                <wp:wrapTopAndBottom/>
                <wp:docPr id="1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6500" cy="3351530"/>
                        </a:xfrm>
                        <a:prstGeom prst="rect">
                          <a:avLst/>
                        </a:prstGeom>
                      </pic:spPr>
                    </pic:pic>
                  </a:graphicData>
                </a:graphic>
                <wp14:sizeRelV relativeFrom="margin">
                  <wp14:pctHeight>0</wp14:pctHeight>
                </wp14:sizeRelV>
              </wp:anchor>
            </w:drawing>
          </w:r>
          <w:sdt>
            <w:sdtPr>
              <w:alias w:val="Cím"/>
              <w:tag w:val="Cím"/>
              <w:id w:val="11965258"/>
              <w:placeholder>
                <w:docPart w:val="A7E85A2A3E904405895CBFB5452ECE0A"/>
              </w:placeholder>
            </w:sdtPr>
            <w:sdtEndPr/>
            <w:sdtContent>
              <w:sdt>
                <w:sdtPr>
                  <w:alias w:val="Cím"/>
                  <w:tag w:val="Cím"/>
                  <w:id w:val="1727338726"/>
                </w:sdtPr>
                <w:sdtEndPr/>
                <w:sdtContent>
                  <w:sdt>
                    <w:sdtPr>
                      <w:alias w:val="Cím"/>
                      <w:tag w:val="Cím"/>
                      <w:id w:val="27217761"/>
                    </w:sdtPr>
                    <w:sdtEndPr/>
                    <w:sdtContent>
                      <w:r w:rsidR="00BD1A83">
                        <w:t>Sávismertető</w:t>
                      </w:r>
                      <w:r w:rsidR="00BD1A83">
                        <w:br/>
                        <w:t xml:space="preserve">32 </w:t>
                      </w:r>
                      <w:proofErr w:type="spellStart"/>
                      <w:r w:rsidR="00BD1A83">
                        <w:t>GHz</w:t>
                      </w:r>
                      <w:proofErr w:type="spellEnd"/>
                      <w:r w:rsidR="00BD1A83">
                        <w:t xml:space="preserve">-es </w:t>
                      </w:r>
                      <w:r w:rsidR="00524AA6">
                        <w:t>frekvencia</w:t>
                      </w:r>
                      <w:r w:rsidR="00BD1A83">
                        <w:t>sáv</w:t>
                      </w:r>
                    </w:sdtContent>
                  </w:sdt>
                </w:sdtContent>
              </w:sdt>
            </w:sdtContent>
          </w:sdt>
        </w:p>
        <w:p w14:paraId="426048B7" w14:textId="77777777" w:rsidR="00E573D3" w:rsidRDefault="00E573D3">
          <w:pPr>
            <w:pStyle w:val="Bortlapegybnmhh"/>
            <w:spacing w:before="240"/>
            <w:rPr>
              <w:rStyle w:val="BortlapegybnmhhChar"/>
            </w:rPr>
          </w:pPr>
        </w:p>
        <w:p w14:paraId="300519B7" w14:textId="77777777" w:rsidR="00E573D3" w:rsidRDefault="00E573D3">
          <w:pPr>
            <w:pStyle w:val="Bortlapegybnmhh"/>
            <w:spacing w:before="240"/>
            <w:rPr>
              <w:rStyle w:val="BortlapegybnmhhChar"/>
            </w:rPr>
          </w:pPr>
        </w:p>
        <w:p w14:paraId="0F554454" w14:textId="77777777" w:rsidR="00E573D3" w:rsidRDefault="00E573D3">
          <w:pPr>
            <w:pStyle w:val="Bortlapegybnmhh"/>
            <w:spacing w:before="240"/>
            <w:rPr>
              <w:rStyle w:val="BortlapegybnmhhChar"/>
            </w:rPr>
          </w:pPr>
        </w:p>
        <w:p w14:paraId="70166BA5" w14:textId="77777777" w:rsidR="00E573D3" w:rsidRDefault="00E573D3">
          <w:pPr>
            <w:pStyle w:val="Bortlapegybnmhh"/>
            <w:spacing w:before="240"/>
            <w:rPr>
              <w:rStyle w:val="BortlapegybnmhhChar"/>
            </w:rPr>
          </w:pPr>
        </w:p>
        <w:p w14:paraId="74F072B4" w14:textId="77777777" w:rsidR="00E573D3" w:rsidRDefault="00E573D3">
          <w:pPr>
            <w:pStyle w:val="Bortlapegybnmhh"/>
            <w:spacing w:before="240"/>
            <w:rPr>
              <w:rStyle w:val="BortlapegybnmhhChar"/>
            </w:rPr>
          </w:pPr>
        </w:p>
        <w:p w14:paraId="05F96C8C" w14:textId="77777777" w:rsidR="00E573D3" w:rsidRDefault="00E573D3">
          <w:pPr>
            <w:pStyle w:val="Bortlapegybnmhh"/>
            <w:spacing w:before="240"/>
            <w:rPr>
              <w:rStyle w:val="BortlapegybnmhhChar"/>
            </w:rPr>
          </w:pPr>
        </w:p>
        <w:p w14:paraId="4199889A" w14:textId="3CD1AE35" w:rsidR="00E573D3" w:rsidRDefault="00E573D3">
          <w:pPr>
            <w:pStyle w:val="Bortlapegybnmhh"/>
            <w:spacing w:before="240"/>
            <w:rPr>
              <w:rStyle w:val="BortlapegybnmhhChar"/>
            </w:rPr>
          </w:pPr>
        </w:p>
        <w:p w14:paraId="5314F780" w14:textId="77777777" w:rsidR="00E70A7C" w:rsidRDefault="00E70A7C">
          <w:pPr>
            <w:pStyle w:val="Bortlapegybnmhh"/>
            <w:spacing w:before="240"/>
            <w:rPr>
              <w:rStyle w:val="BortlapegybnmhhChar"/>
            </w:rPr>
          </w:pPr>
        </w:p>
        <w:p w14:paraId="1D152BD1" w14:textId="77777777" w:rsidR="00E573D3" w:rsidRDefault="00E573D3">
          <w:pPr>
            <w:pStyle w:val="Bortlapegybnmhh"/>
            <w:spacing w:before="240"/>
            <w:rPr>
              <w:rStyle w:val="BortlapegybnmhhChar"/>
            </w:rPr>
          </w:pPr>
        </w:p>
        <w:p w14:paraId="02733B07" w14:textId="15C11676" w:rsidR="00517579" w:rsidRDefault="003F0A5C" w:rsidP="00892B89">
          <w:pPr>
            <w:pStyle w:val="Bortlapegybnmhh"/>
            <w:spacing w:before="240"/>
            <w:jc w:val="center"/>
          </w:pPr>
          <w:sdt>
            <w:sdtPr>
              <w:rPr>
                <w:rStyle w:val="BortlapegybnmhhChar"/>
              </w:rPr>
              <w:alias w:val="Dátum"/>
              <w:tag w:val="Dátum"/>
              <w:id w:val="11965270"/>
              <w:date w:fullDate="2022-02-16T00:00:00Z">
                <w:dateFormat w:val="yyyy. MMMM d."/>
                <w:lid w:val="hu-HU"/>
                <w:storeMappedDataAs w:val="dateTime"/>
                <w:calendar w:val="gregorian"/>
              </w:date>
            </w:sdtPr>
            <w:sdtEndPr>
              <w:rPr>
                <w:rStyle w:val="Bekezdsalapbettpusa"/>
              </w:rPr>
            </w:sdtEndPr>
            <w:sdtContent>
              <w:r w:rsidR="00524AA6">
                <w:rPr>
                  <w:rStyle w:val="BortlapegybnmhhChar"/>
                </w:rPr>
                <w:t>2022. február 16.</w:t>
              </w:r>
            </w:sdtContent>
          </w:sdt>
        </w:p>
        <w:p w14:paraId="19AC32EB" w14:textId="77777777" w:rsidR="00517579" w:rsidRDefault="003F0A5C">
          <w:pPr>
            <w:spacing w:after="200"/>
            <w:jc w:val="left"/>
            <w:rPr>
              <w:b/>
              <w:bCs/>
            </w:rPr>
            <w:sectPr w:rsidR="00517579">
              <w:headerReference w:type="even" r:id="rId9"/>
              <w:headerReference w:type="default" r:id="rId10"/>
              <w:footerReference w:type="even" r:id="rId11"/>
              <w:footerReference w:type="default" r:id="rId12"/>
              <w:headerReference w:type="first" r:id="rId13"/>
              <w:pgSz w:w="11906" w:h="16838"/>
              <w:pgMar w:top="1417" w:right="1417" w:bottom="1417" w:left="1417" w:header="1417" w:footer="709" w:gutter="0"/>
              <w:cols w:space="708"/>
              <w:titlePg/>
              <w:docGrid w:linePitch="360"/>
            </w:sectPr>
          </w:pPr>
        </w:p>
      </w:sdtContent>
    </w:sdt>
    <w:sdt>
      <w:sdtPr>
        <w:rPr>
          <w:rFonts w:asciiTheme="minorHAnsi" w:eastAsiaTheme="minorHAnsi" w:hAnsiTheme="minorHAnsi" w:cstheme="minorHAnsi"/>
          <w:b w:val="0"/>
          <w:bCs w:val="0"/>
          <w:color w:val="auto"/>
          <w:sz w:val="22"/>
          <w:szCs w:val="22"/>
        </w:rPr>
        <w:id w:val="28749728"/>
        <w:docPartObj>
          <w:docPartGallery w:val="Table of Contents"/>
          <w:docPartUnique/>
        </w:docPartObj>
      </w:sdtPr>
      <w:sdtEndPr/>
      <w:sdtContent>
        <w:p w14:paraId="7E2A1DC3" w14:textId="77777777" w:rsidR="00517579" w:rsidRDefault="00537B19">
          <w:pPr>
            <w:pStyle w:val="Tartalomjegyzkcmsoranmhh"/>
          </w:pPr>
          <w:r>
            <w:t>Tartalomjegyzék</w:t>
          </w:r>
        </w:p>
        <w:p w14:paraId="4D5746F2" w14:textId="59755ABE" w:rsidR="00FB1E56" w:rsidRDefault="00537B19">
          <w:pPr>
            <w:pStyle w:val="TJ1"/>
            <w:tabs>
              <w:tab w:val="left" w:pos="440"/>
              <w:tab w:val="right" w:leader="dot" w:pos="9062"/>
            </w:tabs>
            <w:rPr>
              <w:rFonts w:eastAsiaTheme="minorEastAsia" w:cstheme="minorBidi"/>
              <w:noProof/>
              <w:lang w:eastAsia="hu-HU"/>
            </w:rPr>
          </w:pPr>
          <w:r>
            <w:fldChar w:fldCharType="begin"/>
          </w:r>
          <w:r>
            <w:instrText xml:space="preserve"> TOC \o "1-3" \h \z \u </w:instrText>
          </w:r>
          <w:r>
            <w:fldChar w:fldCharType="separate"/>
          </w:r>
          <w:bookmarkStart w:id="0" w:name="_GoBack"/>
          <w:bookmarkEnd w:id="0"/>
          <w:r w:rsidR="00FB1E56" w:rsidRPr="0015562E">
            <w:rPr>
              <w:rStyle w:val="Hiperhivatkozs"/>
              <w:noProof/>
            </w:rPr>
            <w:fldChar w:fldCharType="begin"/>
          </w:r>
          <w:r w:rsidR="00FB1E56" w:rsidRPr="0015562E">
            <w:rPr>
              <w:rStyle w:val="Hiperhivatkozs"/>
              <w:noProof/>
            </w:rPr>
            <w:instrText xml:space="preserve"> </w:instrText>
          </w:r>
          <w:r w:rsidR="00FB1E56">
            <w:rPr>
              <w:noProof/>
            </w:rPr>
            <w:instrText>HYPERLINK \l "_Toc96075632"</w:instrText>
          </w:r>
          <w:r w:rsidR="00FB1E56" w:rsidRPr="0015562E">
            <w:rPr>
              <w:rStyle w:val="Hiperhivatkozs"/>
              <w:noProof/>
            </w:rPr>
            <w:instrText xml:space="preserve"> </w:instrText>
          </w:r>
          <w:r w:rsidR="00FB1E56" w:rsidRPr="0015562E">
            <w:rPr>
              <w:rStyle w:val="Hiperhivatkozs"/>
              <w:noProof/>
            </w:rPr>
          </w:r>
          <w:r w:rsidR="00FB1E56" w:rsidRPr="0015562E">
            <w:rPr>
              <w:rStyle w:val="Hiperhivatkozs"/>
              <w:noProof/>
            </w:rPr>
            <w:fldChar w:fldCharType="separate"/>
          </w:r>
          <w:r w:rsidR="00FB1E56" w:rsidRPr="0015562E">
            <w:rPr>
              <w:rStyle w:val="Hiperhivatkozs"/>
              <w:noProof/>
            </w:rPr>
            <w:t>1.</w:t>
          </w:r>
          <w:r w:rsidR="00FB1E56">
            <w:rPr>
              <w:rFonts w:eastAsiaTheme="minorEastAsia" w:cstheme="minorBidi"/>
              <w:noProof/>
              <w:lang w:eastAsia="hu-HU"/>
            </w:rPr>
            <w:tab/>
          </w:r>
          <w:r w:rsidR="00FB1E56" w:rsidRPr="0015562E">
            <w:rPr>
              <w:rStyle w:val="Hiperhivatkozs"/>
              <w:noProof/>
            </w:rPr>
            <w:t>Összefoglaló</w:t>
          </w:r>
          <w:r w:rsidR="00FB1E56">
            <w:rPr>
              <w:noProof/>
              <w:webHidden/>
            </w:rPr>
            <w:tab/>
          </w:r>
          <w:r w:rsidR="00FB1E56">
            <w:rPr>
              <w:noProof/>
              <w:webHidden/>
            </w:rPr>
            <w:fldChar w:fldCharType="begin"/>
          </w:r>
          <w:r w:rsidR="00FB1E56">
            <w:rPr>
              <w:noProof/>
              <w:webHidden/>
            </w:rPr>
            <w:instrText xml:space="preserve"> PAGEREF _Toc96075632 \h </w:instrText>
          </w:r>
          <w:r w:rsidR="00FB1E56">
            <w:rPr>
              <w:noProof/>
              <w:webHidden/>
            </w:rPr>
          </w:r>
          <w:r w:rsidR="00FB1E56">
            <w:rPr>
              <w:noProof/>
              <w:webHidden/>
            </w:rPr>
            <w:fldChar w:fldCharType="separate"/>
          </w:r>
          <w:r w:rsidR="00FB1E56">
            <w:rPr>
              <w:noProof/>
              <w:webHidden/>
            </w:rPr>
            <w:t>3</w:t>
          </w:r>
          <w:r w:rsidR="00FB1E56">
            <w:rPr>
              <w:noProof/>
              <w:webHidden/>
            </w:rPr>
            <w:fldChar w:fldCharType="end"/>
          </w:r>
          <w:r w:rsidR="00FB1E56" w:rsidRPr="0015562E">
            <w:rPr>
              <w:rStyle w:val="Hiperhivatkozs"/>
              <w:noProof/>
            </w:rPr>
            <w:fldChar w:fldCharType="end"/>
          </w:r>
        </w:p>
        <w:p w14:paraId="28499A5E" w14:textId="0C16746B" w:rsidR="00FB1E56" w:rsidRDefault="00FB1E56">
          <w:pPr>
            <w:pStyle w:val="TJ1"/>
            <w:tabs>
              <w:tab w:val="left" w:pos="440"/>
              <w:tab w:val="right" w:leader="dot" w:pos="9062"/>
            </w:tabs>
            <w:rPr>
              <w:rFonts w:eastAsiaTheme="minorEastAsia" w:cstheme="minorBidi"/>
              <w:noProof/>
              <w:lang w:eastAsia="hu-HU"/>
            </w:rPr>
          </w:pPr>
          <w:hyperlink w:anchor="_Toc96075633" w:history="1">
            <w:r w:rsidRPr="0015562E">
              <w:rPr>
                <w:rStyle w:val="Hiperhivatkozs"/>
                <w:noProof/>
              </w:rPr>
              <w:t>2.</w:t>
            </w:r>
            <w:r>
              <w:rPr>
                <w:rFonts w:eastAsiaTheme="minorEastAsia" w:cstheme="minorBidi"/>
                <w:noProof/>
                <w:lang w:eastAsia="hu-HU"/>
              </w:rPr>
              <w:tab/>
            </w:r>
            <w:r w:rsidRPr="0015562E">
              <w:rPr>
                <w:rStyle w:val="Hiperhivatkozs"/>
                <w:noProof/>
              </w:rPr>
              <w:t>Bevezetés</w:t>
            </w:r>
            <w:r>
              <w:rPr>
                <w:noProof/>
                <w:webHidden/>
              </w:rPr>
              <w:tab/>
            </w:r>
            <w:r>
              <w:rPr>
                <w:noProof/>
                <w:webHidden/>
              </w:rPr>
              <w:fldChar w:fldCharType="begin"/>
            </w:r>
            <w:r>
              <w:rPr>
                <w:noProof/>
                <w:webHidden/>
              </w:rPr>
              <w:instrText xml:space="preserve"> PAGEREF _Toc96075633 \h </w:instrText>
            </w:r>
            <w:r>
              <w:rPr>
                <w:noProof/>
                <w:webHidden/>
              </w:rPr>
            </w:r>
            <w:r>
              <w:rPr>
                <w:noProof/>
                <w:webHidden/>
              </w:rPr>
              <w:fldChar w:fldCharType="separate"/>
            </w:r>
            <w:r>
              <w:rPr>
                <w:noProof/>
                <w:webHidden/>
              </w:rPr>
              <w:t>4</w:t>
            </w:r>
            <w:r>
              <w:rPr>
                <w:noProof/>
                <w:webHidden/>
              </w:rPr>
              <w:fldChar w:fldCharType="end"/>
            </w:r>
          </w:hyperlink>
        </w:p>
        <w:p w14:paraId="2AB3C391" w14:textId="0EF48C17" w:rsidR="00FB1E56" w:rsidRDefault="00FB1E56">
          <w:pPr>
            <w:pStyle w:val="TJ1"/>
            <w:tabs>
              <w:tab w:val="left" w:pos="440"/>
              <w:tab w:val="right" w:leader="dot" w:pos="9062"/>
            </w:tabs>
            <w:rPr>
              <w:rFonts w:eastAsiaTheme="minorEastAsia" w:cstheme="minorBidi"/>
              <w:noProof/>
              <w:lang w:eastAsia="hu-HU"/>
            </w:rPr>
          </w:pPr>
          <w:hyperlink w:anchor="_Toc96075634" w:history="1">
            <w:r w:rsidRPr="0015562E">
              <w:rPr>
                <w:rStyle w:val="Hiperhivatkozs"/>
                <w:noProof/>
              </w:rPr>
              <w:t>3.</w:t>
            </w:r>
            <w:r>
              <w:rPr>
                <w:rFonts w:eastAsiaTheme="minorEastAsia" w:cstheme="minorBidi"/>
                <w:noProof/>
                <w:lang w:eastAsia="hu-HU"/>
              </w:rPr>
              <w:tab/>
            </w:r>
            <w:r w:rsidRPr="0015562E">
              <w:rPr>
                <w:rStyle w:val="Hiperhivatkozs"/>
                <w:noProof/>
              </w:rPr>
              <w:t>A 32 GHz-es sáv szabályozása</w:t>
            </w:r>
            <w:r>
              <w:rPr>
                <w:noProof/>
                <w:webHidden/>
              </w:rPr>
              <w:tab/>
            </w:r>
            <w:r>
              <w:rPr>
                <w:noProof/>
                <w:webHidden/>
              </w:rPr>
              <w:fldChar w:fldCharType="begin"/>
            </w:r>
            <w:r>
              <w:rPr>
                <w:noProof/>
                <w:webHidden/>
              </w:rPr>
              <w:instrText xml:space="preserve"> PAGEREF _Toc96075634 \h </w:instrText>
            </w:r>
            <w:r>
              <w:rPr>
                <w:noProof/>
                <w:webHidden/>
              </w:rPr>
            </w:r>
            <w:r>
              <w:rPr>
                <w:noProof/>
                <w:webHidden/>
              </w:rPr>
              <w:fldChar w:fldCharType="separate"/>
            </w:r>
            <w:r>
              <w:rPr>
                <w:noProof/>
                <w:webHidden/>
              </w:rPr>
              <w:t>6</w:t>
            </w:r>
            <w:r>
              <w:rPr>
                <w:noProof/>
                <w:webHidden/>
              </w:rPr>
              <w:fldChar w:fldCharType="end"/>
            </w:r>
          </w:hyperlink>
        </w:p>
        <w:p w14:paraId="4D626D16" w14:textId="40EA0E2F" w:rsidR="00FB1E56" w:rsidRDefault="00FB1E56">
          <w:pPr>
            <w:pStyle w:val="TJ2"/>
            <w:tabs>
              <w:tab w:val="left" w:pos="880"/>
              <w:tab w:val="right" w:leader="dot" w:pos="9062"/>
            </w:tabs>
            <w:rPr>
              <w:rFonts w:eastAsiaTheme="minorEastAsia" w:cstheme="minorBidi"/>
              <w:noProof/>
              <w:lang w:eastAsia="hu-HU"/>
            </w:rPr>
          </w:pPr>
          <w:hyperlink w:anchor="_Toc96075635" w:history="1">
            <w:r w:rsidRPr="0015562E">
              <w:rPr>
                <w:rStyle w:val="Hiperhivatkozs"/>
                <w:noProof/>
              </w:rPr>
              <w:t>3.1.</w:t>
            </w:r>
            <w:r>
              <w:rPr>
                <w:rFonts w:eastAsiaTheme="minorEastAsia" w:cstheme="minorBidi"/>
                <w:noProof/>
                <w:lang w:eastAsia="hu-HU"/>
              </w:rPr>
              <w:tab/>
            </w:r>
            <w:r w:rsidRPr="0015562E">
              <w:rPr>
                <w:rStyle w:val="Hiperhivatkozs"/>
                <w:noProof/>
              </w:rPr>
              <w:t>Nemzetközi szabályozás</w:t>
            </w:r>
            <w:r>
              <w:rPr>
                <w:noProof/>
                <w:webHidden/>
              </w:rPr>
              <w:tab/>
            </w:r>
            <w:r>
              <w:rPr>
                <w:noProof/>
                <w:webHidden/>
              </w:rPr>
              <w:fldChar w:fldCharType="begin"/>
            </w:r>
            <w:r>
              <w:rPr>
                <w:noProof/>
                <w:webHidden/>
              </w:rPr>
              <w:instrText xml:space="preserve"> PAGEREF _Toc96075635 \h </w:instrText>
            </w:r>
            <w:r>
              <w:rPr>
                <w:noProof/>
                <w:webHidden/>
              </w:rPr>
            </w:r>
            <w:r>
              <w:rPr>
                <w:noProof/>
                <w:webHidden/>
              </w:rPr>
              <w:fldChar w:fldCharType="separate"/>
            </w:r>
            <w:r>
              <w:rPr>
                <w:noProof/>
                <w:webHidden/>
              </w:rPr>
              <w:t>6</w:t>
            </w:r>
            <w:r>
              <w:rPr>
                <w:noProof/>
                <w:webHidden/>
              </w:rPr>
              <w:fldChar w:fldCharType="end"/>
            </w:r>
          </w:hyperlink>
        </w:p>
        <w:p w14:paraId="53FFD5E9" w14:textId="3E541924" w:rsidR="00FB1E56" w:rsidRDefault="00FB1E56">
          <w:pPr>
            <w:pStyle w:val="TJ3"/>
            <w:tabs>
              <w:tab w:val="left" w:pos="1320"/>
              <w:tab w:val="right" w:leader="dot" w:pos="9062"/>
            </w:tabs>
            <w:rPr>
              <w:rFonts w:eastAsiaTheme="minorEastAsia" w:cstheme="minorBidi"/>
              <w:noProof/>
              <w:lang w:eastAsia="hu-HU"/>
            </w:rPr>
          </w:pPr>
          <w:hyperlink w:anchor="_Toc96075636" w:history="1">
            <w:r w:rsidRPr="0015562E">
              <w:rPr>
                <w:rStyle w:val="Hiperhivatkozs"/>
                <w:noProof/>
              </w:rPr>
              <w:t>3.1.1.</w:t>
            </w:r>
            <w:r>
              <w:rPr>
                <w:rFonts w:eastAsiaTheme="minorEastAsia" w:cstheme="minorBidi"/>
                <w:noProof/>
                <w:lang w:eastAsia="hu-HU"/>
              </w:rPr>
              <w:tab/>
            </w:r>
            <w:r w:rsidRPr="0015562E">
              <w:rPr>
                <w:rStyle w:val="Hiperhivatkozs"/>
                <w:noProof/>
              </w:rPr>
              <w:t>ITU</w:t>
            </w:r>
            <w:r>
              <w:rPr>
                <w:noProof/>
                <w:webHidden/>
              </w:rPr>
              <w:tab/>
            </w:r>
            <w:r>
              <w:rPr>
                <w:noProof/>
                <w:webHidden/>
              </w:rPr>
              <w:fldChar w:fldCharType="begin"/>
            </w:r>
            <w:r>
              <w:rPr>
                <w:noProof/>
                <w:webHidden/>
              </w:rPr>
              <w:instrText xml:space="preserve"> PAGEREF _Toc96075636 \h </w:instrText>
            </w:r>
            <w:r>
              <w:rPr>
                <w:noProof/>
                <w:webHidden/>
              </w:rPr>
            </w:r>
            <w:r>
              <w:rPr>
                <w:noProof/>
                <w:webHidden/>
              </w:rPr>
              <w:fldChar w:fldCharType="separate"/>
            </w:r>
            <w:r>
              <w:rPr>
                <w:noProof/>
                <w:webHidden/>
              </w:rPr>
              <w:t>6</w:t>
            </w:r>
            <w:r>
              <w:rPr>
                <w:noProof/>
                <w:webHidden/>
              </w:rPr>
              <w:fldChar w:fldCharType="end"/>
            </w:r>
          </w:hyperlink>
        </w:p>
        <w:p w14:paraId="18BE1B39" w14:textId="11641C83" w:rsidR="00FB1E56" w:rsidRDefault="00FB1E56">
          <w:pPr>
            <w:pStyle w:val="TJ3"/>
            <w:tabs>
              <w:tab w:val="left" w:pos="1320"/>
              <w:tab w:val="right" w:leader="dot" w:pos="9062"/>
            </w:tabs>
            <w:rPr>
              <w:rFonts w:eastAsiaTheme="minorEastAsia" w:cstheme="minorBidi"/>
              <w:noProof/>
              <w:lang w:eastAsia="hu-HU"/>
            </w:rPr>
          </w:pPr>
          <w:hyperlink w:anchor="_Toc96075637" w:history="1">
            <w:r w:rsidRPr="0015562E">
              <w:rPr>
                <w:rStyle w:val="Hiperhivatkozs"/>
                <w:noProof/>
              </w:rPr>
              <w:t>3.1.2.</w:t>
            </w:r>
            <w:r>
              <w:rPr>
                <w:rFonts w:eastAsiaTheme="minorEastAsia" w:cstheme="minorBidi"/>
                <w:noProof/>
                <w:lang w:eastAsia="hu-HU"/>
              </w:rPr>
              <w:tab/>
            </w:r>
            <w:r w:rsidRPr="0015562E">
              <w:rPr>
                <w:rStyle w:val="Hiperhivatkozs"/>
                <w:noProof/>
              </w:rPr>
              <w:t>CEPT</w:t>
            </w:r>
            <w:r>
              <w:rPr>
                <w:noProof/>
                <w:webHidden/>
              </w:rPr>
              <w:tab/>
            </w:r>
            <w:r>
              <w:rPr>
                <w:noProof/>
                <w:webHidden/>
              </w:rPr>
              <w:fldChar w:fldCharType="begin"/>
            </w:r>
            <w:r>
              <w:rPr>
                <w:noProof/>
                <w:webHidden/>
              </w:rPr>
              <w:instrText xml:space="preserve"> PAGEREF _Toc96075637 \h </w:instrText>
            </w:r>
            <w:r>
              <w:rPr>
                <w:noProof/>
                <w:webHidden/>
              </w:rPr>
            </w:r>
            <w:r>
              <w:rPr>
                <w:noProof/>
                <w:webHidden/>
              </w:rPr>
              <w:fldChar w:fldCharType="separate"/>
            </w:r>
            <w:r>
              <w:rPr>
                <w:noProof/>
                <w:webHidden/>
              </w:rPr>
              <w:t>6</w:t>
            </w:r>
            <w:r>
              <w:rPr>
                <w:noProof/>
                <w:webHidden/>
              </w:rPr>
              <w:fldChar w:fldCharType="end"/>
            </w:r>
          </w:hyperlink>
        </w:p>
        <w:p w14:paraId="50270970" w14:textId="5825C563" w:rsidR="00FB1E56" w:rsidRDefault="00FB1E56">
          <w:pPr>
            <w:pStyle w:val="TJ3"/>
            <w:tabs>
              <w:tab w:val="left" w:pos="1320"/>
              <w:tab w:val="right" w:leader="dot" w:pos="9062"/>
            </w:tabs>
            <w:rPr>
              <w:rFonts w:eastAsiaTheme="minorEastAsia" w:cstheme="minorBidi"/>
              <w:noProof/>
              <w:lang w:eastAsia="hu-HU"/>
            </w:rPr>
          </w:pPr>
          <w:hyperlink w:anchor="_Toc96075638" w:history="1">
            <w:r w:rsidRPr="0015562E">
              <w:rPr>
                <w:rStyle w:val="Hiperhivatkozs"/>
                <w:noProof/>
              </w:rPr>
              <w:t>3.1.3.</w:t>
            </w:r>
            <w:r>
              <w:rPr>
                <w:rFonts w:eastAsiaTheme="minorEastAsia" w:cstheme="minorBidi"/>
                <w:noProof/>
                <w:lang w:eastAsia="hu-HU"/>
              </w:rPr>
              <w:tab/>
            </w:r>
            <w:r w:rsidRPr="0015562E">
              <w:rPr>
                <w:rStyle w:val="Hiperhivatkozs"/>
                <w:noProof/>
              </w:rPr>
              <w:t>EU</w:t>
            </w:r>
            <w:r>
              <w:rPr>
                <w:noProof/>
                <w:webHidden/>
              </w:rPr>
              <w:tab/>
            </w:r>
            <w:r>
              <w:rPr>
                <w:noProof/>
                <w:webHidden/>
              </w:rPr>
              <w:fldChar w:fldCharType="begin"/>
            </w:r>
            <w:r>
              <w:rPr>
                <w:noProof/>
                <w:webHidden/>
              </w:rPr>
              <w:instrText xml:space="preserve"> PAGEREF _Toc96075638 \h </w:instrText>
            </w:r>
            <w:r>
              <w:rPr>
                <w:noProof/>
                <w:webHidden/>
              </w:rPr>
            </w:r>
            <w:r>
              <w:rPr>
                <w:noProof/>
                <w:webHidden/>
              </w:rPr>
              <w:fldChar w:fldCharType="separate"/>
            </w:r>
            <w:r>
              <w:rPr>
                <w:noProof/>
                <w:webHidden/>
              </w:rPr>
              <w:t>8</w:t>
            </w:r>
            <w:r>
              <w:rPr>
                <w:noProof/>
                <w:webHidden/>
              </w:rPr>
              <w:fldChar w:fldCharType="end"/>
            </w:r>
          </w:hyperlink>
        </w:p>
        <w:p w14:paraId="04A1DC37" w14:textId="5CE2E941" w:rsidR="00FB1E56" w:rsidRDefault="00FB1E56">
          <w:pPr>
            <w:pStyle w:val="TJ2"/>
            <w:tabs>
              <w:tab w:val="left" w:pos="880"/>
              <w:tab w:val="right" w:leader="dot" w:pos="9062"/>
            </w:tabs>
            <w:rPr>
              <w:rFonts w:eastAsiaTheme="minorEastAsia" w:cstheme="minorBidi"/>
              <w:noProof/>
              <w:lang w:eastAsia="hu-HU"/>
            </w:rPr>
          </w:pPr>
          <w:hyperlink w:anchor="_Toc96075639" w:history="1">
            <w:r w:rsidRPr="0015562E">
              <w:rPr>
                <w:rStyle w:val="Hiperhivatkozs"/>
                <w:noProof/>
              </w:rPr>
              <w:t>3.2.</w:t>
            </w:r>
            <w:r>
              <w:rPr>
                <w:rFonts w:eastAsiaTheme="minorEastAsia" w:cstheme="minorBidi"/>
                <w:noProof/>
                <w:lang w:eastAsia="hu-HU"/>
              </w:rPr>
              <w:tab/>
            </w:r>
            <w:r w:rsidRPr="0015562E">
              <w:rPr>
                <w:rStyle w:val="Hiperhivatkozs"/>
                <w:noProof/>
              </w:rPr>
              <w:t>Nemzeti szabályozás és sávhasználat</w:t>
            </w:r>
            <w:r>
              <w:rPr>
                <w:noProof/>
                <w:webHidden/>
              </w:rPr>
              <w:tab/>
            </w:r>
            <w:r>
              <w:rPr>
                <w:noProof/>
                <w:webHidden/>
              </w:rPr>
              <w:fldChar w:fldCharType="begin"/>
            </w:r>
            <w:r>
              <w:rPr>
                <w:noProof/>
                <w:webHidden/>
              </w:rPr>
              <w:instrText xml:space="preserve"> PAGEREF _Toc96075639 \h </w:instrText>
            </w:r>
            <w:r>
              <w:rPr>
                <w:noProof/>
                <w:webHidden/>
              </w:rPr>
            </w:r>
            <w:r>
              <w:rPr>
                <w:noProof/>
                <w:webHidden/>
              </w:rPr>
              <w:fldChar w:fldCharType="separate"/>
            </w:r>
            <w:r>
              <w:rPr>
                <w:noProof/>
                <w:webHidden/>
              </w:rPr>
              <w:t>9</w:t>
            </w:r>
            <w:r>
              <w:rPr>
                <w:noProof/>
                <w:webHidden/>
              </w:rPr>
              <w:fldChar w:fldCharType="end"/>
            </w:r>
          </w:hyperlink>
        </w:p>
        <w:p w14:paraId="5089EB3E" w14:textId="5DB5B79B" w:rsidR="00FB1E56" w:rsidRDefault="00FB1E56">
          <w:pPr>
            <w:pStyle w:val="TJ1"/>
            <w:tabs>
              <w:tab w:val="left" w:pos="440"/>
              <w:tab w:val="right" w:leader="dot" w:pos="9062"/>
            </w:tabs>
            <w:rPr>
              <w:rFonts w:eastAsiaTheme="minorEastAsia" w:cstheme="minorBidi"/>
              <w:noProof/>
              <w:lang w:eastAsia="hu-HU"/>
            </w:rPr>
          </w:pPr>
          <w:hyperlink w:anchor="_Toc96075640" w:history="1">
            <w:r w:rsidRPr="0015562E">
              <w:rPr>
                <w:rStyle w:val="Hiperhivatkozs"/>
                <w:noProof/>
              </w:rPr>
              <w:t>4.</w:t>
            </w:r>
            <w:r>
              <w:rPr>
                <w:rFonts w:eastAsiaTheme="minorEastAsia" w:cstheme="minorBidi"/>
                <w:noProof/>
                <w:lang w:eastAsia="hu-HU"/>
              </w:rPr>
              <w:tab/>
            </w:r>
            <w:r w:rsidRPr="0015562E">
              <w:rPr>
                <w:rStyle w:val="Hiperhivatkozs"/>
                <w:noProof/>
              </w:rPr>
              <w:t>Nemzeti szabályozási tervek a 32 GHz-es frekvenciasávban</w:t>
            </w:r>
            <w:r>
              <w:rPr>
                <w:noProof/>
                <w:webHidden/>
              </w:rPr>
              <w:tab/>
            </w:r>
            <w:r>
              <w:rPr>
                <w:noProof/>
                <w:webHidden/>
              </w:rPr>
              <w:fldChar w:fldCharType="begin"/>
            </w:r>
            <w:r>
              <w:rPr>
                <w:noProof/>
                <w:webHidden/>
              </w:rPr>
              <w:instrText xml:space="preserve"> PAGEREF _Toc96075640 \h </w:instrText>
            </w:r>
            <w:r>
              <w:rPr>
                <w:noProof/>
                <w:webHidden/>
              </w:rPr>
            </w:r>
            <w:r>
              <w:rPr>
                <w:noProof/>
                <w:webHidden/>
              </w:rPr>
              <w:fldChar w:fldCharType="separate"/>
            </w:r>
            <w:r>
              <w:rPr>
                <w:noProof/>
                <w:webHidden/>
              </w:rPr>
              <w:t>10</w:t>
            </w:r>
            <w:r>
              <w:rPr>
                <w:noProof/>
                <w:webHidden/>
              </w:rPr>
              <w:fldChar w:fldCharType="end"/>
            </w:r>
          </w:hyperlink>
        </w:p>
        <w:p w14:paraId="56128B61" w14:textId="72B0B409" w:rsidR="00FB1E56" w:rsidRDefault="00FB1E56">
          <w:pPr>
            <w:pStyle w:val="TJ2"/>
            <w:tabs>
              <w:tab w:val="left" w:pos="880"/>
              <w:tab w:val="right" w:leader="dot" w:pos="9062"/>
            </w:tabs>
            <w:rPr>
              <w:rFonts w:eastAsiaTheme="minorEastAsia" w:cstheme="minorBidi"/>
              <w:noProof/>
              <w:lang w:eastAsia="hu-HU"/>
            </w:rPr>
          </w:pPr>
          <w:hyperlink w:anchor="_Toc96075641" w:history="1">
            <w:r w:rsidRPr="0015562E">
              <w:rPr>
                <w:rStyle w:val="Hiperhivatkozs"/>
                <w:noProof/>
              </w:rPr>
              <w:t>4.1.</w:t>
            </w:r>
            <w:r>
              <w:rPr>
                <w:rFonts w:eastAsiaTheme="minorEastAsia" w:cstheme="minorBidi"/>
                <w:noProof/>
                <w:lang w:eastAsia="hu-HU"/>
              </w:rPr>
              <w:tab/>
            </w:r>
            <w:r w:rsidRPr="0015562E">
              <w:rPr>
                <w:rStyle w:val="Hiperhivatkozs"/>
                <w:noProof/>
              </w:rPr>
              <w:t>Műszaki szabályozási megfontolások</w:t>
            </w:r>
            <w:r>
              <w:rPr>
                <w:noProof/>
                <w:webHidden/>
              </w:rPr>
              <w:tab/>
            </w:r>
            <w:r>
              <w:rPr>
                <w:noProof/>
                <w:webHidden/>
              </w:rPr>
              <w:fldChar w:fldCharType="begin"/>
            </w:r>
            <w:r>
              <w:rPr>
                <w:noProof/>
                <w:webHidden/>
              </w:rPr>
              <w:instrText xml:space="preserve"> PAGEREF _Toc96075641 \h </w:instrText>
            </w:r>
            <w:r>
              <w:rPr>
                <w:noProof/>
                <w:webHidden/>
              </w:rPr>
            </w:r>
            <w:r>
              <w:rPr>
                <w:noProof/>
                <w:webHidden/>
              </w:rPr>
              <w:fldChar w:fldCharType="separate"/>
            </w:r>
            <w:r>
              <w:rPr>
                <w:noProof/>
                <w:webHidden/>
              </w:rPr>
              <w:t>10</w:t>
            </w:r>
            <w:r>
              <w:rPr>
                <w:noProof/>
                <w:webHidden/>
              </w:rPr>
              <w:fldChar w:fldCharType="end"/>
            </w:r>
          </w:hyperlink>
        </w:p>
        <w:p w14:paraId="2079EA9F" w14:textId="577DCC89" w:rsidR="00FB1E56" w:rsidRDefault="00FB1E56">
          <w:pPr>
            <w:pStyle w:val="TJ3"/>
            <w:tabs>
              <w:tab w:val="left" w:pos="1320"/>
              <w:tab w:val="right" w:leader="dot" w:pos="9062"/>
            </w:tabs>
            <w:rPr>
              <w:rFonts w:eastAsiaTheme="minorEastAsia" w:cstheme="minorBidi"/>
              <w:noProof/>
              <w:lang w:eastAsia="hu-HU"/>
            </w:rPr>
          </w:pPr>
          <w:hyperlink w:anchor="_Toc96075642" w:history="1">
            <w:r w:rsidRPr="0015562E">
              <w:rPr>
                <w:rStyle w:val="Hiperhivatkozs"/>
                <w:noProof/>
              </w:rPr>
              <w:t>4.1.1.</w:t>
            </w:r>
            <w:r>
              <w:rPr>
                <w:rFonts w:eastAsiaTheme="minorEastAsia" w:cstheme="minorBidi"/>
                <w:noProof/>
                <w:lang w:eastAsia="hu-HU"/>
              </w:rPr>
              <w:tab/>
            </w:r>
            <w:r w:rsidRPr="0015562E">
              <w:rPr>
                <w:rStyle w:val="Hiperhivatkozs"/>
                <w:noProof/>
              </w:rPr>
              <w:t>Sáv- és csatornaelrendezés</w:t>
            </w:r>
            <w:r>
              <w:rPr>
                <w:noProof/>
                <w:webHidden/>
              </w:rPr>
              <w:tab/>
            </w:r>
            <w:r>
              <w:rPr>
                <w:noProof/>
                <w:webHidden/>
              </w:rPr>
              <w:fldChar w:fldCharType="begin"/>
            </w:r>
            <w:r>
              <w:rPr>
                <w:noProof/>
                <w:webHidden/>
              </w:rPr>
              <w:instrText xml:space="preserve"> PAGEREF _Toc96075642 \h </w:instrText>
            </w:r>
            <w:r>
              <w:rPr>
                <w:noProof/>
                <w:webHidden/>
              </w:rPr>
            </w:r>
            <w:r>
              <w:rPr>
                <w:noProof/>
                <w:webHidden/>
              </w:rPr>
              <w:fldChar w:fldCharType="separate"/>
            </w:r>
            <w:r>
              <w:rPr>
                <w:noProof/>
                <w:webHidden/>
              </w:rPr>
              <w:t>10</w:t>
            </w:r>
            <w:r>
              <w:rPr>
                <w:noProof/>
                <w:webHidden/>
              </w:rPr>
              <w:fldChar w:fldCharType="end"/>
            </w:r>
          </w:hyperlink>
        </w:p>
        <w:p w14:paraId="002A9C33" w14:textId="6C957769" w:rsidR="00FB1E56" w:rsidRDefault="00FB1E56">
          <w:pPr>
            <w:pStyle w:val="TJ3"/>
            <w:tabs>
              <w:tab w:val="left" w:pos="1320"/>
              <w:tab w:val="right" w:leader="dot" w:pos="9062"/>
            </w:tabs>
            <w:rPr>
              <w:rFonts w:eastAsiaTheme="minorEastAsia" w:cstheme="minorBidi"/>
              <w:noProof/>
              <w:lang w:eastAsia="hu-HU"/>
            </w:rPr>
          </w:pPr>
          <w:hyperlink w:anchor="_Toc96075643" w:history="1">
            <w:r w:rsidRPr="0015562E">
              <w:rPr>
                <w:rStyle w:val="Hiperhivatkozs"/>
                <w:noProof/>
              </w:rPr>
              <w:t>4.1.2.</w:t>
            </w:r>
            <w:r>
              <w:rPr>
                <w:rFonts w:eastAsiaTheme="minorEastAsia" w:cstheme="minorBidi"/>
                <w:noProof/>
                <w:lang w:eastAsia="hu-HU"/>
              </w:rPr>
              <w:tab/>
            </w:r>
            <w:r w:rsidRPr="0015562E">
              <w:rPr>
                <w:rStyle w:val="Hiperhivatkozs"/>
                <w:noProof/>
              </w:rPr>
              <w:t>Felhasználói blokkokra és a szomszédblokkos interferencia kezelésére vonatkozó megfontolások</w:t>
            </w:r>
            <w:r>
              <w:rPr>
                <w:noProof/>
                <w:webHidden/>
              </w:rPr>
              <w:tab/>
            </w:r>
            <w:r>
              <w:rPr>
                <w:noProof/>
                <w:webHidden/>
              </w:rPr>
              <w:fldChar w:fldCharType="begin"/>
            </w:r>
            <w:r>
              <w:rPr>
                <w:noProof/>
                <w:webHidden/>
              </w:rPr>
              <w:instrText xml:space="preserve"> PAGEREF _Toc96075643 \h </w:instrText>
            </w:r>
            <w:r>
              <w:rPr>
                <w:noProof/>
                <w:webHidden/>
              </w:rPr>
            </w:r>
            <w:r>
              <w:rPr>
                <w:noProof/>
                <w:webHidden/>
              </w:rPr>
              <w:fldChar w:fldCharType="separate"/>
            </w:r>
            <w:r>
              <w:rPr>
                <w:noProof/>
                <w:webHidden/>
              </w:rPr>
              <w:t>10</w:t>
            </w:r>
            <w:r>
              <w:rPr>
                <w:noProof/>
                <w:webHidden/>
              </w:rPr>
              <w:fldChar w:fldCharType="end"/>
            </w:r>
          </w:hyperlink>
        </w:p>
        <w:p w14:paraId="7DB6FA1C" w14:textId="320D8C74" w:rsidR="00FB1E56" w:rsidRDefault="00FB1E56">
          <w:pPr>
            <w:pStyle w:val="TJ3"/>
            <w:tabs>
              <w:tab w:val="left" w:pos="1320"/>
              <w:tab w:val="right" w:leader="dot" w:pos="9062"/>
            </w:tabs>
            <w:rPr>
              <w:rFonts w:eastAsiaTheme="minorEastAsia" w:cstheme="minorBidi"/>
              <w:noProof/>
              <w:lang w:eastAsia="hu-HU"/>
            </w:rPr>
          </w:pPr>
          <w:hyperlink w:anchor="_Toc96075644" w:history="1">
            <w:r w:rsidRPr="0015562E">
              <w:rPr>
                <w:rStyle w:val="Hiperhivatkozs"/>
                <w:noProof/>
              </w:rPr>
              <w:t>4.1.3.</w:t>
            </w:r>
            <w:r>
              <w:rPr>
                <w:rFonts w:eastAsiaTheme="minorEastAsia" w:cstheme="minorBidi"/>
                <w:noProof/>
                <w:lang w:eastAsia="hu-HU"/>
              </w:rPr>
              <w:tab/>
            </w:r>
            <w:r w:rsidRPr="0015562E">
              <w:rPr>
                <w:rStyle w:val="Hiperhivatkozs"/>
                <w:noProof/>
              </w:rPr>
              <w:t>Berendezések hangolási tartományával összefüggő szempontok</w:t>
            </w:r>
            <w:r>
              <w:rPr>
                <w:noProof/>
                <w:webHidden/>
              </w:rPr>
              <w:tab/>
            </w:r>
            <w:r>
              <w:rPr>
                <w:noProof/>
                <w:webHidden/>
              </w:rPr>
              <w:fldChar w:fldCharType="begin"/>
            </w:r>
            <w:r>
              <w:rPr>
                <w:noProof/>
                <w:webHidden/>
              </w:rPr>
              <w:instrText xml:space="preserve"> PAGEREF _Toc96075644 \h </w:instrText>
            </w:r>
            <w:r>
              <w:rPr>
                <w:noProof/>
                <w:webHidden/>
              </w:rPr>
            </w:r>
            <w:r>
              <w:rPr>
                <w:noProof/>
                <w:webHidden/>
              </w:rPr>
              <w:fldChar w:fldCharType="separate"/>
            </w:r>
            <w:r>
              <w:rPr>
                <w:noProof/>
                <w:webHidden/>
              </w:rPr>
              <w:t>12</w:t>
            </w:r>
            <w:r>
              <w:rPr>
                <w:noProof/>
                <w:webHidden/>
              </w:rPr>
              <w:fldChar w:fldCharType="end"/>
            </w:r>
          </w:hyperlink>
        </w:p>
        <w:p w14:paraId="6FA5FD1B" w14:textId="5059647D" w:rsidR="00FB1E56" w:rsidRDefault="00FB1E56">
          <w:pPr>
            <w:pStyle w:val="TJ2"/>
            <w:tabs>
              <w:tab w:val="left" w:pos="880"/>
              <w:tab w:val="right" w:leader="dot" w:pos="9062"/>
            </w:tabs>
            <w:rPr>
              <w:rFonts w:eastAsiaTheme="minorEastAsia" w:cstheme="minorBidi"/>
              <w:noProof/>
              <w:lang w:eastAsia="hu-HU"/>
            </w:rPr>
          </w:pPr>
          <w:hyperlink w:anchor="_Toc96075645" w:history="1">
            <w:r w:rsidRPr="0015562E">
              <w:rPr>
                <w:rStyle w:val="Hiperhivatkozs"/>
                <w:noProof/>
              </w:rPr>
              <w:t>4.2.</w:t>
            </w:r>
            <w:r>
              <w:rPr>
                <w:rFonts w:eastAsiaTheme="minorEastAsia" w:cstheme="minorBidi"/>
                <w:noProof/>
                <w:lang w:eastAsia="hu-HU"/>
              </w:rPr>
              <w:tab/>
            </w:r>
            <w:r w:rsidRPr="0015562E">
              <w:rPr>
                <w:rStyle w:val="Hiperhivatkozs"/>
                <w:noProof/>
              </w:rPr>
              <w:t>A 32 GHz-es frekvenciasáv jövőbeni használatára vonatkozó NFFF szerinti szabályozás</w:t>
            </w:r>
            <w:r>
              <w:rPr>
                <w:noProof/>
                <w:webHidden/>
              </w:rPr>
              <w:tab/>
            </w:r>
            <w:r>
              <w:rPr>
                <w:noProof/>
                <w:webHidden/>
              </w:rPr>
              <w:fldChar w:fldCharType="begin"/>
            </w:r>
            <w:r>
              <w:rPr>
                <w:noProof/>
                <w:webHidden/>
              </w:rPr>
              <w:instrText xml:space="preserve"> PAGEREF _Toc96075645 \h </w:instrText>
            </w:r>
            <w:r>
              <w:rPr>
                <w:noProof/>
                <w:webHidden/>
              </w:rPr>
            </w:r>
            <w:r>
              <w:rPr>
                <w:noProof/>
                <w:webHidden/>
              </w:rPr>
              <w:fldChar w:fldCharType="separate"/>
            </w:r>
            <w:r>
              <w:rPr>
                <w:noProof/>
                <w:webHidden/>
              </w:rPr>
              <w:t>13</w:t>
            </w:r>
            <w:r>
              <w:rPr>
                <w:noProof/>
                <w:webHidden/>
              </w:rPr>
              <w:fldChar w:fldCharType="end"/>
            </w:r>
          </w:hyperlink>
        </w:p>
        <w:p w14:paraId="4DEBE37A" w14:textId="28B9B547" w:rsidR="00FB1E56" w:rsidRDefault="00FB1E56">
          <w:pPr>
            <w:pStyle w:val="TJ3"/>
            <w:tabs>
              <w:tab w:val="left" w:pos="1320"/>
              <w:tab w:val="right" w:leader="dot" w:pos="9062"/>
            </w:tabs>
            <w:rPr>
              <w:rFonts w:eastAsiaTheme="minorEastAsia" w:cstheme="minorBidi"/>
              <w:noProof/>
              <w:lang w:eastAsia="hu-HU"/>
            </w:rPr>
          </w:pPr>
          <w:hyperlink w:anchor="_Toc96075646" w:history="1">
            <w:r w:rsidRPr="0015562E">
              <w:rPr>
                <w:rStyle w:val="Hiperhivatkozs"/>
                <w:noProof/>
              </w:rPr>
              <w:t>4.2.1.</w:t>
            </w:r>
            <w:r>
              <w:rPr>
                <w:rFonts w:eastAsiaTheme="minorEastAsia" w:cstheme="minorBidi"/>
                <w:noProof/>
                <w:lang w:eastAsia="hu-HU"/>
              </w:rPr>
              <w:tab/>
            </w:r>
            <w:r w:rsidRPr="0015562E">
              <w:rPr>
                <w:rStyle w:val="Hiperhivatkozs"/>
                <w:noProof/>
              </w:rPr>
              <w:t>Rádióspektrumgazdálkodási követelmények</w:t>
            </w:r>
            <w:r>
              <w:rPr>
                <w:noProof/>
                <w:webHidden/>
              </w:rPr>
              <w:tab/>
            </w:r>
            <w:r>
              <w:rPr>
                <w:noProof/>
                <w:webHidden/>
              </w:rPr>
              <w:fldChar w:fldCharType="begin"/>
            </w:r>
            <w:r>
              <w:rPr>
                <w:noProof/>
                <w:webHidden/>
              </w:rPr>
              <w:instrText xml:space="preserve"> PAGEREF _Toc96075646 \h </w:instrText>
            </w:r>
            <w:r>
              <w:rPr>
                <w:noProof/>
                <w:webHidden/>
              </w:rPr>
            </w:r>
            <w:r>
              <w:rPr>
                <w:noProof/>
                <w:webHidden/>
              </w:rPr>
              <w:fldChar w:fldCharType="separate"/>
            </w:r>
            <w:r>
              <w:rPr>
                <w:noProof/>
                <w:webHidden/>
              </w:rPr>
              <w:t>13</w:t>
            </w:r>
            <w:r>
              <w:rPr>
                <w:noProof/>
                <w:webHidden/>
              </w:rPr>
              <w:fldChar w:fldCharType="end"/>
            </w:r>
          </w:hyperlink>
        </w:p>
        <w:p w14:paraId="6D82A419" w14:textId="13EE1811" w:rsidR="00FB1E56" w:rsidRDefault="00FB1E56">
          <w:pPr>
            <w:pStyle w:val="TJ3"/>
            <w:tabs>
              <w:tab w:val="left" w:pos="1320"/>
              <w:tab w:val="right" w:leader="dot" w:pos="9062"/>
            </w:tabs>
            <w:rPr>
              <w:rFonts w:eastAsiaTheme="minorEastAsia" w:cstheme="minorBidi"/>
              <w:noProof/>
              <w:lang w:eastAsia="hu-HU"/>
            </w:rPr>
          </w:pPr>
          <w:hyperlink w:anchor="_Toc96075647" w:history="1">
            <w:r w:rsidRPr="0015562E">
              <w:rPr>
                <w:rStyle w:val="Hiperhivatkozs"/>
                <w:noProof/>
              </w:rPr>
              <w:t>4.2.2.</w:t>
            </w:r>
            <w:r>
              <w:rPr>
                <w:rFonts w:eastAsiaTheme="minorEastAsia" w:cstheme="minorBidi"/>
                <w:noProof/>
                <w:lang w:eastAsia="hu-HU"/>
              </w:rPr>
              <w:tab/>
            </w:r>
            <w:r w:rsidRPr="0015562E">
              <w:rPr>
                <w:rStyle w:val="Hiperhivatkozs"/>
                <w:noProof/>
              </w:rPr>
              <w:t>A rádióspektrum-használati jog szerzésének és a sávhasználat feltételei</w:t>
            </w:r>
            <w:r>
              <w:rPr>
                <w:noProof/>
                <w:webHidden/>
              </w:rPr>
              <w:tab/>
            </w:r>
            <w:r>
              <w:rPr>
                <w:noProof/>
                <w:webHidden/>
              </w:rPr>
              <w:fldChar w:fldCharType="begin"/>
            </w:r>
            <w:r>
              <w:rPr>
                <w:noProof/>
                <w:webHidden/>
              </w:rPr>
              <w:instrText xml:space="preserve"> PAGEREF _Toc96075647 \h </w:instrText>
            </w:r>
            <w:r>
              <w:rPr>
                <w:noProof/>
                <w:webHidden/>
              </w:rPr>
            </w:r>
            <w:r>
              <w:rPr>
                <w:noProof/>
                <w:webHidden/>
              </w:rPr>
              <w:fldChar w:fldCharType="separate"/>
            </w:r>
            <w:r>
              <w:rPr>
                <w:noProof/>
                <w:webHidden/>
              </w:rPr>
              <w:t>14</w:t>
            </w:r>
            <w:r>
              <w:rPr>
                <w:noProof/>
                <w:webHidden/>
              </w:rPr>
              <w:fldChar w:fldCharType="end"/>
            </w:r>
          </w:hyperlink>
        </w:p>
        <w:p w14:paraId="47DE38AF" w14:textId="2C281CB8" w:rsidR="00FB1E56" w:rsidRDefault="00FB1E56">
          <w:pPr>
            <w:pStyle w:val="TJ3"/>
            <w:tabs>
              <w:tab w:val="left" w:pos="1320"/>
              <w:tab w:val="right" w:leader="dot" w:pos="9062"/>
            </w:tabs>
            <w:rPr>
              <w:rFonts w:eastAsiaTheme="minorEastAsia" w:cstheme="minorBidi"/>
              <w:noProof/>
              <w:lang w:eastAsia="hu-HU"/>
            </w:rPr>
          </w:pPr>
          <w:hyperlink w:anchor="_Toc96075648" w:history="1">
            <w:r w:rsidRPr="0015562E">
              <w:rPr>
                <w:rStyle w:val="Hiperhivatkozs"/>
                <w:noProof/>
              </w:rPr>
              <w:t>4.2.3.</w:t>
            </w:r>
            <w:r>
              <w:rPr>
                <w:rFonts w:eastAsiaTheme="minorEastAsia" w:cstheme="minorBidi"/>
                <w:noProof/>
                <w:lang w:eastAsia="hu-HU"/>
              </w:rPr>
              <w:tab/>
            </w:r>
            <w:r w:rsidRPr="0015562E">
              <w:rPr>
                <w:rStyle w:val="Hiperhivatkozs"/>
                <w:noProof/>
              </w:rPr>
              <w:t>Felhasználói blokkok együttélésére vonatkozó szabályok</w:t>
            </w:r>
            <w:r>
              <w:rPr>
                <w:noProof/>
                <w:webHidden/>
              </w:rPr>
              <w:tab/>
            </w:r>
            <w:r>
              <w:rPr>
                <w:noProof/>
                <w:webHidden/>
              </w:rPr>
              <w:fldChar w:fldCharType="begin"/>
            </w:r>
            <w:r>
              <w:rPr>
                <w:noProof/>
                <w:webHidden/>
              </w:rPr>
              <w:instrText xml:space="preserve"> PAGEREF _Toc96075648 \h </w:instrText>
            </w:r>
            <w:r>
              <w:rPr>
                <w:noProof/>
                <w:webHidden/>
              </w:rPr>
            </w:r>
            <w:r>
              <w:rPr>
                <w:noProof/>
                <w:webHidden/>
              </w:rPr>
              <w:fldChar w:fldCharType="separate"/>
            </w:r>
            <w:r>
              <w:rPr>
                <w:noProof/>
                <w:webHidden/>
              </w:rPr>
              <w:t>14</w:t>
            </w:r>
            <w:r>
              <w:rPr>
                <w:noProof/>
                <w:webHidden/>
              </w:rPr>
              <w:fldChar w:fldCharType="end"/>
            </w:r>
          </w:hyperlink>
        </w:p>
        <w:p w14:paraId="3331771A" w14:textId="457E3917" w:rsidR="00FB1E56" w:rsidRDefault="00FB1E56">
          <w:pPr>
            <w:pStyle w:val="TJ1"/>
            <w:tabs>
              <w:tab w:val="left" w:pos="440"/>
              <w:tab w:val="right" w:leader="dot" w:pos="9062"/>
            </w:tabs>
            <w:rPr>
              <w:rFonts w:eastAsiaTheme="minorEastAsia" w:cstheme="minorBidi"/>
              <w:noProof/>
              <w:lang w:eastAsia="hu-HU"/>
            </w:rPr>
          </w:pPr>
          <w:hyperlink w:anchor="_Toc96075649" w:history="1">
            <w:r w:rsidRPr="0015562E">
              <w:rPr>
                <w:rStyle w:val="Hiperhivatkozs"/>
                <w:noProof/>
              </w:rPr>
              <w:t>5.</w:t>
            </w:r>
            <w:r>
              <w:rPr>
                <w:rFonts w:eastAsiaTheme="minorEastAsia" w:cstheme="minorBidi"/>
                <w:noProof/>
                <w:lang w:eastAsia="hu-HU"/>
              </w:rPr>
              <w:tab/>
            </w:r>
            <w:r w:rsidRPr="0015562E">
              <w:rPr>
                <w:rStyle w:val="Hiperhivatkozs"/>
                <w:noProof/>
              </w:rPr>
              <w:t>A 26 GHz-es frekvenciasávban lévő állandóhelyű rendszerek migrációjával kapcsolatos kérdések</w:t>
            </w:r>
            <w:r>
              <w:rPr>
                <w:noProof/>
                <w:webHidden/>
              </w:rPr>
              <w:tab/>
            </w:r>
            <w:r>
              <w:rPr>
                <w:noProof/>
                <w:webHidden/>
              </w:rPr>
              <w:fldChar w:fldCharType="begin"/>
            </w:r>
            <w:r>
              <w:rPr>
                <w:noProof/>
                <w:webHidden/>
              </w:rPr>
              <w:instrText xml:space="preserve"> PAGEREF _Toc96075649 \h </w:instrText>
            </w:r>
            <w:r>
              <w:rPr>
                <w:noProof/>
                <w:webHidden/>
              </w:rPr>
            </w:r>
            <w:r>
              <w:rPr>
                <w:noProof/>
                <w:webHidden/>
              </w:rPr>
              <w:fldChar w:fldCharType="separate"/>
            </w:r>
            <w:r>
              <w:rPr>
                <w:noProof/>
                <w:webHidden/>
              </w:rPr>
              <w:t>15</w:t>
            </w:r>
            <w:r>
              <w:rPr>
                <w:noProof/>
                <w:webHidden/>
              </w:rPr>
              <w:fldChar w:fldCharType="end"/>
            </w:r>
          </w:hyperlink>
        </w:p>
        <w:p w14:paraId="0BB2FF02" w14:textId="2BCB7EF3" w:rsidR="00FB1E56" w:rsidRDefault="00FB1E56">
          <w:pPr>
            <w:pStyle w:val="TJ1"/>
            <w:tabs>
              <w:tab w:val="left" w:pos="440"/>
              <w:tab w:val="right" w:leader="dot" w:pos="9062"/>
            </w:tabs>
            <w:rPr>
              <w:rFonts w:eastAsiaTheme="minorEastAsia" w:cstheme="minorBidi"/>
              <w:noProof/>
              <w:lang w:eastAsia="hu-HU"/>
            </w:rPr>
          </w:pPr>
          <w:hyperlink w:anchor="_Toc96075650" w:history="1">
            <w:r w:rsidRPr="0015562E">
              <w:rPr>
                <w:rStyle w:val="Hiperhivatkozs"/>
                <w:noProof/>
              </w:rPr>
              <w:t>6.</w:t>
            </w:r>
            <w:r>
              <w:rPr>
                <w:rFonts w:eastAsiaTheme="minorEastAsia" w:cstheme="minorBidi"/>
                <w:noProof/>
                <w:lang w:eastAsia="hu-HU"/>
              </w:rPr>
              <w:tab/>
            </w:r>
            <w:r w:rsidRPr="0015562E">
              <w:rPr>
                <w:rStyle w:val="Hiperhivatkozs"/>
                <w:noProof/>
              </w:rPr>
              <w:t>Szomszédos frekvenciasávokkal kapcsolatos zavartatási kérdések</w:t>
            </w:r>
            <w:r>
              <w:rPr>
                <w:noProof/>
                <w:webHidden/>
              </w:rPr>
              <w:tab/>
            </w:r>
            <w:r>
              <w:rPr>
                <w:noProof/>
                <w:webHidden/>
              </w:rPr>
              <w:fldChar w:fldCharType="begin"/>
            </w:r>
            <w:r>
              <w:rPr>
                <w:noProof/>
                <w:webHidden/>
              </w:rPr>
              <w:instrText xml:space="preserve"> PAGEREF _Toc96075650 \h </w:instrText>
            </w:r>
            <w:r>
              <w:rPr>
                <w:noProof/>
                <w:webHidden/>
              </w:rPr>
            </w:r>
            <w:r>
              <w:rPr>
                <w:noProof/>
                <w:webHidden/>
              </w:rPr>
              <w:fldChar w:fldCharType="separate"/>
            </w:r>
            <w:r>
              <w:rPr>
                <w:noProof/>
                <w:webHidden/>
              </w:rPr>
              <w:t>15</w:t>
            </w:r>
            <w:r>
              <w:rPr>
                <w:noProof/>
                <w:webHidden/>
              </w:rPr>
              <w:fldChar w:fldCharType="end"/>
            </w:r>
          </w:hyperlink>
        </w:p>
        <w:p w14:paraId="6CEDAC0B" w14:textId="77252FCB" w:rsidR="00FB1E56" w:rsidRDefault="00FB1E56">
          <w:pPr>
            <w:pStyle w:val="TJ2"/>
            <w:tabs>
              <w:tab w:val="left" w:pos="880"/>
              <w:tab w:val="right" w:leader="dot" w:pos="9062"/>
            </w:tabs>
            <w:rPr>
              <w:rFonts w:eastAsiaTheme="minorEastAsia" w:cstheme="minorBidi"/>
              <w:noProof/>
              <w:lang w:eastAsia="hu-HU"/>
            </w:rPr>
          </w:pPr>
          <w:hyperlink w:anchor="_Toc96075651" w:history="1">
            <w:r w:rsidRPr="0015562E">
              <w:rPr>
                <w:rStyle w:val="Hiperhivatkozs"/>
                <w:noProof/>
              </w:rPr>
              <w:t>6.1.</w:t>
            </w:r>
            <w:r>
              <w:rPr>
                <w:rFonts w:eastAsiaTheme="minorEastAsia" w:cstheme="minorBidi"/>
                <w:noProof/>
                <w:lang w:eastAsia="hu-HU"/>
              </w:rPr>
              <w:tab/>
            </w:r>
            <w:r w:rsidRPr="0015562E">
              <w:rPr>
                <w:rStyle w:val="Hiperhivatkozs"/>
                <w:noProof/>
              </w:rPr>
              <w:t>A 31,5-31,8 GHz frekvenciatartomány</w:t>
            </w:r>
            <w:r>
              <w:rPr>
                <w:noProof/>
                <w:webHidden/>
              </w:rPr>
              <w:tab/>
            </w:r>
            <w:r>
              <w:rPr>
                <w:noProof/>
                <w:webHidden/>
              </w:rPr>
              <w:fldChar w:fldCharType="begin"/>
            </w:r>
            <w:r>
              <w:rPr>
                <w:noProof/>
                <w:webHidden/>
              </w:rPr>
              <w:instrText xml:space="preserve"> PAGEREF _Toc96075651 \h </w:instrText>
            </w:r>
            <w:r>
              <w:rPr>
                <w:noProof/>
                <w:webHidden/>
              </w:rPr>
            </w:r>
            <w:r>
              <w:rPr>
                <w:noProof/>
                <w:webHidden/>
              </w:rPr>
              <w:fldChar w:fldCharType="separate"/>
            </w:r>
            <w:r>
              <w:rPr>
                <w:noProof/>
                <w:webHidden/>
              </w:rPr>
              <w:t>15</w:t>
            </w:r>
            <w:r>
              <w:rPr>
                <w:noProof/>
                <w:webHidden/>
              </w:rPr>
              <w:fldChar w:fldCharType="end"/>
            </w:r>
          </w:hyperlink>
        </w:p>
        <w:p w14:paraId="74EE044D" w14:textId="0D73F3BD" w:rsidR="00FB1E56" w:rsidRDefault="00FB1E56">
          <w:pPr>
            <w:pStyle w:val="TJ2"/>
            <w:tabs>
              <w:tab w:val="left" w:pos="880"/>
              <w:tab w:val="right" w:leader="dot" w:pos="9062"/>
            </w:tabs>
            <w:rPr>
              <w:rFonts w:eastAsiaTheme="minorEastAsia" w:cstheme="minorBidi"/>
              <w:noProof/>
              <w:lang w:eastAsia="hu-HU"/>
            </w:rPr>
          </w:pPr>
          <w:hyperlink w:anchor="_Toc96075652" w:history="1">
            <w:r w:rsidRPr="0015562E">
              <w:rPr>
                <w:rStyle w:val="Hiperhivatkozs"/>
                <w:noProof/>
              </w:rPr>
              <w:t>6.2.</w:t>
            </w:r>
            <w:r>
              <w:rPr>
                <w:rFonts w:eastAsiaTheme="minorEastAsia" w:cstheme="minorBidi"/>
                <w:noProof/>
                <w:lang w:eastAsia="hu-HU"/>
              </w:rPr>
              <w:tab/>
            </w:r>
            <w:r w:rsidRPr="0015562E">
              <w:rPr>
                <w:rStyle w:val="Hiperhivatkozs"/>
                <w:noProof/>
              </w:rPr>
              <w:t>A 33,4-35,2 GHz frekvenciatartomány</w:t>
            </w:r>
            <w:r>
              <w:rPr>
                <w:noProof/>
                <w:webHidden/>
              </w:rPr>
              <w:tab/>
            </w:r>
            <w:r>
              <w:rPr>
                <w:noProof/>
                <w:webHidden/>
              </w:rPr>
              <w:fldChar w:fldCharType="begin"/>
            </w:r>
            <w:r>
              <w:rPr>
                <w:noProof/>
                <w:webHidden/>
              </w:rPr>
              <w:instrText xml:space="preserve"> PAGEREF _Toc96075652 \h </w:instrText>
            </w:r>
            <w:r>
              <w:rPr>
                <w:noProof/>
                <w:webHidden/>
              </w:rPr>
            </w:r>
            <w:r>
              <w:rPr>
                <w:noProof/>
                <w:webHidden/>
              </w:rPr>
              <w:fldChar w:fldCharType="separate"/>
            </w:r>
            <w:r>
              <w:rPr>
                <w:noProof/>
                <w:webHidden/>
              </w:rPr>
              <w:t>16</w:t>
            </w:r>
            <w:r>
              <w:rPr>
                <w:noProof/>
                <w:webHidden/>
              </w:rPr>
              <w:fldChar w:fldCharType="end"/>
            </w:r>
          </w:hyperlink>
        </w:p>
        <w:p w14:paraId="6A27E3CC" w14:textId="3E5C0108" w:rsidR="00FB1E56" w:rsidRDefault="00FB1E56">
          <w:pPr>
            <w:pStyle w:val="TJ1"/>
            <w:tabs>
              <w:tab w:val="left" w:pos="440"/>
              <w:tab w:val="right" w:leader="dot" w:pos="9062"/>
            </w:tabs>
            <w:rPr>
              <w:rFonts w:eastAsiaTheme="minorEastAsia" w:cstheme="minorBidi"/>
              <w:noProof/>
              <w:lang w:eastAsia="hu-HU"/>
            </w:rPr>
          </w:pPr>
          <w:hyperlink w:anchor="_Toc96075653" w:history="1">
            <w:r w:rsidRPr="0015562E">
              <w:rPr>
                <w:rStyle w:val="Hiperhivatkozs"/>
                <w:noProof/>
              </w:rPr>
              <w:t>7.</w:t>
            </w:r>
            <w:r>
              <w:rPr>
                <w:rFonts w:eastAsiaTheme="minorEastAsia" w:cstheme="minorBidi"/>
                <w:noProof/>
                <w:lang w:eastAsia="hu-HU"/>
              </w:rPr>
              <w:tab/>
            </w:r>
            <w:r w:rsidRPr="0015562E">
              <w:rPr>
                <w:rStyle w:val="Hiperhivatkozs"/>
                <w:noProof/>
              </w:rPr>
              <w:t>Határövezeti rádióspektrum-használat és nemzetközi koordináció</w:t>
            </w:r>
            <w:r>
              <w:rPr>
                <w:noProof/>
                <w:webHidden/>
              </w:rPr>
              <w:tab/>
            </w:r>
            <w:r>
              <w:rPr>
                <w:noProof/>
                <w:webHidden/>
              </w:rPr>
              <w:fldChar w:fldCharType="begin"/>
            </w:r>
            <w:r>
              <w:rPr>
                <w:noProof/>
                <w:webHidden/>
              </w:rPr>
              <w:instrText xml:space="preserve"> PAGEREF _Toc96075653 \h </w:instrText>
            </w:r>
            <w:r>
              <w:rPr>
                <w:noProof/>
                <w:webHidden/>
              </w:rPr>
            </w:r>
            <w:r>
              <w:rPr>
                <w:noProof/>
                <w:webHidden/>
              </w:rPr>
              <w:fldChar w:fldCharType="separate"/>
            </w:r>
            <w:r>
              <w:rPr>
                <w:noProof/>
                <w:webHidden/>
              </w:rPr>
              <w:t>16</w:t>
            </w:r>
            <w:r>
              <w:rPr>
                <w:noProof/>
                <w:webHidden/>
              </w:rPr>
              <w:fldChar w:fldCharType="end"/>
            </w:r>
          </w:hyperlink>
        </w:p>
        <w:p w14:paraId="175B039F" w14:textId="61C92E9E" w:rsidR="00FB1E56" w:rsidRDefault="00FB1E56">
          <w:pPr>
            <w:pStyle w:val="TJ1"/>
            <w:tabs>
              <w:tab w:val="left" w:pos="440"/>
              <w:tab w:val="right" w:leader="dot" w:pos="9062"/>
            </w:tabs>
            <w:rPr>
              <w:rFonts w:eastAsiaTheme="minorEastAsia" w:cstheme="minorBidi"/>
              <w:noProof/>
              <w:lang w:eastAsia="hu-HU"/>
            </w:rPr>
          </w:pPr>
          <w:hyperlink w:anchor="_Toc96075654" w:history="1">
            <w:r w:rsidRPr="0015562E">
              <w:rPr>
                <w:rStyle w:val="Hiperhivatkozs"/>
                <w:noProof/>
              </w:rPr>
              <w:t>8.</w:t>
            </w:r>
            <w:r>
              <w:rPr>
                <w:rFonts w:eastAsiaTheme="minorEastAsia" w:cstheme="minorBidi"/>
                <w:noProof/>
                <w:lang w:eastAsia="hu-HU"/>
              </w:rPr>
              <w:tab/>
            </w:r>
            <w:r w:rsidRPr="0015562E">
              <w:rPr>
                <w:rStyle w:val="Hiperhivatkozs"/>
                <w:noProof/>
              </w:rPr>
              <w:t>Rádióspektrumdíjak</w:t>
            </w:r>
            <w:r>
              <w:rPr>
                <w:noProof/>
                <w:webHidden/>
              </w:rPr>
              <w:tab/>
            </w:r>
            <w:r>
              <w:rPr>
                <w:noProof/>
                <w:webHidden/>
              </w:rPr>
              <w:fldChar w:fldCharType="begin"/>
            </w:r>
            <w:r>
              <w:rPr>
                <w:noProof/>
                <w:webHidden/>
              </w:rPr>
              <w:instrText xml:space="preserve"> PAGEREF _Toc96075654 \h </w:instrText>
            </w:r>
            <w:r>
              <w:rPr>
                <w:noProof/>
                <w:webHidden/>
              </w:rPr>
            </w:r>
            <w:r>
              <w:rPr>
                <w:noProof/>
                <w:webHidden/>
              </w:rPr>
              <w:fldChar w:fldCharType="separate"/>
            </w:r>
            <w:r>
              <w:rPr>
                <w:noProof/>
                <w:webHidden/>
              </w:rPr>
              <w:t>17</w:t>
            </w:r>
            <w:r>
              <w:rPr>
                <w:noProof/>
                <w:webHidden/>
              </w:rPr>
              <w:fldChar w:fldCharType="end"/>
            </w:r>
          </w:hyperlink>
        </w:p>
        <w:p w14:paraId="19A69D91" w14:textId="72183EE4" w:rsidR="00FB1E56" w:rsidRDefault="00FB1E56">
          <w:pPr>
            <w:pStyle w:val="TJ1"/>
            <w:tabs>
              <w:tab w:val="right" w:leader="dot" w:pos="9062"/>
            </w:tabs>
            <w:rPr>
              <w:rFonts w:eastAsiaTheme="minorEastAsia" w:cstheme="minorBidi"/>
              <w:noProof/>
              <w:lang w:eastAsia="hu-HU"/>
            </w:rPr>
          </w:pPr>
          <w:hyperlink w:anchor="_Toc96075655" w:history="1">
            <w:r w:rsidRPr="0015562E">
              <w:rPr>
                <w:rStyle w:val="Hiperhivatkozs"/>
                <w:noProof/>
              </w:rPr>
              <w:t>Melléklet: 32 GHz-es sávelrendezés 28 MHz-es alapblokkokkal</w:t>
            </w:r>
            <w:r>
              <w:rPr>
                <w:noProof/>
                <w:webHidden/>
              </w:rPr>
              <w:tab/>
            </w:r>
            <w:r>
              <w:rPr>
                <w:noProof/>
                <w:webHidden/>
              </w:rPr>
              <w:fldChar w:fldCharType="begin"/>
            </w:r>
            <w:r>
              <w:rPr>
                <w:noProof/>
                <w:webHidden/>
              </w:rPr>
              <w:instrText xml:space="preserve"> PAGEREF _Toc96075655 \h </w:instrText>
            </w:r>
            <w:r>
              <w:rPr>
                <w:noProof/>
                <w:webHidden/>
              </w:rPr>
            </w:r>
            <w:r>
              <w:rPr>
                <w:noProof/>
                <w:webHidden/>
              </w:rPr>
              <w:fldChar w:fldCharType="separate"/>
            </w:r>
            <w:r>
              <w:rPr>
                <w:noProof/>
                <w:webHidden/>
              </w:rPr>
              <w:t>18</w:t>
            </w:r>
            <w:r>
              <w:rPr>
                <w:noProof/>
                <w:webHidden/>
              </w:rPr>
              <w:fldChar w:fldCharType="end"/>
            </w:r>
          </w:hyperlink>
        </w:p>
        <w:p w14:paraId="77FAEE04" w14:textId="48F3D5A0" w:rsidR="00517579" w:rsidRDefault="00537B19">
          <w:r>
            <w:fldChar w:fldCharType="end"/>
          </w:r>
        </w:p>
      </w:sdtContent>
    </w:sdt>
    <w:p w14:paraId="7089FE0B" w14:textId="77777777" w:rsidR="00517579" w:rsidRDefault="00537B19">
      <w:pPr>
        <w:spacing w:after="200"/>
        <w:jc w:val="left"/>
      </w:pPr>
      <w:r>
        <w:br w:type="page"/>
      </w:r>
    </w:p>
    <w:p w14:paraId="78E3F017" w14:textId="51A0803E" w:rsidR="007B2341" w:rsidRDefault="00BD1A83" w:rsidP="007B2341">
      <w:pPr>
        <w:pStyle w:val="Cmsor1szmozottnmhh"/>
        <w:ind w:left="431" w:hanging="431"/>
      </w:pPr>
      <w:bookmarkStart w:id="1" w:name="_Toc82171056"/>
      <w:bookmarkStart w:id="2" w:name="_Toc89185023"/>
      <w:bookmarkStart w:id="3" w:name="_Toc451860698"/>
      <w:bookmarkStart w:id="4" w:name="_Toc96075632"/>
      <w:r>
        <w:lastRenderedPageBreak/>
        <w:t>Ö</w:t>
      </w:r>
      <w:r w:rsidR="007B2341">
        <w:t>sszefoglaló</w:t>
      </w:r>
      <w:bookmarkEnd w:id="1"/>
      <w:bookmarkEnd w:id="2"/>
      <w:bookmarkEnd w:id="4"/>
    </w:p>
    <w:p w14:paraId="1D98932D" w14:textId="061372A4" w:rsidR="00E573D3" w:rsidRDefault="00E573D3" w:rsidP="00E573D3">
      <w:pPr>
        <w:pStyle w:val="Behzottbekezdsnmhh"/>
      </w:pPr>
      <w:r w:rsidRPr="00510E47">
        <w:t xml:space="preserve">A 32 </w:t>
      </w:r>
      <w:proofErr w:type="spellStart"/>
      <w:r w:rsidRPr="00510E47">
        <w:t>GHz</w:t>
      </w:r>
      <w:proofErr w:type="spellEnd"/>
      <w:r w:rsidRPr="00510E47">
        <w:t xml:space="preserve">-es </w:t>
      </w:r>
      <w:r>
        <w:t>frekvencia</w:t>
      </w:r>
      <w:r w:rsidR="00C71B70">
        <w:t>sáv</w:t>
      </w:r>
      <w:r w:rsidRPr="00510E47">
        <w:t xml:space="preserve"> elérhetővé </w:t>
      </w:r>
      <w:r w:rsidR="0002366A">
        <w:t>tétele</w:t>
      </w:r>
      <w:r w:rsidRPr="00510E47">
        <w:t xml:space="preserve"> az állandó telephelyű pont-pont, valamint pont-többpont rendszerek számára </w:t>
      </w:r>
      <w:r w:rsidR="00D55153">
        <w:t xml:space="preserve">a </w:t>
      </w:r>
      <w:r w:rsidRPr="00510E47">
        <w:t xml:space="preserve">26 </w:t>
      </w:r>
      <w:proofErr w:type="spellStart"/>
      <w:r w:rsidRPr="00510E47">
        <w:t>GHz</w:t>
      </w:r>
      <w:proofErr w:type="spellEnd"/>
      <w:r w:rsidRPr="00510E47">
        <w:t xml:space="preserve">-es </w:t>
      </w:r>
      <w:r>
        <w:t>frekvencia</w:t>
      </w:r>
      <w:r w:rsidRPr="00510E47">
        <w:t xml:space="preserve">sáv </w:t>
      </w:r>
      <w:r w:rsidR="00D55153" w:rsidRPr="00D55153">
        <w:t>MFCN</w:t>
      </w:r>
      <w:r w:rsidR="00D55153" w:rsidRPr="00D55153">
        <w:rPr>
          <w:vertAlign w:val="superscript"/>
        </w:rPr>
        <w:footnoteReference w:id="1"/>
      </w:r>
      <w:r w:rsidR="00D55153" w:rsidRPr="00D55153">
        <w:t xml:space="preserve"> céljára </w:t>
      </w:r>
      <w:r w:rsidR="00D55153">
        <w:t xml:space="preserve">történő hasznosítására vonatkozó </w:t>
      </w:r>
      <w:r w:rsidR="00D55153" w:rsidRPr="00510E47">
        <w:t xml:space="preserve">európai </w:t>
      </w:r>
      <w:r w:rsidR="00D55153">
        <w:t>uniós kötelezettségek miatt vált szükségessé</w:t>
      </w:r>
      <w:r w:rsidRPr="00510E47">
        <w:t>.</w:t>
      </w:r>
    </w:p>
    <w:p w14:paraId="7A12A430" w14:textId="1F89A487" w:rsidR="00FF5C04" w:rsidRDefault="00A759B4" w:rsidP="00E573D3">
      <w:pPr>
        <w:pStyle w:val="Behzottbekezdsnmhh"/>
      </w:pPr>
      <w:r>
        <w:t>A</w:t>
      </w:r>
      <w:r w:rsidR="00E573D3">
        <w:t xml:space="preserve"> </w:t>
      </w:r>
      <w:proofErr w:type="spellStart"/>
      <w:r w:rsidR="00D55153">
        <w:t>digitalizáció</w:t>
      </w:r>
      <w:proofErr w:type="spellEnd"/>
      <w:r w:rsidR="00D55153">
        <w:t xml:space="preserve"> gyorsítása</w:t>
      </w:r>
      <w:r w:rsidR="00E573D3">
        <w:t xml:space="preserve"> érdekében</w:t>
      </w:r>
      <w:r>
        <w:t xml:space="preserve"> </w:t>
      </w:r>
      <w:r w:rsidR="00E573D3">
        <w:t>a 24,25-27,5 </w:t>
      </w:r>
      <w:proofErr w:type="spellStart"/>
      <w:r w:rsidR="00E573D3">
        <w:t>GHz</w:t>
      </w:r>
      <w:proofErr w:type="spellEnd"/>
      <w:r>
        <w:t xml:space="preserve"> frekvenciasáv (</w:t>
      </w:r>
      <w:r w:rsidR="00C71B70">
        <w:rPr>
          <w:color w:val="000000"/>
          <w:shd w:val="clear" w:color="auto" w:fill="FFFFFF"/>
        </w:rPr>
        <w:t xml:space="preserve">uniós </w:t>
      </w:r>
      <w:r w:rsidR="00D55153">
        <w:rPr>
          <w:color w:val="000000"/>
          <w:shd w:val="clear" w:color="auto" w:fill="FFFFFF"/>
        </w:rPr>
        <w:t>szabályozókra tekintettel</w:t>
      </w:r>
      <w:r w:rsidR="00C71B70">
        <w:t xml:space="preserve"> 26 </w:t>
      </w:r>
      <w:proofErr w:type="spellStart"/>
      <w:r w:rsidR="00C71B70">
        <w:t>GHz</w:t>
      </w:r>
      <w:proofErr w:type="spellEnd"/>
      <w:r w:rsidR="00C71B70">
        <w:t>-es frekvenciasávnak nevezett frekvenciasáv</w:t>
      </w:r>
      <w:r>
        <w:t>)</w:t>
      </w:r>
      <w:r w:rsidR="00E573D3">
        <w:t xml:space="preserve"> is </w:t>
      </w:r>
      <w:r>
        <w:t>5G úttörő sáv</w:t>
      </w:r>
      <w:r w:rsidR="00D55153">
        <w:t>.</w:t>
      </w:r>
      <w:r w:rsidR="00FF5C04">
        <w:t xml:space="preserve"> </w:t>
      </w:r>
      <w:r w:rsidR="00D55153">
        <w:t>T</w:t>
      </w:r>
      <w:r w:rsidR="00FF5C04">
        <w:t xml:space="preserve">ovábbá </w:t>
      </w:r>
      <w:r>
        <w:t xml:space="preserve">a </w:t>
      </w:r>
      <w:r w:rsidR="00E573D3">
        <w:t xml:space="preserve">2019. </w:t>
      </w:r>
      <w:r>
        <w:t>évi</w:t>
      </w:r>
      <w:r w:rsidR="00E573D3">
        <w:t xml:space="preserve"> </w:t>
      </w:r>
      <w:r w:rsidR="00C71B70">
        <w:t xml:space="preserve">Rádiótávközlési Világértekezlet (WRC-19) döntéseinek eredményeként a 26 </w:t>
      </w:r>
      <w:proofErr w:type="spellStart"/>
      <w:r w:rsidR="00C71B70">
        <w:t>GHz</w:t>
      </w:r>
      <w:proofErr w:type="spellEnd"/>
      <w:r w:rsidR="00C71B70">
        <w:t xml:space="preserve">-es </w:t>
      </w:r>
      <w:r w:rsidR="00C71B70" w:rsidRPr="00426D01">
        <w:t>frekvencia</w:t>
      </w:r>
      <w:r w:rsidR="00C71B70">
        <w:t xml:space="preserve">sávot globális szinten </w:t>
      </w:r>
      <w:r w:rsidR="00FF5C04">
        <w:t>a mozgószolgálati alkalmazások számára</w:t>
      </w:r>
      <w:r w:rsidR="004A487F" w:rsidRPr="004A487F">
        <w:t xml:space="preserve"> </w:t>
      </w:r>
      <w:r w:rsidR="004A487F">
        <w:t>azonosították</w:t>
      </w:r>
      <w:r w:rsidR="00FF5C04">
        <w:t>.</w:t>
      </w:r>
    </w:p>
    <w:p w14:paraId="0B2728B8" w14:textId="6D0BF36A" w:rsidR="00E573D3" w:rsidRDefault="0064156A" w:rsidP="00E573D3">
      <w:pPr>
        <w:spacing w:after="200"/>
        <w:rPr>
          <w:sz w:val="20"/>
          <w:szCs w:val="20"/>
        </w:rPr>
      </w:pPr>
      <w:r>
        <w:rPr>
          <w:sz w:val="20"/>
          <w:szCs w:val="20"/>
        </w:rPr>
        <w:t>Ennek megfelelően a</w:t>
      </w:r>
      <w:r w:rsidR="00E573D3" w:rsidRPr="00510E47">
        <w:rPr>
          <w:sz w:val="20"/>
          <w:szCs w:val="20"/>
        </w:rPr>
        <w:t xml:space="preserve"> </w:t>
      </w:r>
      <w:r w:rsidR="0002366A">
        <w:rPr>
          <w:sz w:val="20"/>
          <w:szCs w:val="20"/>
        </w:rPr>
        <w:t xml:space="preserve">26 </w:t>
      </w:r>
      <w:proofErr w:type="spellStart"/>
      <w:r w:rsidR="0002366A">
        <w:rPr>
          <w:sz w:val="20"/>
          <w:szCs w:val="20"/>
        </w:rPr>
        <w:t>GHz</w:t>
      </w:r>
      <w:proofErr w:type="spellEnd"/>
      <w:r w:rsidR="0002366A">
        <w:rPr>
          <w:sz w:val="20"/>
          <w:szCs w:val="20"/>
        </w:rPr>
        <w:t xml:space="preserve">-es </w:t>
      </w:r>
      <w:r w:rsidR="00E573D3" w:rsidRPr="00510E47">
        <w:rPr>
          <w:sz w:val="20"/>
          <w:szCs w:val="20"/>
        </w:rPr>
        <w:t>frekvenciasáv</w:t>
      </w:r>
      <w:r w:rsidR="00C71B70">
        <w:rPr>
          <w:sz w:val="20"/>
          <w:szCs w:val="20"/>
        </w:rPr>
        <w:t xml:space="preserve"> </w:t>
      </w:r>
      <w:r w:rsidR="00E573D3" w:rsidRPr="00510E47">
        <w:rPr>
          <w:sz w:val="20"/>
          <w:szCs w:val="20"/>
        </w:rPr>
        <w:t>jövőbeli használatára vonatkozóan megszülettek a haszn</w:t>
      </w:r>
      <w:r w:rsidR="004A487F">
        <w:rPr>
          <w:sz w:val="20"/>
          <w:szCs w:val="20"/>
        </w:rPr>
        <w:t>osítással</w:t>
      </w:r>
      <w:r w:rsidR="00E573D3" w:rsidRPr="00510E47">
        <w:rPr>
          <w:sz w:val="20"/>
          <w:szCs w:val="20"/>
        </w:rPr>
        <w:t xml:space="preserve"> kapcsolatos alapvető döntéseket tartalmazó nemzetközi dokumentumok, köztük kötelezettséget megállapító uniós jogi aktusok, melyek alapján a </w:t>
      </w:r>
      <w:r w:rsidR="0002366A" w:rsidRPr="00510E47">
        <w:rPr>
          <w:sz w:val="20"/>
          <w:szCs w:val="20"/>
        </w:rPr>
        <w:t>24,25–27,5 </w:t>
      </w:r>
      <w:proofErr w:type="spellStart"/>
      <w:r w:rsidR="0002366A" w:rsidRPr="00510E47">
        <w:rPr>
          <w:sz w:val="20"/>
          <w:szCs w:val="20"/>
        </w:rPr>
        <w:t>GHz</w:t>
      </w:r>
      <w:proofErr w:type="spellEnd"/>
      <w:r w:rsidR="0002366A">
        <w:rPr>
          <w:sz w:val="20"/>
          <w:szCs w:val="20"/>
        </w:rPr>
        <w:t xml:space="preserve"> frekvenciatartományt</w:t>
      </w:r>
      <w:r w:rsidR="00E573D3" w:rsidRPr="00510E47">
        <w:rPr>
          <w:sz w:val="20"/>
          <w:szCs w:val="20"/>
        </w:rPr>
        <w:t xml:space="preserve"> vezetéknélküli szélessávú elektronikus hírközlési szolgáltatás nyújtására alkalmas </w:t>
      </w:r>
      <w:r w:rsidR="002923FC" w:rsidRPr="002923FC">
        <w:rPr>
          <w:sz w:val="20"/>
          <w:szCs w:val="20"/>
        </w:rPr>
        <w:t xml:space="preserve">földfelszíni </w:t>
      </w:r>
      <w:r w:rsidR="00E573D3" w:rsidRPr="00510E47">
        <w:rPr>
          <w:sz w:val="20"/>
          <w:szCs w:val="20"/>
        </w:rPr>
        <w:t>rendszerek számára – nem kizárólagos jelleggel – ki kell jelölni és rendelkezésre kell bocsátani</w:t>
      </w:r>
      <w:r w:rsidR="005E762F">
        <w:rPr>
          <w:sz w:val="20"/>
          <w:szCs w:val="20"/>
        </w:rPr>
        <w:t>.</w:t>
      </w:r>
    </w:p>
    <w:p w14:paraId="37ED28C2" w14:textId="382F3336" w:rsidR="004136A4" w:rsidRDefault="004136A4" w:rsidP="004136A4">
      <w:pPr>
        <w:pStyle w:val="Behzottbekezdsnmhh"/>
      </w:pPr>
      <w:r w:rsidRPr="00426D01">
        <w:t>A nemzeti frekvenciafelosztásról, valamint a frekvenciasávok felhasználási szabályairól szóló 7/2015. (XI. 13.) NMHH rendelete</w:t>
      </w:r>
      <w:r>
        <w:t xml:space="preserve"> (továbbiakban: NFFF) alapján a 24,5-26,5 </w:t>
      </w:r>
      <w:proofErr w:type="spellStart"/>
      <w:r w:rsidRPr="00426D01">
        <w:t>GHz</w:t>
      </w:r>
      <w:proofErr w:type="spellEnd"/>
      <w:r w:rsidRPr="00426D01">
        <w:t xml:space="preserve"> frekvenciasávban jelenleg állandóhelyű pont-pont és p</w:t>
      </w:r>
      <w:r>
        <w:t>ont-többpont rendszerek működhetnek</w:t>
      </w:r>
      <w:r w:rsidRPr="00426D01">
        <w:t xml:space="preserve">. </w:t>
      </w:r>
      <w:r w:rsidRPr="004E52FB">
        <w:t xml:space="preserve">A </w:t>
      </w:r>
      <w:r>
        <w:t>hálózat üzemeltetők</w:t>
      </w:r>
      <w:r w:rsidRPr="004E52FB">
        <w:t xml:space="preserve"> a </w:t>
      </w:r>
      <w:r>
        <w:t>rádióspektrum-</w:t>
      </w:r>
      <w:r w:rsidRPr="004E52FB">
        <w:t xml:space="preserve">használati jogosultságot </w:t>
      </w:r>
      <w:r w:rsidR="004A487F">
        <w:t xml:space="preserve">árverési </w:t>
      </w:r>
      <w:r>
        <w:t>eljárás</w:t>
      </w:r>
      <w:r w:rsidR="004A487F">
        <w:t>ok</w:t>
      </w:r>
      <w:r>
        <w:t xml:space="preserve"> során szerezték és</w:t>
      </w:r>
      <w:r w:rsidRPr="00426D01">
        <w:t xml:space="preserve"> főként felhordóhálózati </w:t>
      </w:r>
      <w:r>
        <w:t xml:space="preserve">(jellemzően pont-pont) </w:t>
      </w:r>
      <w:r w:rsidRPr="00426D01">
        <w:t>összeköttetéseket valósítanak meg a frekvenciasávban.</w:t>
      </w:r>
      <w:r>
        <w:t xml:space="preserve"> </w:t>
      </w:r>
      <w:r w:rsidRPr="004E52FB">
        <w:t xml:space="preserve">A </w:t>
      </w:r>
      <w:r>
        <w:t>rádióspektrum-</w:t>
      </w:r>
      <w:r w:rsidRPr="004E52FB">
        <w:t>használati jogo</w:t>
      </w:r>
      <w:r>
        <w:t>sultságo</w:t>
      </w:r>
      <w:r w:rsidRPr="004E52FB">
        <w:t>k</w:t>
      </w:r>
      <w:r>
        <w:t xml:space="preserve"> 2024. és 2027. között járnak le,</w:t>
      </w:r>
      <w:r w:rsidRPr="004E52FB">
        <w:t xml:space="preserve"> </w:t>
      </w:r>
      <w:r>
        <w:t>döntő többségük 2027-ben.</w:t>
      </w:r>
    </w:p>
    <w:p w14:paraId="7851CE51" w14:textId="7CC0E8DF" w:rsidR="00E573D3" w:rsidRPr="00510E47" w:rsidRDefault="00E573D3" w:rsidP="00E573D3">
      <w:pPr>
        <w:spacing w:after="200"/>
        <w:rPr>
          <w:sz w:val="20"/>
          <w:szCs w:val="20"/>
        </w:rPr>
      </w:pPr>
      <w:r>
        <w:rPr>
          <w:sz w:val="20"/>
          <w:szCs w:val="20"/>
        </w:rPr>
        <w:t>A</w:t>
      </w:r>
      <w:r w:rsidRPr="00510E47">
        <w:rPr>
          <w:sz w:val="20"/>
          <w:szCs w:val="20"/>
        </w:rPr>
        <w:t>z NMHH úgy látja, hogy csak akkor lehetséges az MFCN számára elérhetővé tenni a 26 </w:t>
      </w:r>
      <w:proofErr w:type="spellStart"/>
      <w:r w:rsidRPr="00510E47">
        <w:rPr>
          <w:sz w:val="20"/>
          <w:szCs w:val="20"/>
        </w:rPr>
        <w:t>GHz</w:t>
      </w:r>
      <w:proofErr w:type="spellEnd"/>
      <w:r w:rsidRPr="00510E47">
        <w:rPr>
          <w:sz w:val="20"/>
          <w:szCs w:val="20"/>
        </w:rPr>
        <w:t xml:space="preserve">-es </w:t>
      </w:r>
      <w:r>
        <w:rPr>
          <w:sz w:val="20"/>
          <w:szCs w:val="20"/>
        </w:rPr>
        <w:t>frekvencia</w:t>
      </w:r>
      <w:r w:rsidRPr="00510E47">
        <w:rPr>
          <w:sz w:val="20"/>
          <w:szCs w:val="20"/>
        </w:rPr>
        <w:t xml:space="preserve">sávot, ha másik </w:t>
      </w:r>
      <w:r>
        <w:rPr>
          <w:sz w:val="20"/>
          <w:szCs w:val="20"/>
        </w:rPr>
        <w:t>frekvencia</w:t>
      </w:r>
      <w:r w:rsidRPr="00510E47">
        <w:rPr>
          <w:sz w:val="20"/>
          <w:szCs w:val="20"/>
        </w:rPr>
        <w:t xml:space="preserve">sáv használatának lehetővé </w:t>
      </w:r>
      <w:proofErr w:type="gramStart"/>
      <w:r w:rsidRPr="00510E47">
        <w:rPr>
          <w:sz w:val="20"/>
          <w:szCs w:val="20"/>
        </w:rPr>
        <w:t>tételével</w:t>
      </w:r>
      <w:proofErr w:type="gramEnd"/>
      <w:r>
        <w:rPr>
          <w:sz w:val="20"/>
          <w:szCs w:val="20"/>
        </w:rPr>
        <w:t xml:space="preserve"> </w:t>
      </w:r>
      <w:r w:rsidR="004A487F">
        <w:rPr>
          <w:sz w:val="20"/>
          <w:szCs w:val="20"/>
        </w:rPr>
        <w:sym w:font="Symbol" w:char="F02D"/>
      </w:r>
      <w:r>
        <w:rPr>
          <w:sz w:val="20"/>
          <w:szCs w:val="20"/>
        </w:rPr>
        <w:t xml:space="preserve"> amely lehetőleg hasonló hullámterjedési tulajdonságokkal és elérhető spektrummennyiséggel rendelkezik </w:t>
      </w:r>
      <w:r w:rsidR="004A487F">
        <w:rPr>
          <w:sz w:val="20"/>
          <w:szCs w:val="20"/>
        </w:rPr>
        <w:sym w:font="Symbol" w:char="F02D"/>
      </w:r>
      <w:r w:rsidRPr="00510E47">
        <w:rPr>
          <w:sz w:val="20"/>
          <w:szCs w:val="20"/>
        </w:rPr>
        <w:t xml:space="preserve"> gondoskod</w:t>
      </w:r>
      <w:r w:rsidR="002923FC">
        <w:rPr>
          <w:sz w:val="20"/>
          <w:szCs w:val="20"/>
        </w:rPr>
        <w:t>ik</w:t>
      </w:r>
      <w:r w:rsidRPr="00510E47">
        <w:rPr>
          <w:sz w:val="20"/>
          <w:szCs w:val="20"/>
        </w:rPr>
        <w:t xml:space="preserve"> a felhordóhálózati rendszerek </w:t>
      </w:r>
      <w:r>
        <w:rPr>
          <w:sz w:val="20"/>
          <w:szCs w:val="20"/>
        </w:rPr>
        <w:t>üzemelési lehetőségeinek biztosításáról</w:t>
      </w:r>
      <w:r w:rsidRPr="00510E47">
        <w:rPr>
          <w:sz w:val="20"/>
          <w:szCs w:val="20"/>
        </w:rPr>
        <w:t>. A 32 </w:t>
      </w:r>
      <w:proofErr w:type="spellStart"/>
      <w:r w:rsidRPr="00510E47">
        <w:rPr>
          <w:sz w:val="20"/>
          <w:szCs w:val="20"/>
        </w:rPr>
        <w:t>GHz</w:t>
      </w:r>
      <w:proofErr w:type="spellEnd"/>
      <w:r w:rsidRPr="00510E47">
        <w:rPr>
          <w:sz w:val="20"/>
          <w:szCs w:val="20"/>
        </w:rPr>
        <w:t xml:space="preserve">-es </w:t>
      </w:r>
      <w:r>
        <w:rPr>
          <w:sz w:val="20"/>
          <w:szCs w:val="20"/>
        </w:rPr>
        <w:t>frekvencia</w:t>
      </w:r>
      <w:r w:rsidRPr="00510E47">
        <w:rPr>
          <w:sz w:val="20"/>
          <w:szCs w:val="20"/>
        </w:rPr>
        <w:t>sáv</w:t>
      </w:r>
      <w:r w:rsidR="004A487F">
        <w:rPr>
          <w:sz w:val="20"/>
          <w:szCs w:val="20"/>
        </w:rPr>
        <w:t>ot</w:t>
      </w:r>
      <w:r w:rsidRPr="00510E47">
        <w:rPr>
          <w:sz w:val="20"/>
          <w:szCs w:val="20"/>
        </w:rPr>
        <w:t xml:space="preserve"> </w:t>
      </w:r>
      <w:r w:rsidR="004A487F">
        <w:rPr>
          <w:sz w:val="20"/>
          <w:szCs w:val="20"/>
        </w:rPr>
        <w:t>azonosította erre</w:t>
      </w:r>
      <w:r w:rsidRPr="00510E47">
        <w:rPr>
          <w:sz w:val="20"/>
          <w:szCs w:val="20"/>
        </w:rPr>
        <w:t xml:space="preserve"> a célra </w:t>
      </w:r>
      <w:r w:rsidR="004A487F">
        <w:rPr>
          <w:sz w:val="20"/>
          <w:szCs w:val="20"/>
        </w:rPr>
        <w:t>az NMHH. Ezt nyilvános meghallgatáson egyeztett</w:t>
      </w:r>
      <w:r w:rsidR="00524AA6">
        <w:rPr>
          <w:sz w:val="20"/>
          <w:szCs w:val="20"/>
        </w:rPr>
        <w:t xml:space="preserve">e is a piaci szereplőkkel 2019 </w:t>
      </w:r>
      <w:r w:rsidR="004A487F">
        <w:rPr>
          <w:sz w:val="20"/>
          <w:szCs w:val="20"/>
        </w:rPr>
        <w:t xml:space="preserve">decemberében. Az egyeztetések eredményeként a 32 </w:t>
      </w:r>
      <w:proofErr w:type="spellStart"/>
      <w:r w:rsidR="004A487F">
        <w:rPr>
          <w:sz w:val="20"/>
          <w:szCs w:val="20"/>
        </w:rPr>
        <w:t>GHz</w:t>
      </w:r>
      <w:proofErr w:type="spellEnd"/>
      <w:r w:rsidR="004A487F">
        <w:rPr>
          <w:sz w:val="20"/>
          <w:szCs w:val="20"/>
        </w:rPr>
        <w:t>-es</w:t>
      </w:r>
      <w:r w:rsidR="00954DC4">
        <w:rPr>
          <w:sz w:val="20"/>
          <w:szCs w:val="20"/>
        </w:rPr>
        <w:t xml:space="preserve"> frekvenciasáv </w:t>
      </w:r>
      <w:r w:rsidR="004A487F">
        <w:rPr>
          <w:sz w:val="20"/>
          <w:szCs w:val="20"/>
        </w:rPr>
        <w:t>használatára</w:t>
      </w:r>
      <w:r w:rsidR="004A487F" w:rsidRPr="00510E47">
        <w:rPr>
          <w:sz w:val="20"/>
          <w:szCs w:val="20"/>
        </w:rPr>
        <w:t xml:space="preserve"> </w:t>
      </w:r>
      <w:r w:rsidR="00954DC4">
        <w:rPr>
          <w:sz w:val="20"/>
          <w:szCs w:val="20"/>
        </w:rPr>
        <w:t xml:space="preserve">vonatkozó </w:t>
      </w:r>
      <w:r w:rsidRPr="00510E47">
        <w:rPr>
          <w:sz w:val="20"/>
          <w:szCs w:val="20"/>
        </w:rPr>
        <w:t xml:space="preserve">feltételek </w:t>
      </w:r>
      <w:r w:rsidR="004A487F">
        <w:rPr>
          <w:sz w:val="20"/>
          <w:szCs w:val="20"/>
        </w:rPr>
        <w:t>legfontosabb műszaki tervezéshez szükséges elemei</w:t>
      </w:r>
      <w:r>
        <w:rPr>
          <w:sz w:val="20"/>
          <w:szCs w:val="20"/>
        </w:rPr>
        <w:t xml:space="preserve"> </w:t>
      </w:r>
      <w:r w:rsidRPr="00510E47">
        <w:rPr>
          <w:sz w:val="20"/>
          <w:szCs w:val="20"/>
        </w:rPr>
        <w:t>az NFFF-</w:t>
      </w:r>
      <w:proofErr w:type="spellStart"/>
      <w:r w:rsidRPr="00510E47">
        <w:rPr>
          <w:sz w:val="20"/>
          <w:szCs w:val="20"/>
        </w:rPr>
        <w:t>ben</w:t>
      </w:r>
      <w:proofErr w:type="spellEnd"/>
      <w:r w:rsidRPr="00510E47">
        <w:rPr>
          <w:sz w:val="20"/>
          <w:szCs w:val="20"/>
        </w:rPr>
        <w:t xml:space="preserve"> </w:t>
      </w:r>
      <w:r>
        <w:rPr>
          <w:sz w:val="20"/>
          <w:szCs w:val="20"/>
        </w:rPr>
        <w:t xml:space="preserve">már </w:t>
      </w:r>
      <w:r w:rsidR="00954DC4">
        <w:rPr>
          <w:sz w:val="20"/>
          <w:szCs w:val="20"/>
        </w:rPr>
        <w:t>2020-ban</w:t>
      </w:r>
      <w:r>
        <w:rPr>
          <w:sz w:val="20"/>
          <w:szCs w:val="20"/>
        </w:rPr>
        <w:t xml:space="preserve"> </w:t>
      </w:r>
      <w:r w:rsidRPr="00510E47">
        <w:rPr>
          <w:sz w:val="20"/>
          <w:szCs w:val="20"/>
        </w:rPr>
        <w:t>meghatározásra került</w:t>
      </w:r>
      <w:r w:rsidR="004A487F">
        <w:rPr>
          <w:sz w:val="20"/>
          <w:szCs w:val="20"/>
        </w:rPr>
        <w:t>ek.</w:t>
      </w:r>
      <w:r>
        <w:rPr>
          <w:sz w:val="20"/>
          <w:szCs w:val="20"/>
        </w:rPr>
        <w:t xml:space="preserve"> </w:t>
      </w:r>
      <w:r w:rsidR="004A487F">
        <w:rPr>
          <w:sz w:val="20"/>
          <w:szCs w:val="20"/>
        </w:rPr>
        <w:t>A</w:t>
      </w:r>
      <w:r>
        <w:rPr>
          <w:sz w:val="20"/>
          <w:szCs w:val="20"/>
        </w:rPr>
        <w:t xml:space="preserve"> </w:t>
      </w:r>
      <w:r w:rsidR="004A487F">
        <w:rPr>
          <w:sz w:val="20"/>
          <w:szCs w:val="20"/>
        </w:rPr>
        <w:t>további részletek</w:t>
      </w:r>
      <w:r>
        <w:rPr>
          <w:sz w:val="20"/>
          <w:szCs w:val="20"/>
        </w:rPr>
        <w:t xml:space="preserve"> a </w:t>
      </w:r>
      <w:r w:rsidR="00E956AA" w:rsidRPr="00E956AA">
        <w:rPr>
          <w:sz w:val="20"/>
          <w:szCs w:val="20"/>
        </w:rPr>
        <w:t>műszaki notifikác</w:t>
      </w:r>
      <w:r w:rsidR="00954DC4">
        <w:rPr>
          <w:sz w:val="20"/>
          <w:szCs w:val="20"/>
        </w:rPr>
        <w:t>i</w:t>
      </w:r>
      <w:r w:rsidR="00E956AA" w:rsidRPr="00E956AA">
        <w:rPr>
          <w:sz w:val="20"/>
          <w:szCs w:val="20"/>
        </w:rPr>
        <w:t>ós eljárás alatt levő NFFF módosítás tervezeté</w:t>
      </w:r>
      <w:r w:rsidR="00E956AA">
        <w:rPr>
          <w:sz w:val="20"/>
          <w:szCs w:val="20"/>
        </w:rPr>
        <w:t>ben</w:t>
      </w:r>
      <w:r>
        <w:rPr>
          <w:sz w:val="20"/>
          <w:szCs w:val="20"/>
        </w:rPr>
        <w:t xml:space="preserve"> szerepel</w:t>
      </w:r>
      <w:r w:rsidR="004A487F">
        <w:rPr>
          <w:sz w:val="20"/>
          <w:szCs w:val="20"/>
        </w:rPr>
        <w:t>nek</w:t>
      </w:r>
      <w:r>
        <w:rPr>
          <w:sz w:val="20"/>
          <w:szCs w:val="20"/>
        </w:rPr>
        <w:t xml:space="preserve">, </w:t>
      </w:r>
      <w:r w:rsidR="00F81E67">
        <w:rPr>
          <w:sz w:val="20"/>
          <w:szCs w:val="20"/>
        </w:rPr>
        <w:t>amelynek kihirdetése és hatályba lépése</w:t>
      </w:r>
      <w:r>
        <w:rPr>
          <w:sz w:val="20"/>
          <w:szCs w:val="20"/>
        </w:rPr>
        <w:t xml:space="preserve"> 2022 </w:t>
      </w:r>
      <w:r w:rsidR="005E762F">
        <w:rPr>
          <w:sz w:val="20"/>
          <w:szCs w:val="20"/>
        </w:rPr>
        <w:t>áprilisában</w:t>
      </w:r>
      <w:r w:rsidR="00F81E67">
        <w:rPr>
          <w:sz w:val="20"/>
          <w:szCs w:val="20"/>
        </w:rPr>
        <w:t xml:space="preserve"> várható</w:t>
      </w:r>
      <w:r>
        <w:rPr>
          <w:sz w:val="20"/>
          <w:szCs w:val="20"/>
        </w:rPr>
        <w:t>.</w:t>
      </w:r>
    </w:p>
    <w:p w14:paraId="7564F175" w14:textId="76EDC127" w:rsidR="00E573D3" w:rsidRPr="001E0E77" w:rsidRDefault="00E573D3" w:rsidP="00E573D3">
      <w:pPr>
        <w:spacing w:after="200"/>
        <w:rPr>
          <w:sz w:val="20"/>
          <w:szCs w:val="20"/>
        </w:rPr>
      </w:pPr>
      <w:r>
        <w:rPr>
          <w:sz w:val="20"/>
          <w:szCs w:val="20"/>
        </w:rPr>
        <w:t>A</w:t>
      </w:r>
      <w:r w:rsidRPr="00510E47">
        <w:rPr>
          <w:sz w:val="20"/>
          <w:szCs w:val="20"/>
        </w:rPr>
        <w:t xml:space="preserve"> 32 </w:t>
      </w:r>
      <w:proofErr w:type="spellStart"/>
      <w:r w:rsidRPr="00510E47">
        <w:rPr>
          <w:sz w:val="20"/>
          <w:szCs w:val="20"/>
        </w:rPr>
        <w:t>GHz</w:t>
      </w:r>
      <w:proofErr w:type="spellEnd"/>
      <w:r w:rsidRPr="00510E47">
        <w:rPr>
          <w:sz w:val="20"/>
          <w:szCs w:val="20"/>
        </w:rPr>
        <w:t xml:space="preserve">-es </w:t>
      </w:r>
      <w:r>
        <w:rPr>
          <w:sz w:val="20"/>
          <w:szCs w:val="20"/>
        </w:rPr>
        <w:t>frekvencia</w:t>
      </w:r>
      <w:r w:rsidRPr="00510E47">
        <w:rPr>
          <w:sz w:val="20"/>
          <w:szCs w:val="20"/>
        </w:rPr>
        <w:t xml:space="preserve">sáv </w:t>
      </w:r>
      <w:r w:rsidR="00F81E67">
        <w:rPr>
          <w:sz w:val="20"/>
          <w:szCs w:val="20"/>
        </w:rPr>
        <w:t>mihamarabbi elosztása</w:t>
      </w:r>
      <w:r w:rsidR="00F81E67" w:rsidRPr="00510E47">
        <w:rPr>
          <w:sz w:val="20"/>
          <w:szCs w:val="20"/>
        </w:rPr>
        <w:t xml:space="preserve"> </w:t>
      </w:r>
      <w:r w:rsidRPr="00510E47">
        <w:rPr>
          <w:sz w:val="20"/>
          <w:szCs w:val="20"/>
        </w:rPr>
        <w:t>lehetővé teszi, hogy az új összeköttetések már ebben a sávban</w:t>
      </w:r>
      <w:r>
        <w:rPr>
          <w:sz w:val="20"/>
          <w:szCs w:val="20"/>
        </w:rPr>
        <w:t xml:space="preserve"> </w:t>
      </w:r>
      <w:r w:rsidRPr="00510E47">
        <w:rPr>
          <w:sz w:val="20"/>
          <w:szCs w:val="20"/>
        </w:rPr>
        <w:t xml:space="preserve">létesüljenek, illetve, hogy a jelenleg még a 26 </w:t>
      </w:r>
      <w:proofErr w:type="spellStart"/>
      <w:r w:rsidRPr="00510E47">
        <w:rPr>
          <w:sz w:val="20"/>
          <w:szCs w:val="20"/>
        </w:rPr>
        <w:t>GHz</w:t>
      </w:r>
      <w:proofErr w:type="spellEnd"/>
      <w:r w:rsidRPr="00510E47">
        <w:rPr>
          <w:sz w:val="20"/>
          <w:szCs w:val="20"/>
        </w:rPr>
        <w:t xml:space="preserve">-es </w:t>
      </w:r>
      <w:r>
        <w:rPr>
          <w:sz w:val="20"/>
          <w:szCs w:val="20"/>
        </w:rPr>
        <w:t>frekvencia</w:t>
      </w:r>
      <w:r w:rsidRPr="00510E47">
        <w:rPr>
          <w:sz w:val="20"/>
          <w:szCs w:val="20"/>
        </w:rPr>
        <w:t xml:space="preserve">sávban működő </w:t>
      </w:r>
      <w:r w:rsidR="004136A4">
        <w:rPr>
          <w:sz w:val="20"/>
          <w:szCs w:val="20"/>
        </w:rPr>
        <w:t>összeköttetések</w:t>
      </w:r>
      <w:r w:rsidR="004136A4" w:rsidRPr="00510E47">
        <w:rPr>
          <w:sz w:val="20"/>
          <w:szCs w:val="20"/>
        </w:rPr>
        <w:t xml:space="preserve"> </w:t>
      </w:r>
      <w:r w:rsidRPr="00510E47">
        <w:rPr>
          <w:sz w:val="20"/>
          <w:szCs w:val="20"/>
        </w:rPr>
        <w:t xml:space="preserve">migrációja megtörténjen. A migráció után a 26 </w:t>
      </w:r>
      <w:proofErr w:type="spellStart"/>
      <w:r w:rsidRPr="00510E47">
        <w:rPr>
          <w:sz w:val="20"/>
          <w:szCs w:val="20"/>
        </w:rPr>
        <w:t>GHz</w:t>
      </w:r>
      <w:proofErr w:type="spellEnd"/>
      <w:r w:rsidRPr="00510E47">
        <w:rPr>
          <w:sz w:val="20"/>
          <w:szCs w:val="20"/>
        </w:rPr>
        <w:t xml:space="preserve">-es </w:t>
      </w:r>
      <w:r>
        <w:rPr>
          <w:sz w:val="20"/>
          <w:szCs w:val="20"/>
        </w:rPr>
        <w:t>frekvencia</w:t>
      </w:r>
      <w:r w:rsidRPr="00510E47">
        <w:rPr>
          <w:sz w:val="20"/>
          <w:szCs w:val="20"/>
        </w:rPr>
        <w:t xml:space="preserve">sáv is </w:t>
      </w:r>
      <w:r w:rsidR="00F81E67">
        <w:rPr>
          <w:sz w:val="20"/>
          <w:szCs w:val="20"/>
        </w:rPr>
        <w:t>kiürül.</w:t>
      </w:r>
      <w:r>
        <w:rPr>
          <w:sz w:val="20"/>
          <w:szCs w:val="20"/>
        </w:rPr>
        <w:t xml:space="preserve"> </w:t>
      </w:r>
      <w:r w:rsidR="00F81E67">
        <w:rPr>
          <w:sz w:val="20"/>
          <w:szCs w:val="20"/>
        </w:rPr>
        <w:t xml:space="preserve">Ezáltal piaci igény esetén nem lesz </w:t>
      </w:r>
      <w:r w:rsidR="002837F7">
        <w:rPr>
          <w:sz w:val="20"/>
          <w:szCs w:val="20"/>
        </w:rPr>
        <w:t xml:space="preserve">további </w:t>
      </w:r>
      <w:r w:rsidR="00F81E67">
        <w:rPr>
          <w:sz w:val="20"/>
          <w:szCs w:val="20"/>
        </w:rPr>
        <w:t>akadálya az unió</w:t>
      </w:r>
      <w:r w:rsidR="002837F7">
        <w:rPr>
          <w:sz w:val="20"/>
          <w:szCs w:val="20"/>
        </w:rPr>
        <w:t>s</w:t>
      </w:r>
      <w:r>
        <w:rPr>
          <w:sz w:val="20"/>
          <w:szCs w:val="20"/>
        </w:rPr>
        <w:t xml:space="preserve"> kötelezettségnek </w:t>
      </w:r>
      <w:r w:rsidR="00F81E67">
        <w:rPr>
          <w:sz w:val="20"/>
          <w:szCs w:val="20"/>
        </w:rPr>
        <w:t xml:space="preserve">eleget tenni </w:t>
      </w:r>
      <w:r>
        <w:rPr>
          <w:sz w:val="20"/>
          <w:szCs w:val="20"/>
        </w:rPr>
        <w:t>és lehetővé válik az MFCN</w:t>
      </w:r>
      <w:r w:rsidR="00F81E67">
        <w:rPr>
          <w:sz w:val="20"/>
          <w:szCs w:val="20"/>
        </w:rPr>
        <w:t xml:space="preserve"> (leginkább 5G NR)</w:t>
      </w:r>
      <w:r w:rsidR="007979F2">
        <w:rPr>
          <w:sz w:val="20"/>
          <w:szCs w:val="20"/>
        </w:rPr>
        <w:t xml:space="preserve"> </w:t>
      </w:r>
      <w:r>
        <w:rPr>
          <w:sz w:val="20"/>
          <w:szCs w:val="20"/>
        </w:rPr>
        <w:t>bevezetése a frekvenciasávban.</w:t>
      </w:r>
      <w:r w:rsidRPr="00510E47">
        <w:rPr>
          <w:sz w:val="20"/>
          <w:szCs w:val="20"/>
        </w:rPr>
        <w:t xml:space="preserve"> </w:t>
      </w:r>
    </w:p>
    <w:p w14:paraId="4BB7C344" w14:textId="7E7DEB9D" w:rsidR="00041388" w:rsidRDefault="00E573D3" w:rsidP="00E573D3">
      <w:pPr>
        <w:pStyle w:val="Behzottbekezdsnmhh"/>
      </w:pPr>
      <w:r w:rsidRPr="00D471AC">
        <w:t>.</w:t>
      </w:r>
      <w:r w:rsidR="00041388">
        <w:br w:type="page"/>
      </w:r>
    </w:p>
    <w:p w14:paraId="63CAE463" w14:textId="77777777" w:rsidR="00041388" w:rsidRDefault="00041388" w:rsidP="00041388">
      <w:pPr>
        <w:pStyle w:val="Cmsor1szmozottnmhh"/>
        <w:ind w:left="431" w:hanging="431"/>
      </w:pPr>
      <w:bookmarkStart w:id="5" w:name="_Toc473880713"/>
      <w:bookmarkStart w:id="6" w:name="_Toc82171057"/>
      <w:bookmarkStart w:id="7" w:name="_Toc89185024"/>
      <w:bookmarkStart w:id="8" w:name="_Toc96075633"/>
      <w:r w:rsidRPr="002C53F8">
        <w:lastRenderedPageBreak/>
        <w:t>Bevezetés</w:t>
      </w:r>
      <w:bookmarkEnd w:id="5"/>
      <w:bookmarkEnd w:id="6"/>
      <w:bookmarkEnd w:id="7"/>
      <w:bookmarkEnd w:id="8"/>
    </w:p>
    <w:p w14:paraId="59A33BFB" w14:textId="06CA113A" w:rsidR="00E573D3" w:rsidRDefault="00E573D3" w:rsidP="00E573D3">
      <w:pPr>
        <w:pStyle w:val="Behzottbekezdsnmhh"/>
        <w:tabs>
          <w:tab w:val="left" w:pos="977"/>
        </w:tabs>
      </w:pPr>
      <w:r>
        <w:t>A WRC</w:t>
      </w:r>
      <w:r w:rsidR="00002432">
        <w:rPr>
          <w:rStyle w:val="Lbjegyzet-hivatkozs"/>
        </w:rPr>
        <w:footnoteReference w:id="2"/>
      </w:r>
      <w:r>
        <w:t>-15 döntése alapján a WRC-19 1.13</w:t>
      </w:r>
      <w:r w:rsidR="002837F7">
        <w:t>.</w:t>
      </w:r>
      <w:r>
        <w:t xml:space="preserve"> napirendi pontja foglalkozott az 5G rendszerek céljára alkalmas frekvenciasávok globális felhasználási lehetőségének vizsgálatával. A vizsgált frekvenciasávok között szerepelt a 26 </w:t>
      </w:r>
      <w:proofErr w:type="spellStart"/>
      <w:r>
        <w:t>GHz</w:t>
      </w:r>
      <w:proofErr w:type="spellEnd"/>
      <w:r>
        <w:t>-es és a 32 </w:t>
      </w:r>
      <w:proofErr w:type="spellStart"/>
      <w:r>
        <w:t>GHz</w:t>
      </w:r>
      <w:proofErr w:type="spellEnd"/>
      <w:r>
        <w:t xml:space="preserve">-es frekvenciasáv is. </w:t>
      </w:r>
      <w:r w:rsidRPr="001C0929">
        <w:t xml:space="preserve">A </w:t>
      </w:r>
      <w:r>
        <w:t xml:space="preserve">lefolytatott műszaki vizsgálatok alapján a WRC-19 a </w:t>
      </w:r>
      <w:r w:rsidR="00CF05FE">
        <w:t>teljes 26 </w:t>
      </w:r>
      <w:proofErr w:type="spellStart"/>
      <w:r w:rsidR="00CF05FE">
        <w:t>GHz</w:t>
      </w:r>
      <w:proofErr w:type="spellEnd"/>
      <w:r w:rsidR="00CF05FE">
        <w:t xml:space="preserve">-es frekvenciasávot (24,25-27,5 </w:t>
      </w:r>
      <w:proofErr w:type="spellStart"/>
      <w:r w:rsidR="00CF05FE">
        <w:t>GHz</w:t>
      </w:r>
      <w:proofErr w:type="spellEnd"/>
      <w:r w:rsidR="00CF05FE">
        <w:t xml:space="preserve">) globálisan felosztotta a mozgószolgálat számára és </w:t>
      </w:r>
      <w:r w:rsidRPr="001C0929">
        <w:t>mozgószolgálati alkalmazásokra</w:t>
      </w:r>
      <w:r w:rsidR="00CF05FE">
        <w:t xml:space="preserve"> (IMT</w:t>
      </w:r>
      <w:r w:rsidR="00CF05FE">
        <w:rPr>
          <w:rStyle w:val="Lbjegyzet-hivatkozs"/>
        </w:rPr>
        <w:footnoteReference w:id="3"/>
      </w:r>
      <w:r w:rsidR="00CF05FE">
        <w:t>)</w:t>
      </w:r>
      <w:r w:rsidRPr="001C0929">
        <w:t xml:space="preserve"> azonosít</w:t>
      </w:r>
      <w:r>
        <w:t>otta</w:t>
      </w:r>
      <w:r w:rsidRPr="001C0929">
        <w:t xml:space="preserve">, míg a </w:t>
      </w:r>
      <w:r>
        <w:t>32 </w:t>
      </w:r>
      <w:proofErr w:type="spellStart"/>
      <w:r>
        <w:t>GHz</w:t>
      </w:r>
      <w:proofErr w:type="spellEnd"/>
      <w:r>
        <w:t xml:space="preserve"> frekvenciasáv</w:t>
      </w:r>
      <w:r w:rsidRPr="001C0929">
        <w:t xml:space="preserve"> ilyen célú alkalmazását elvetett</w:t>
      </w:r>
      <w:r>
        <w:t>e.</w:t>
      </w:r>
    </w:p>
    <w:p w14:paraId="6640E2E0" w14:textId="5F6130E0" w:rsidR="00E573D3" w:rsidRDefault="004136A4" w:rsidP="006944D0">
      <w:pPr>
        <w:pStyle w:val="Behzottbekezdsnmhh"/>
      </w:pPr>
      <w:r>
        <w:t>Az Európai Bizottság a mobilszolgáltatások fejlesztésének elősegítése érdekében több 5G bevezetésére alkalmas frekvenciasávot is megjelölt, így a 700 MHz-es és 3400-3800 MHz frekvenciasávok mellett a 24,25-27,5 </w:t>
      </w:r>
      <w:proofErr w:type="spellStart"/>
      <w:r>
        <w:t>GHz</w:t>
      </w:r>
      <w:proofErr w:type="spellEnd"/>
      <w:r>
        <w:t>, azaz a 26 </w:t>
      </w:r>
      <w:proofErr w:type="spellStart"/>
      <w:r>
        <w:t>GHz</w:t>
      </w:r>
      <w:proofErr w:type="spellEnd"/>
      <w:r>
        <w:t>-es frekvenciasávot is (5G úttörő sávok) az RSPG</w:t>
      </w:r>
      <w:r w:rsidR="000F149D">
        <w:rPr>
          <w:rStyle w:val="Lbjegyzet-hivatkozs"/>
        </w:rPr>
        <w:footnoteReference w:id="4"/>
      </w:r>
      <w:r>
        <w:t xml:space="preserve"> </w:t>
      </w:r>
      <w:r w:rsidR="007F2D12" w:rsidRPr="00644B8E">
        <w:t>5G spektrum kérdései tárgykörben kiadott</w:t>
      </w:r>
      <w:r>
        <w:t xml:space="preserve"> szakvélemény</w:t>
      </w:r>
      <w:r w:rsidR="007F2D12">
        <w:t>év</w:t>
      </w:r>
      <w:r>
        <w:t xml:space="preserve">el összhangban. </w:t>
      </w:r>
      <w:r w:rsidR="007F2D12">
        <w:t>Erre a</w:t>
      </w:r>
      <w:r w:rsidR="00E573D3" w:rsidRPr="00644B8E">
        <w:t xml:space="preserve"> </w:t>
      </w:r>
      <w:r w:rsidR="00E573D3" w:rsidRPr="00C81B53">
        <w:t>szakvéleményre</w:t>
      </w:r>
      <w:r w:rsidR="00E573D3">
        <w:rPr>
          <w:rStyle w:val="Lbjegyzet-hivatkozs"/>
        </w:rPr>
        <w:footnoteReference w:id="5"/>
      </w:r>
      <w:r w:rsidR="00E573D3" w:rsidRPr="00C81B53">
        <w:t xml:space="preserve"> alapozva </w:t>
      </w:r>
      <w:r w:rsidR="00E573D3">
        <w:t>2016. december 7-én született az az EU mandátum</w:t>
      </w:r>
      <w:r w:rsidR="00E573D3">
        <w:rPr>
          <w:rStyle w:val="Lbjegyzet-hivatkozs"/>
        </w:rPr>
        <w:footnoteReference w:id="6"/>
      </w:r>
      <w:r w:rsidR="00E573D3">
        <w:t>, amelyben felkérték a CEPT</w:t>
      </w:r>
      <w:r w:rsidR="007F2D12">
        <w:rPr>
          <w:rStyle w:val="Lbjegyzet-hivatkozs"/>
        </w:rPr>
        <w:footnoteReference w:id="7"/>
      </w:r>
      <w:r w:rsidR="00E573D3">
        <w:t xml:space="preserve">-et, hogy tanulmányozza a dokumentumban megadott sávokra vonatkozóan az 5G bevezethetőségét, figyelembe véve a jelenlegi felhasználásokat. </w:t>
      </w:r>
    </w:p>
    <w:p w14:paraId="624C8B48" w14:textId="04C2C662" w:rsidR="00E573D3" w:rsidRDefault="00E573D3" w:rsidP="00E573D3">
      <w:pPr>
        <w:pStyle w:val="Behzottbekezdsnmhh"/>
        <w:tabs>
          <w:tab w:val="left" w:pos="977"/>
        </w:tabs>
      </w:pPr>
      <w:r>
        <w:t>Az EU mandátum a 6 </w:t>
      </w:r>
      <w:proofErr w:type="spellStart"/>
      <w:r>
        <w:t>GHz</w:t>
      </w:r>
      <w:proofErr w:type="spellEnd"/>
      <w:r>
        <w:t xml:space="preserve"> feletti frekvenciasávok közül, </w:t>
      </w:r>
      <w:r w:rsidRPr="002035CF">
        <w:t xml:space="preserve">a 26 </w:t>
      </w:r>
      <w:proofErr w:type="spellStart"/>
      <w:r w:rsidRPr="002035CF">
        <w:t>GHz</w:t>
      </w:r>
      <w:proofErr w:type="spellEnd"/>
      <w:r w:rsidRPr="002035CF">
        <w:t xml:space="preserve">-es </w:t>
      </w:r>
      <w:r>
        <w:t>frekvencia</w:t>
      </w:r>
      <w:r w:rsidRPr="002035CF">
        <w:t>sáv mellett</w:t>
      </w:r>
      <w:r>
        <w:t xml:space="preserve"> potenciálisan 5G célra felhasználható frekvenciasávként azonosította még a 32 </w:t>
      </w:r>
      <w:proofErr w:type="spellStart"/>
      <w:r>
        <w:t>GHz</w:t>
      </w:r>
      <w:proofErr w:type="spellEnd"/>
      <w:r>
        <w:t>-es és 42 </w:t>
      </w:r>
      <w:proofErr w:type="spellStart"/>
      <w:r>
        <w:t>GHz</w:t>
      </w:r>
      <w:proofErr w:type="spellEnd"/>
      <w:r>
        <w:t>-es frekvenciasávokat is. Ezek vizsgálata a WRC-19 felkészülés keretében történt meg. Európai szinten a WRC-19-et megelőzően az a döntés született, hogy a 32 </w:t>
      </w:r>
      <w:proofErr w:type="spellStart"/>
      <w:r>
        <w:t>GHz</w:t>
      </w:r>
      <w:proofErr w:type="spellEnd"/>
      <w:r>
        <w:t>-es frekvenciasáv, egyéb szolgálatokkal való összeférhetőségi problémák miatt, nem javasolt az 5G bevezetésére. Közben megszülettek azok az uniós döntések, melyek a 26 </w:t>
      </w:r>
      <w:proofErr w:type="spellStart"/>
      <w:r>
        <w:t>GHz</w:t>
      </w:r>
      <w:proofErr w:type="spellEnd"/>
      <w:r>
        <w:t xml:space="preserve">-es frekvenciasáv 5G célú használatát is lehetővé tevő, harmonizált használatát szolgálják. Implementációs kötelezettségként, a piaci igényektől függően, 2020. december 31-éig kellett használhatóvá tenni a 26 </w:t>
      </w:r>
      <w:proofErr w:type="spellStart"/>
      <w:r>
        <w:t>GHz</w:t>
      </w:r>
      <w:proofErr w:type="spellEnd"/>
      <w:r>
        <w:t xml:space="preserve">-es frekvenciasávot vezeték nélküli szélessávú elektronikus hírközlési hálózatok, különösen 5G számára. Ennek érdekében a </w:t>
      </w:r>
      <w:r w:rsidRPr="00AB394D">
        <w:t xml:space="preserve">nemzeti frekvenciafelosztásról, valamint a frekvenciasávok felhasználási szabályairól szóló </w:t>
      </w:r>
      <w:r>
        <w:t>7/2015. (XI. 13.) NMHH rendeletében</w:t>
      </w:r>
      <w:r w:rsidRPr="00AB394D">
        <w:t xml:space="preserve"> (továbbiakban</w:t>
      </w:r>
      <w:r>
        <w:t>:</w:t>
      </w:r>
      <w:r w:rsidRPr="00AB394D">
        <w:t xml:space="preserve"> NFFF)</w:t>
      </w:r>
      <w:r>
        <w:t xml:space="preserve"> tervezett alkalmazásként </w:t>
      </w:r>
      <w:r w:rsidR="000F5735">
        <w:t xml:space="preserve">beépítésre kerültek </w:t>
      </w:r>
      <w:r>
        <w:t xml:space="preserve">a 26 </w:t>
      </w:r>
      <w:proofErr w:type="spellStart"/>
      <w:r>
        <w:t>GHz</w:t>
      </w:r>
      <w:proofErr w:type="spellEnd"/>
      <w:r>
        <w:t>-es frekvenciasáv</w:t>
      </w:r>
      <w:r w:rsidR="000F5735">
        <w:t>ban a</w:t>
      </w:r>
      <w:r>
        <w:t xml:space="preserve"> földfelszíni elektronikus hírközlő hálózatok (amelybe beleértendők az 5G MFCN rendszerek is). A 26 </w:t>
      </w:r>
      <w:proofErr w:type="spellStart"/>
      <w:r>
        <w:t>GHz</w:t>
      </w:r>
      <w:proofErr w:type="spellEnd"/>
      <w:r>
        <w:t xml:space="preserve">-es frekvenciasávban 5G bevezetése piaci igény esetén is csak akkor lesz ténylegesen lehetséges, ha a meglévő állandóhelyű </w:t>
      </w:r>
      <w:r w:rsidR="000F149D">
        <w:t>használat kiváltás</w:t>
      </w:r>
      <w:r w:rsidR="00203E47">
        <w:t>a</w:t>
      </w:r>
      <w:r w:rsidR="000F149D">
        <w:t xml:space="preserve"> </w:t>
      </w:r>
      <w:r>
        <w:t xml:space="preserve">másik frekvenciasávban lehetővé </w:t>
      </w:r>
      <w:r w:rsidR="00203E47">
        <w:t>válik</w:t>
      </w:r>
      <w:r>
        <w:t xml:space="preserve">. </w:t>
      </w:r>
      <w:r w:rsidR="007E0713">
        <w:t xml:space="preserve">E célból </w:t>
      </w:r>
      <w:r>
        <w:t>a 32 </w:t>
      </w:r>
      <w:proofErr w:type="spellStart"/>
      <w:r>
        <w:t>GHz</w:t>
      </w:r>
      <w:proofErr w:type="spellEnd"/>
      <w:r>
        <w:t>-es frekvenciasáv</w:t>
      </w:r>
      <w:r w:rsidR="000F5735">
        <w:t>ot azonosított</w:t>
      </w:r>
      <w:r w:rsidR="00203E47">
        <w:t>a</w:t>
      </w:r>
      <w:r w:rsidR="000F5735">
        <w:t xml:space="preserve"> az NMHH</w:t>
      </w:r>
      <w:r>
        <w:t>, amely alkalmazási módját, hullámterjedési jellemzőit és spektrummennyiségét illetően, ha nem is teljesen azonos, de hasonló a 26 </w:t>
      </w:r>
      <w:proofErr w:type="spellStart"/>
      <w:r>
        <w:t>GHz</w:t>
      </w:r>
      <w:proofErr w:type="spellEnd"/>
      <w:r>
        <w:t>-es frekvenciasávhoz.</w:t>
      </w:r>
    </w:p>
    <w:p w14:paraId="2D88362E" w14:textId="2F173BA7" w:rsidR="00E573D3" w:rsidRDefault="00E573D3" w:rsidP="00E573D3">
      <w:pPr>
        <w:pStyle w:val="Behzottbekezdsnmhh"/>
        <w:tabs>
          <w:tab w:val="left" w:pos="977"/>
        </w:tabs>
      </w:pPr>
      <w:r>
        <w:t xml:space="preserve">Az 5G-re azonosított 26 </w:t>
      </w:r>
      <w:proofErr w:type="spellStart"/>
      <w:r>
        <w:t>GHz</w:t>
      </w:r>
      <w:proofErr w:type="spellEnd"/>
      <w:r>
        <w:t>-es frekvenciasáv jelentős részében, a 24,5-26,5 </w:t>
      </w:r>
      <w:proofErr w:type="spellStart"/>
      <w:r>
        <w:t>GHz</w:t>
      </w:r>
      <w:proofErr w:type="spellEnd"/>
      <w:r>
        <w:t xml:space="preserve"> frekvenciatartományban állandóhelyű pont-pont és pont-többpont rendszerek működnek. A </w:t>
      </w:r>
      <w:r w:rsidR="000F5735">
        <w:t xml:space="preserve">jogosultak </w:t>
      </w:r>
      <w:r>
        <w:t xml:space="preserve">főként felhordóhálózati (jellemzően pont-pont) összeköttetéseket </w:t>
      </w:r>
      <w:r w:rsidR="000F5735">
        <w:t>üzemeltetnek</w:t>
      </w:r>
      <w:r>
        <w:t xml:space="preserve"> a frekvenciasávban. </w:t>
      </w:r>
      <w:r w:rsidRPr="004E52FB">
        <w:t xml:space="preserve">A </w:t>
      </w:r>
      <w:r w:rsidR="000F5735">
        <w:t>rádió</w:t>
      </w:r>
      <w:r>
        <w:t>spektrum</w:t>
      </w:r>
      <w:r w:rsidR="000F5735">
        <w:t>-</w:t>
      </w:r>
      <w:r w:rsidRPr="004E52FB">
        <w:t>használati jogo</w:t>
      </w:r>
      <w:r w:rsidR="000F5735">
        <w:t>sultságo</w:t>
      </w:r>
      <w:r w:rsidRPr="004E52FB">
        <w:t xml:space="preserve">k </w:t>
      </w:r>
      <w:r>
        <w:t>döntő többsége 2027-ben jár</w:t>
      </w:r>
      <w:r w:rsidR="000F5735">
        <w:t xml:space="preserve"> le</w:t>
      </w:r>
      <w:r>
        <w:t>.</w:t>
      </w:r>
    </w:p>
    <w:p w14:paraId="5D934133" w14:textId="500BE44E" w:rsidR="00E573D3" w:rsidRDefault="00E573D3" w:rsidP="00FE2890">
      <w:pPr>
        <w:pStyle w:val="Behzottbekezdsnmhh"/>
        <w:tabs>
          <w:tab w:val="left" w:pos="977"/>
        </w:tabs>
      </w:pPr>
      <w:r>
        <w:t xml:space="preserve">A meglevő vizsgálatok azt mutatják, hogy a 26 </w:t>
      </w:r>
      <w:proofErr w:type="spellStart"/>
      <w:r>
        <w:t>GHz</w:t>
      </w:r>
      <w:proofErr w:type="spellEnd"/>
      <w:r>
        <w:t xml:space="preserve">-es frekvenciasávban jelenleg üzemelő állandóhelyű rendszerek és a tervezett újgenerációs mozgószolgálati rendszerek együttélése összeférhetőségi problémákhoz vezethet, amit csak egyedi védelmi feltételek meghatározásával lehet </w:t>
      </w:r>
      <w:r>
        <w:lastRenderedPageBreak/>
        <w:t xml:space="preserve">biztosítani, ezért amennyiben 5G NR rendszerek számára elérhetővé </w:t>
      </w:r>
      <w:r w:rsidR="00203E47">
        <w:t xml:space="preserve">válik </w:t>
      </w:r>
      <w:r>
        <w:t>a frekvenciasáv, mindenképp szükséges biztosítani alternatív frekvenciasávot az állandóhelyű rendszerek működtetéséhez. A 32 </w:t>
      </w:r>
      <w:proofErr w:type="spellStart"/>
      <w:r>
        <w:t>GHz</w:t>
      </w:r>
      <w:proofErr w:type="spellEnd"/>
      <w:r>
        <w:t xml:space="preserve"> frekvenciasáv</w:t>
      </w:r>
      <w:r w:rsidR="00FE2890">
        <w:t>ot azonosította az NMHH</w:t>
      </w:r>
      <w:r>
        <w:t xml:space="preserve"> erre a célra. A frekvenciasáv állandóhelyű rendszerek általi használatához szükséges műszaki feltételek jelenleg is rendelkezésre állnak mind nemzetközi szinten, mind a hazai szabályozásban, az NFFF-</w:t>
      </w:r>
      <w:proofErr w:type="spellStart"/>
      <w:r>
        <w:t>ben</w:t>
      </w:r>
      <w:proofErr w:type="spellEnd"/>
      <w:r>
        <w:t>.</w:t>
      </w:r>
    </w:p>
    <w:p w14:paraId="75392E18" w14:textId="467C0763" w:rsidR="00E573D3" w:rsidRDefault="00E573D3" w:rsidP="00E573D3">
      <w:pPr>
        <w:pStyle w:val="Behzottbekezdsnmhh"/>
        <w:tabs>
          <w:tab w:val="left" w:pos="977"/>
        </w:tabs>
      </w:pPr>
      <w:r w:rsidRPr="00AB394D">
        <w:t xml:space="preserve">A 32 </w:t>
      </w:r>
      <w:proofErr w:type="spellStart"/>
      <w:r w:rsidRPr="00AB394D">
        <w:t>GHz</w:t>
      </w:r>
      <w:proofErr w:type="spellEnd"/>
      <w:r w:rsidRPr="00AB394D">
        <w:t xml:space="preserve">-es frekvenciasáv </w:t>
      </w:r>
      <w:r>
        <w:t>az NFFF-</w:t>
      </w:r>
      <w:proofErr w:type="spellStart"/>
      <w:r>
        <w:t>ben</w:t>
      </w:r>
      <w:proofErr w:type="spellEnd"/>
      <w:r w:rsidRPr="00AB394D">
        <w:t xml:space="preserve"> állandóhelyű rendszerek </w:t>
      </w:r>
      <w:r>
        <w:t>számára</w:t>
      </w:r>
      <w:r w:rsidRPr="00AB394D">
        <w:t xml:space="preserve"> </w:t>
      </w:r>
      <w:r w:rsidR="001B5B77">
        <w:t xml:space="preserve">már korábban </w:t>
      </w:r>
      <w:r>
        <w:t>kijelöl</w:t>
      </w:r>
      <w:r w:rsidR="00051102">
        <w:t xml:space="preserve">ésre </w:t>
      </w:r>
      <w:r w:rsidR="001B5B77">
        <w:t xml:space="preserve">került </w:t>
      </w:r>
      <w:r>
        <w:t xml:space="preserve">a </w:t>
      </w:r>
      <w:r w:rsidR="00C71530">
        <w:t>sávhasználati feltételek egy rész</w:t>
      </w:r>
      <w:r w:rsidR="001B5B77">
        <w:t>ének</w:t>
      </w:r>
      <w:r w:rsidR="00C71530">
        <w:t xml:space="preserve"> </w:t>
      </w:r>
      <w:r w:rsidR="001B5B77">
        <w:t>beépítésével együtt</w:t>
      </w:r>
      <w:r w:rsidR="00C71530">
        <w:t xml:space="preserve">, a további szabályozási </w:t>
      </w:r>
      <w:r w:rsidR="00C71530">
        <w:rPr>
          <w:color w:val="000000"/>
          <w:shd w:val="clear" w:color="auto" w:fill="FFFFFF"/>
        </w:rPr>
        <w:t>részleteket</w:t>
      </w:r>
      <w:r w:rsidR="001B5B77">
        <w:rPr>
          <w:color w:val="000000"/>
          <w:shd w:val="clear" w:color="auto" w:fill="FFFFFF"/>
        </w:rPr>
        <w:t>, esetleges módosításokat</w:t>
      </w:r>
      <w:r w:rsidR="00C71530">
        <w:rPr>
          <w:color w:val="000000"/>
          <w:shd w:val="clear" w:color="auto" w:fill="FFFFFF"/>
        </w:rPr>
        <w:t xml:space="preserve"> pedig a műszaki </w:t>
      </w:r>
      <w:proofErr w:type="spellStart"/>
      <w:r w:rsidR="00C71530">
        <w:rPr>
          <w:color w:val="000000"/>
          <w:shd w:val="clear" w:color="auto" w:fill="FFFFFF"/>
        </w:rPr>
        <w:t>notifikácós</w:t>
      </w:r>
      <w:proofErr w:type="spellEnd"/>
      <w:r w:rsidR="00C71530">
        <w:rPr>
          <w:color w:val="000000"/>
          <w:shd w:val="clear" w:color="auto" w:fill="FFFFFF"/>
        </w:rPr>
        <w:t xml:space="preserve"> eljárás alatt levő NFFF módosítás tervezet tartalmazza.</w:t>
      </w:r>
      <w:r w:rsidRPr="00AB394D">
        <w:t xml:space="preserve"> Hasonlóan a 26 </w:t>
      </w:r>
      <w:proofErr w:type="spellStart"/>
      <w:r w:rsidRPr="00AB394D">
        <w:t>GHz</w:t>
      </w:r>
      <w:proofErr w:type="spellEnd"/>
      <w:r w:rsidRPr="00AB394D">
        <w:t>-es frekvenciasávhoz</w:t>
      </w:r>
      <w:r>
        <w:t>, versenyeztetési eljárás útján lehet a frekvenciasávban rádióspektrum-használati jogosultságot szerezni és a hatékony rádióspektrum használ</w:t>
      </w:r>
      <w:r w:rsidR="00FE2890">
        <w:t>at</w:t>
      </w:r>
      <w:r>
        <w:t xml:space="preserve">i szempontokat szem előtt tartva, </w:t>
      </w:r>
      <w:r w:rsidRPr="00AB394D">
        <w:t xml:space="preserve">blokkgazdálkodás keretében történő </w:t>
      </w:r>
      <w:r>
        <w:t xml:space="preserve">rádióspektrum </w:t>
      </w:r>
      <w:r w:rsidRPr="00AB394D">
        <w:t>használatra</w:t>
      </w:r>
      <w:r>
        <w:t xml:space="preserve"> </w:t>
      </w:r>
      <w:r w:rsidR="00FE2890">
        <w:t xml:space="preserve">lesz </w:t>
      </w:r>
      <w:r>
        <w:t>lehetőség. Ilyen módon a rádióspektrum-</w:t>
      </w:r>
      <w:r w:rsidRPr="00AB394D">
        <w:t xml:space="preserve">használati jogosultsággal rendelkező szolgáltatók az egyedi igényeiknek megfelelően </w:t>
      </w:r>
      <w:r>
        <w:t>tudják telepíteni</w:t>
      </w:r>
      <w:r w:rsidRPr="00AB394D">
        <w:t xml:space="preserve"> a rendszereket országos szinten, amelyek alkalmasak lehetnek akár az újgenerációs bázisállomások gerinchálózati bekötésére is. A mikrohullámú rendszerekben alkalmazott egyre fejlettebb technológiai megoldások révén az új rendszerek kiszolgálása </w:t>
      </w:r>
      <w:r w:rsidR="00203E47">
        <w:t>rugalmas</w:t>
      </w:r>
      <w:r w:rsidR="00203E47" w:rsidRPr="00AB394D">
        <w:t xml:space="preserve"> </w:t>
      </w:r>
      <w:r w:rsidRPr="00AB394D">
        <w:t>módon megvalósítható az optikai hálózat kiegészítőjeként.</w:t>
      </w:r>
    </w:p>
    <w:p w14:paraId="49230B2D" w14:textId="3F476543" w:rsidR="00E573D3" w:rsidRDefault="00CA3B28" w:rsidP="00041388">
      <w:pPr>
        <w:pStyle w:val="Behzottbekezdsnmhh"/>
        <w:tabs>
          <w:tab w:val="left" w:pos="977"/>
        </w:tabs>
      </w:pPr>
      <w:r w:rsidRPr="00CA3B28">
        <w:t xml:space="preserve">A jelenlegi nemzetközi szabályozás alapján lehetőség van 56 MHz sávszélességű csatornákon kívül 112 MHz és 224 MHz sávszélességű csatornák használatára. Blokkgazdálkodás esetén figyelembe kell venni, hogy a frekvenciasávban rendelkezésre álló elosztható </w:t>
      </w:r>
      <w:r>
        <w:t>rádió</w:t>
      </w:r>
      <w:r w:rsidRPr="00CA3B28">
        <w:t>spektrum mennyisége korlátos és a várható igények alapján meghatározott felhasználói blokkok méretének felső korlátja megszabja a használható csatornasávszélesség mértékét. Emellett azt is érdemes figyelembe venni, hogy a frekvenciasávban megszerzett rádióspektrum-használati jogosultág területi kiterjedése alapvetően országos.</w:t>
      </w:r>
      <w:r>
        <w:t xml:space="preserve"> Ezek alapján jutott az NMHH arra a szabályozói döntésre, hogy a sávban az elosztási módot versenyeztetési eljárásban határozza meg.</w:t>
      </w:r>
    </w:p>
    <w:p w14:paraId="58A31542" w14:textId="77777777" w:rsidR="00041388" w:rsidRDefault="00041388" w:rsidP="00041388">
      <w:pPr>
        <w:spacing w:after="200"/>
        <w:jc w:val="left"/>
        <w:rPr>
          <w:sz w:val="20"/>
          <w:szCs w:val="20"/>
        </w:rPr>
      </w:pPr>
      <w:r>
        <w:br w:type="page"/>
      </w:r>
    </w:p>
    <w:p w14:paraId="03735B13" w14:textId="77777777" w:rsidR="00041388" w:rsidRDefault="00041388" w:rsidP="00041388">
      <w:pPr>
        <w:pStyle w:val="Cmsor1szmozottnmhh"/>
        <w:pageBreakBefore w:val="0"/>
        <w:ind w:left="431" w:hanging="431"/>
      </w:pPr>
      <w:bookmarkStart w:id="9" w:name="_Toc82171058"/>
      <w:bookmarkStart w:id="10" w:name="_Toc89185025"/>
      <w:bookmarkStart w:id="11" w:name="_Toc96075634"/>
      <w:r>
        <w:lastRenderedPageBreak/>
        <w:t xml:space="preserve">A 32 </w:t>
      </w:r>
      <w:proofErr w:type="spellStart"/>
      <w:r>
        <w:t>GHz</w:t>
      </w:r>
      <w:proofErr w:type="spellEnd"/>
      <w:r>
        <w:t>-es sáv szabályozása</w:t>
      </w:r>
      <w:bookmarkEnd w:id="9"/>
      <w:bookmarkEnd w:id="10"/>
      <w:bookmarkEnd w:id="11"/>
    </w:p>
    <w:p w14:paraId="7B799010" w14:textId="77777777" w:rsidR="00041388" w:rsidRDefault="00041388" w:rsidP="00041388">
      <w:pPr>
        <w:pStyle w:val="Cmsor2szmozottnmhh"/>
        <w:ind w:left="578" w:hanging="578"/>
      </w:pPr>
      <w:bookmarkStart w:id="12" w:name="_Toc473880715"/>
      <w:bookmarkStart w:id="13" w:name="_Toc82171059"/>
      <w:bookmarkStart w:id="14" w:name="_Toc89185026"/>
      <w:bookmarkStart w:id="15" w:name="_Toc96075635"/>
      <w:r>
        <w:t>Nemzetközi szabályozás</w:t>
      </w:r>
      <w:bookmarkEnd w:id="12"/>
      <w:bookmarkEnd w:id="13"/>
      <w:bookmarkEnd w:id="14"/>
      <w:bookmarkEnd w:id="15"/>
    </w:p>
    <w:p w14:paraId="01989D71" w14:textId="77777777" w:rsidR="00041388" w:rsidRDefault="00041388" w:rsidP="00041388">
      <w:pPr>
        <w:pStyle w:val="Cmsor3szmozottnmhh"/>
        <w:ind w:left="1287"/>
      </w:pPr>
      <w:bookmarkStart w:id="16" w:name="_Toc473880717"/>
      <w:bookmarkStart w:id="17" w:name="_Toc82171060"/>
      <w:bookmarkStart w:id="18" w:name="_Toc89185027"/>
      <w:bookmarkStart w:id="19" w:name="_Toc473880716"/>
      <w:bookmarkStart w:id="20" w:name="_Toc96075636"/>
      <w:r>
        <w:t>ITU</w:t>
      </w:r>
      <w:bookmarkEnd w:id="16"/>
      <w:bookmarkEnd w:id="17"/>
      <w:bookmarkEnd w:id="18"/>
      <w:bookmarkEnd w:id="20"/>
    </w:p>
    <w:p w14:paraId="56DCB39E" w14:textId="7B594B48" w:rsidR="00041388" w:rsidRDefault="00041388" w:rsidP="00041388">
      <w:pPr>
        <w:pStyle w:val="Behzottbekezdsnmhh"/>
        <w:rPr>
          <w:i/>
        </w:rPr>
      </w:pPr>
      <w:r>
        <w:t>Az alábbi táblázat tartalmazza az RR</w:t>
      </w:r>
      <w:r>
        <w:rPr>
          <w:rStyle w:val="Lbjegyzet-hivatkozs"/>
        </w:rPr>
        <w:footnoteReference w:id="8"/>
      </w:r>
      <w:r>
        <w:t xml:space="preserve"> szerinti felosztást a 31,8-33,4 </w:t>
      </w:r>
      <w:proofErr w:type="spellStart"/>
      <w:r>
        <w:t>GHz</w:t>
      </w:r>
      <w:proofErr w:type="spellEnd"/>
      <w:r>
        <w:t xml:space="preserve"> </w:t>
      </w:r>
      <w:r w:rsidR="00E573D3">
        <w:t>frekvencia</w:t>
      </w:r>
      <w:r>
        <w:t xml:space="preserve">sávra vonatkozóan az NFFF 1. melléklete alapján. </w:t>
      </w:r>
    </w:p>
    <w:p w14:paraId="6BE39DBF" w14:textId="77777777" w:rsidR="00041388" w:rsidRDefault="00041388" w:rsidP="00041388">
      <w:pPr>
        <w:pStyle w:val="Behzottbekezdsnmhh"/>
        <w:rPr>
          <w:i/>
        </w:rPr>
      </w:pPr>
    </w:p>
    <w:tbl>
      <w:tblPr>
        <w:tblStyle w:val="NormalTablePHPDOCX"/>
        <w:tblW w:w="9561" w:type="dxa"/>
        <w:tblInd w:w="-6" w:type="dxa"/>
        <w:tblBorders>
          <w:top w:val="single" w:sz="5" w:space="0" w:color="000000"/>
          <w:left w:val="single" w:sz="5" w:space="0" w:color="000000"/>
          <w:bottom w:val="single" w:sz="15" w:space="0" w:color="000000"/>
          <w:right w:val="single" w:sz="5" w:space="0" w:color="000000"/>
        </w:tblBorders>
        <w:tblLayout w:type="fixed"/>
        <w:tblLook w:val="04A0" w:firstRow="1" w:lastRow="0" w:firstColumn="1" w:lastColumn="0" w:noHBand="0" w:noVBand="1"/>
      </w:tblPr>
      <w:tblGrid>
        <w:gridCol w:w="21"/>
        <w:gridCol w:w="519"/>
        <w:gridCol w:w="21"/>
        <w:gridCol w:w="2229"/>
        <w:gridCol w:w="21"/>
        <w:gridCol w:w="2229"/>
        <w:gridCol w:w="2250"/>
        <w:gridCol w:w="21"/>
        <w:gridCol w:w="2229"/>
        <w:gridCol w:w="21"/>
      </w:tblGrid>
      <w:tr w:rsidR="00041388" w14:paraId="72758799" w14:textId="77777777" w:rsidTr="00D96CED">
        <w:trPr>
          <w:gridAfter w:val="1"/>
          <w:wAfter w:w="21" w:type="dxa"/>
          <w:trHeight w:val="120"/>
          <w:tblHeader/>
        </w:trPr>
        <w:tc>
          <w:tcPr>
            <w:tcW w:w="540" w:type="dxa"/>
            <w:gridSpan w:val="2"/>
            <w:tcBorders>
              <w:top w:val="single" w:sz="5" w:space="0" w:color="000000"/>
              <w:left w:val="single" w:sz="5" w:space="0" w:color="000000"/>
              <w:bottom w:val="single" w:sz="3" w:space="0" w:color="000000"/>
              <w:right w:val="single" w:sz="5" w:space="0" w:color="000000"/>
            </w:tcBorders>
            <w:tcMar>
              <w:top w:w="15" w:type="dxa"/>
              <w:left w:w="15" w:type="dxa"/>
              <w:bottom w:w="15" w:type="dxa"/>
              <w:right w:w="15" w:type="dxa"/>
            </w:tcMar>
            <w:vAlign w:val="center"/>
          </w:tcPr>
          <w:p w14:paraId="16279C87" w14:textId="77777777" w:rsidR="00041388" w:rsidRPr="007E0713" w:rsidRDefault="00041388" w:rsidP="00D96CED">
            <w:pPr>
              <w:spacing w:after="0" w:line="240" w:lineRule="auto"/>
              <w:jc w:val="center"/>
              <w:rPr>
                <w:lang w:val="hu-HU"/>
              </w:rPr>
            </w:pPr>
            <w:r w:rsidRPr="00570353">
              <w:rPr>
                <w:rFonts w:ascii="Arial" w:eastAsia="Arial" w:hAnsi="Arial" w:cs="Arial"/>
                <w:color w:val="000000"/>
                <w:position w:val="-2"/>
                <w:sz w:val="14"/>
                <w:szCs w:val="14"/>
                <w:lang w:val="hu-HU"/>
              </w:rPr>
              <w:t> </w:t>
            </w:r>
          </w:p>
        </w:tc>
        <w:tc>
          <w:tcPr>
            <w:tcW w:w="2250" w:type="dxa"/>
            <w:gridSpan w:val="2"/>
            <w:tcBorders>
              <w:top w:val="single" w:sz="5" w:space="0" w:color="000000"/>
              <w:left w:val="single" w:sz="5" w:space="0" w:color="000000"/>
              <w:bottom w:val="single" w:sz="15" w:space="0" w:color="000000"/>
              <w:right w:val="single" w:sz="5" w:space="0" w:color="000000"/>
            </w:tcBorders>
            <w:tcMar>
              <w:top w:w="15" w:type="dxa"/>
              <w:left w:w="15" w:type="dxa"/>
              <w:bottom w:w="15" w:type="dxa"/>
              <w:right w:w="15" w:type="dxa"/>
            </w:tcMar>
            <w:vAlign w:val="center"/>
          </w:tcPr>
          <w:p w14:paraId="08ACAF81" w14:textId="77777777" w:rsidR="00041388" w:rsidRDefault="00041388" w:rsidP="00D96CED">
            <w:pPr>
              <w:spacing w:after="0" w:line="240" w:lineRule="auto"/>
              <w:jc w:val="center"/>
            </w:pPr>
            <w:r>
              <w:rPr>
                <w:rFonts w:ascii="Arial" w:eastAsia="Arial" w:hAnsi="Arial" w:cs="Arial"/>
                <w:color w:val="000000"/>
                <w:position w:val="-2"/>
                <w:sz w:val="14"/>
                <w:szCs w:val="14"/>
              </w:rPr>
              <w:t>A</w:t>
            </w:r>
          </w:p>
        </w:tc>
        <w:tc>
          <w:tcPr>
            <w:tcW w:w="2250" w:type="dxa"/>
            <w:gridSpan w:val="2"/>
            <w:tcBorders>
              <w:top w:val="single" w:sz="5" w:space="0" w:color="000000"/>
              <w:left w:val="single" w:sz="5" w:space="0" w:color="000000"/>
              <w:bottom w:val="single" w:sz="15" w:space="0" w:color="000000"/>
              <w:right w:val="single" w:sz="5" w:space="0" w:color="000000"/>
            </w:tcBorders>
            <w:tcMar>
              <w:top w:w="15" w:type="dxa"/>
              <w:left w:w="15" w:type="dxa"/>
              <w:bottom w:w="15" w:type="dxa"/>
              <w:right w:w="15" w:type="dxa"/>
            </w:tcMar>
            <w:vAlign w:val="center"/>
          </w:tcPr>
          <w:p w14:paraId="63D58DC6" w14:textId="77777777" w:rsidR="00041388" w:rsidRDefault="00041388" w:rsidP="00D96CED">
            <w:pPr>
              <w:spacing w:after="0" w:line="240" w:lineRule="auto"/>
              <w:jc w:val="center"/>
            </w:pPr>
            <w:r>
              <w:rPr>
                <w:rFonts w:ascii="Arial" w:eastAsia="Arial" w:hAnsi="Arial" w:cs="Arial"/>
                <w:color w:val="000000"/>
                <w:position w:val="-2"/>
                <w:sz w:val="14"/>
                <w:szCs w:val="14"/>
              </w:rPr>
              <w:t>B</w:t>
            </w:r>
          </w:p>
        </w:tc>
        <w:tc>
          <w:tcPr>
            <w:tcW w:w="2250" w:type="dxa"/>
            <w:tcBorders>
              <w:top w:val="single" w:sz="5" w:space="0" w:color="000000"/>
              <w:left w:val="single" w:sz="5" w:space="0" w:color="000000"/>
              <w:bottom w:val="single" w:sz="15" w:space="0" w:color="000000"/>
              <w:right w:val="single" w:sz="5" w:space="0" w:color="000000"/>
            </w:tcBorders>
            <w:tcMar>
              <w:top w:w="15" w:type="dxa"/>
              <w:left w:w="15" w:type="dxa"/>
              <w:bottom w:w="15" w:type="dxa"/>
              <w:right w:w="15" w:type="dxa"/>
            </w:tcMar>
            <w:vAlign w:val="center"/>
          </w:tcPr>
          <w:p w14:paraId="12ACE1B0" w14:textId="77777777" w:rsidR="00041388" w:rsidRDefault="00041388" w:rsidP="00D96CED">
            <w:pPr>
              <w:spacing w:after="0" w:line="240" w:lineRule="auto"/>
              <w:jc w:val="center"/>
            </w:pPr>
            <w:r>
              <w:rPr>
                <w:rFonts w:ascii="Arial" w:eastAsia="Arial" w:hAnsi="Arial" w:cs="Arial"/>
                <w:color w:val="000000"/>
                <w:position w:val="-2"/>
                <w:sz w:val="14"/>
                <w:szCs w:val="14"/>
              </w:rPr>
              <w:t>C</w:t>
            </w:r>
          </w:p>
        </w:tc>
        <w:tc>
          <w:tcPr>
            <w:tcW w:w="2250" w:type="dxa"/>
            <w:gridSpan w:val="2"/>
            <w:tcBorders>
              <w:top w:val="single" w:sz="5" w:space="0" w:color="000000"/>
              <w:left w:val="single" w:sz="5" w:space="0" w:color="000000"/>
              <w:bottom w:val="single" w:sz="15" w:space="0" w:color="000000"/>
              <w:right w:val="single" w:sz="5" w:space="0" w:color="000000"/>
            </w:tcBorders>
            <w:tcMar>
              <w:top w:w="15" w:type="dxa"/>
              <w:left w:w="15" w:type="dxa"/>
              <w:bottom w:w="15" w:type="dxa"/>
              <w:right w:w="15" w:type="dxa"/>
            </w:tcMar>
            <w:vAlign w:val="center"/>
          </w:tcPr>
          <w:p w14:paraId="0D5AE0FA" w14:textId="77777777" w:rsidR="00041388" w:rsidRDefault="00041388" w:rsidP="00D96CED">
            <w:pPr>
              <w:spacing w:after="0" w:line="240" w:lineRule="auto"/>
              <w:jc w:val="center"/>
            </w:pPr>
            <w:r>
              <w:rPr>
                <w:rFonts w:ascii="Arial" w:eastAsia="Arial" w:hAnsi="Arial" w:cs="Arial"/>
                <w:color w:val="000000"/>
                <w:position w:val="-2"/>
                <w:sz w:val="14"/>
                <w:szCs w:val="14"/>
              </w:rPr>
              <w:t>D</w:t>
            </w:r>
          </w:p>
        </w:tc>
      </w:tr>
      <w:tr w:rsidR="00041388" w14:paraId="5A5D553E" w14:textId="77777777" w:rsidTr="00D96CED">
        <w:trPr>
          <w:gridAfter w:val="1"/>
          <w:wAfter w:w="21" w:type="dxa"/>
          <w:tblHeader/>
        </w:trPr>
        <w:tc>
          <w:tcPr>
            <w:tcW w:w="540" w:type="dxa"/>
            <w:gridSpan w:val="2"/>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14:paraId="21DFDBF0" w14:textId="77777777" w:rsidR="00041388" w:rsidRDefault="00041388" w:rsidP="00D96CED">
            <w:pPr>
              <w:spacing w:after="0" w:line="240" w:lineRule="auto"/>
              <w:jc w:val="center"/>
            </w:pPr>
            <w:r>
              <w:rPr>
                <w:rFonts w:ascii="Arial" w:eastAsia="Arial" w:hAnsi="Arial" w:cs="Arial"/>
                <w:color w:val="000000"/>
                <w:position w:val="-2"/>
                <w:sz w:val="14"/>
                <w:szCs w:val="14"/>
              </w:rPr>
              <w:t>1 </w:t>
            </w:r>
          </w:p>
        </w:tc>
        <w:tc>
          <w:tcPr>
            <w:tcW w:w="6750" w:type="dxa"/>
            <w:gridSpan w:val="5"/>
            <w:tcBorders>
              <w:top w:val="single" w:sz="5" w:space="0" w:color="000000"/>
              <w:left w:val="single" w:sz="15" w:space="0" w:color="000000"/>
              <w:bottom w:val="single" w:sz="5" w:space="0" w:color="000000"/>
              <w:right w:val="single" w:sz="5" w:space="0" w:color="000000"/>
            </w:tcBorders>
            <w:tcMar>
              <w:top w:w="15" w:type="dxa"/>
              <w:left w:w="15" w:type="dxa"/>
              <w:bottom w:w="15" w:type="dxa"/>
              <w:right w:w="15" w:type="dxa"/>
            </w:tcMar>
            <w:vAlign w:val="center"/>
          </w:tcPr>
          <w:p w14:paraId="24055AA2" w14:textId="77777777" w:rsidR="00041388" w:rsidRDefault="00041388" w:rsidP="00D96CED">
            <w:pPr>
              <w:spacing w:after="0" w:line="240" w:lineRule="auto"/>
              <w:jc w:val="center"/>
            </w:pPr>
            <w:r>
              <w:rPr>
                <w:rFonts w:ascii="Arial" w:eastAsia="Arial" w:hAnsi="Arial" w:cs="Arial"/>
                <w:color w:val="000000"/>
                <w:position w:val="-2"/>
                <w:sz w:val="14"/>
                <w:szCs w:val="14"/>
              </w:rPr>
              <w:t>RR FREKVENCIASÁVOK FELOSZTÁSI TÁBLÁZATA</w:t>
            </w:r>
          </w:p>
        </w:tc>
        <w:tc>
          <w:tcPr>
            <w:tcW w:w="2250" w:type="dxa"/>
            <w:gridSpan w:val="2"/>
            <w:vMerge w:val="restart"/>
            <w:tcBorders>
              <w:top w:val="single" w:sz="5" w:space="0" w:color="000000"/>
              <w:left w:val="single" w:sz="15" w:space="0" w:color="000000"/>
              <w:bottom w:val="single" w:sz="15" w:space="0" w:color="000000"/>
              <w:right w:val="single" w:sz="15" w:space="0" w:color="000000"/>
            </w:tcBorders>
            <w:tcMar>
              <w:top w:w="15" w:type="dxa"/>
              <w:left w:w="15" w:type="dxa"/>
              <w:bottom w:w="15" w:type="dxa"/>
              <w:right w:w="15" w:type="dxa"/>
            </w:tcMar>
            <w:vAlign w:val="center"/>
          </w:tcPr>
          <w:p w14:paraId="7C72C786" w14:textId="77777777" w:rsidR="00041388" w:rsidRDefault="00041388" w:rsidP="00D96CED">
            <w:pPr>
              <w:spacing w:after="0" w:line="240" w:lineRule="auto"/>
              <w:jc w:val="center"/>
            </w:pPr>
            <w:r>
              <w:rPr>
                <w:rFonts w:ascii="Arial" w:eastAsia="Arial" w:hAnsi="Arial" w:cs="Arial"/>
                <w:color w:val="000000"/>
                <w:position w:val="-2"/>
                <w:sz w:val="14"/>
                <w:szCs w:val="14"/>
              </w:rPr>
              <w:t>MAGYARORSZÁGRA ÉRVÉNYES FELOSZTÁS AZ RR SZERINT</w:t>
            </w:r>
          </w:p>
        </w:tc>
      </w:tr>
      <w:tr w:rsidR="00041388" w14:paraId="49DE7EA7" w14:textId="77777777" w:rsidTr="00D96CED">
        <w:trPr>
          <w:gridAfter w:val="1"/>
          <w:wAfter w:w="21" w:type="dxa"/>
          <w:tblHeader/>
        </w:trPr>
        <w:tc>
          <w:tcPr>
            <w:tcW w:w="540" w:type="dxa"/>
            <w:gridSpan w:val="2"/>
            <w:tcBorders>
              <w:top w:val="single" w:sz="5" w:space="0" w:color="000000"/>
              <w:left w:val="single" w:sz="5" w:space="0" w:color="000000"/>
              <w:bottom w:val="single" w:sz="5" w:space="0" w:color="000000"/>
              <w:right w:val="single" w:sz="5" w:space="0" w:color="000000"/>
            </w:tcBorders>
            <w:tcMar>
              <w:top w:w="15" w:type="dxa"/>
              <w:left w:w="15" w:type="dxa"/>
              <w:bottom w:w="15" w:type="dxa"/>
              <w:right w:w="15" w:type="dxa"/>
            </w:tcMar>
            <w:vAlign w:val="center"/>
          </w:tcPr>
          <w:p w14:paraId="499C0536" w14:textId="77777777" w:rsidR="00041388" w:rsidRDefault="00041388" w:rsidP="00D96CED">
            <w:pPr>
              <w:spacing w:after="0" w:line="240" w:lineRule="auto"/>
              <w:jc w:val="center"/>
            </w:pPr>
            <w:r>
              <w:rPr>
                <w:rFonts w:ascii="Arial" w:eastAsia="Arial" w:hAnsi="Arial" w:cs="Arial"/>
                <w:color w:val="000000"/>
                <w:position w:val="-2"/>
                <w:sz w:val="14"/>
                <w:szCs w:val="14"/>
              </w:rPr>
              <w:t>2 </w:t>
            </w:r>
          </w:p>
        </w:tc>
        <w:tc>
          <w:tcPr>
            <w:tcW w:w="2250" w:type="dxa"/>
            <w:gridSpan w:val="2"/>
            <w:tcBorders>
              <w:top w:val="single" w:sz="5" w:space="0" w:color="000000"/>
              <w:left w:val="single" w:sz="15" w:space="0" w:color="000000"/>
              <w:bottom w:val="single" w:sz="15" w:space="0" w:color="000000"/>
              <w:right w:val="single" w:sz="5" w:space="0" w:color="000000"/>
            </w:tcBorders>
            <w:tcMar>
              <w:top w:w="15" w:type="dxa"/>
              <w:left w:w="15" w:type="dxa"/>
              <w:bottom w:w="15" w:type="dxa"/>
              <w:right w:w="15" w:type="dxa"/>
            </w:tcMar>
            <w:vAlign w:val="center"/>
          </w:tcPr>
          <w:p w14:paraId="0180D2B8" w14:textId="77777777" w:rsidR="00041388" w:rsidRDefault="00041388" w:rsidP="00D96CED">
            <w:pPr>
              <w:spacing w:after="0" w:line="240" w:lineRule="auto"/>
              <w:jc w:val="center"/>
            </w:pPr>
            <w:r>
              <w:rPr>
                <w:rFonts w:ascii="Arial" w:eastAsia="Arial" w:hAnsi="Arial" w:cs="Arial"/>
                <w:color w:val="000000"/>
                <w:position w:val="-2"/>
                <w:sz w:val="14"/>
                <w:szCs w:val="14"/>
              </w:rPr>
              <w:t>1. KÖRZET</w:t>
            </w:r>
          </w:p>
        </w:tc>
        <w:tc>
          <w:tcPr>
            <w:tcW w:w="2250" w:type="dxa"/>
            <w:gridSpan w:val="2"/>
            <w:tcBorders>
              <w:top w:val="single" w:sz="5" w:space="0" w:color="000000"/>
              <w:left w:val="single" w:sz="5" w:space="0" w:color="000000"/>
              <w:bottom w:val="single" w:sz="15" w:space="0" w:color="000000"/>
              <w:right w:val="single" w:sz="5" w:space="0" w:color="000000"/>
            </w:tcBorders>
            <w:tcMar>
              <w:top w:w="15" w:type="dxa"/>
              <w:left w:w="15" w:type="dxa"/>
              <w:bottom w:w="15" w:type="dxa"/>
              <w:right w:w="15" w:type="dxa"/>
            </w:tcMar>
            <w:vAlign w:val="center"/>
          </w:tcPr>
          <w:p w14:paraId="4620981D" w14:textId="77777777" w:rsidR="00041388" w:rsidRDefault="00041388" w:rsidP="00D96CED">
            <w:pPr>
              <w:spacing w:after="0" w:line="240" w:lineRule="auto"/>
              <w:jc w:val="center"/>
            </w:pPr>
            <w:r>
              <w:rPr>
                <w:rFonts w:ascii="Arial" w:eastAsia="Arial" w:hAnsi="Arial" w:cs="Arial"/>
                <w:color w:val="000000"/>
                <w:position w:val="-2"/>
                <w:sz w:val="14"/>
                <w:szCs w:val="14"/>
              </w:rPr>
              <w:t>2. KÖRZET</w:t>
            </w:r>
          </w:p>
        </w:tc>
        <w:tc>
          <w:tcPr>
            <w:tcW w:w="2250" w:type="dxa"/>
            <w:tcBorders>
              <w:top w:val="single" w:sz="5" w:space="0" w:color="000000"/>
              <w:left w:val="single" w:sz="5" w:space="0" w:color="000000"/>
              <w:bottom w:val="single" w:sz="15" w:space="0" w:color="000000"/>
              <w:right w:val="single" w:sz="5" w:space="0" w:color="000000"/>
            </w:tcBorders>
            <w:tcMar>
              <w:top w:w="15" w:type="dxa"/>
              <w:left w:w="15" w:type="dxa"/>
              <w:bottom w:w="15" w:type="dxa"/>
              <w:right w:w="15" w:type="dxa"/>
            </w:tcMar>
            <w:vAlign w:val="center"/>
          </w:tcPr>
          <w:p w14:paraId="6B785E03" w14:textId="77777777" w:rsidR="00041388" w:rsidRDefault="00041388" w:rsidP="00D96CED">
            <w:pPr>
              <w:spacing w:after="0" w:line="240" w:lineRule="auto"/>
              <w:jc w:val="center"/>
            </w:pPr>
            <w:r>
              <w:rPr>
                <w:rFonts w:ascii="Arial" w:eastAsia="Arial" w:hAnsi="Arial" w:cs="Arial"/>
                <w:color w:val="000000"/>
                <w:position w:val="-2"/>
                <w:sz w:val="14"/>
                <w:szCs w:val="14"/>
              </w:rPr>
              <w:t>3. KÖRZET</w:t>
            </w:r>
          </w:p>
        </w:tc>
        <w:tc>
          <w:tcPr>
            <w:tcW w:w="2250" w:type="dxa"/>
            <w:gridSpan w:val="2"/>
            <w:vMerge/>
            <w:tcBorders>
              <w:top w:val="single" w:sz="5" w:space="0" w:color="000000"/>
              <w:left w:val="single" w:sz="15" w:space="0" w:color="000000"/>
              <w:bottom w:val="single" w:sz="15" w:space="0" w:color="000000"/>
              <w:right w:val="single" w:sz="15" w:space="0" w:color="000000"/>
            </w:tcBorders>
          </w:tcPr>
          <w:p w14:paraId="03BB775B" w14:textId="77777777" w:rsidR="00041388" w:rsidRDefault="00041388" w:rsidP="00D96CED"/>
        </w:tc>
      </w:tr>
      <w:tr w:rsidR="00041388" w14:paraId="79EE1666" w14:textId="77777777" w:rsidTr="00D96CED">
        <w:trPr>
          <w:gridBefore w:val="1"/>
          <w:wBefore w:w="21" w:type="dxa"/>
          <w:cantSplit/>
        </w:trPr>
        <w:tc>
          <w:tcPr>
            <w:tcW w:w="540" w:type="dxa"/>
            <w:gridSpan w:val="2"/>
            <w:tcBorders>
              <w:top w:val="single" w:sz="5" w:space="0" w:color="000000"/>
              <w:left w:val="single" w:sz="5" w:space="0" w:color="000000"/>
              <w:right w:val="single" w:sz="15" w:space="0" w:color="000000"/>
            </w:tcBorders>
            <w:tcMar>
              <w:top w:w="15" w:type="dxa"/>
              <w:left w:w="15" w:type="dxa"/>
              <w:bottom w:w="15" w:type="dxa"/>
              <w:right w:w="15" w:type="dxa"/>
            </w:tcMar>
          </w:tcPr>
          <w:p w14:paraId="77ADA707" w14:textId="77777777" w:rsidR="00041388" w:rsidRDefault="00041388" w:rsidP="00D96CED">
            <w:pPr>
              <w:keepNext/>
              <w:keepLines/>
              <w:spacing w:after="0" w:line="240" w:lineRule="auto"/>
              <w:ind w:left="45" w:hanging="150"/>
              <w:jc w:val="center"/>
              <w:textAlignment w:val="top"/>
            </w:pPr>
            <w:r>
              <w:rPr>
                <w:rFonts w:ascii="Arial" w:eastAsia="Arial" w:hAnsi="Arial" w:cs="Arial"/>
                <w:color w:val="000000"/>
                <w:sz w:val="14"/>
                <w:szCs w:val="14"/>
              </w:rPr>
              <w:t>519</w:t>
            </w:r>
          </w:p>
        </w:tc>
        <w:tc>
          <w:tcPr>
            <w:tcW w:w="2250" w:type="dxa"/>
            <w:gridSpan w:val="2"/>
            <w:tcBorders>
              <w:top w:val="single" w:sz="5" w:space="0" w:color="000000"/>
              <w:left w:val="single" w:sz="5" w:space="0" w:color="000000"/>
            </w:tcBorders>
            <w:tcMar>
              <w:top w:w="15" w:type="dxa"/>
              <w:left w:w="15" w:type="dxa"/>
              <w:bottom w:w="15" w:type="dxa"/>
              <w:right w:w="15" w:type="dxa"/>
            </w:tcMar>
          </w:tcPr>
          <w:p w14:paraId="5BEDB9FE" w14:textId="77777777" w:rsidR="00041388" w:rsidRDefault="00041388" w:rsidP="00D96CED">
            <w:pPr>
              <w:spacing w:after="0" w:line="240" w:lineRule="auto"/>
            </w:pPr>
            <w:r>
              <w:rPr>
                <w:rFonts w:ascii="Arial" w:eastAsia="Arial" w:hAnsi="Arial" w:cs="Arial"/>
                <w:b/>
                <w:bCs/>
                <w:color w:val="000000"/>
                <w:sz w:val="14"/>
                <w:szCs w:val="14"/>
              </w:rPr>
              <w:t>31,8–32 GHz</w:t>
            </w:r>
          </w:p>
        </w:tc>
        <w:tc>
          <w:tcPr>
            <w:tcW w:w="4500" w:type="dxa"/>
            <w:gridSpan w:val="3"/>
            <w:tcBorders>
              <w:top w:val="single" w:sz="5" w:space="0" w:color="000000"/>
            </w:tcBorders>
            <w:tcMar>
              <w:top w:w="15" w:type="dxa"/>
              <w:left w:w="15" w:type="dxa"/>
              <w:bottom w:w="15" w:type="dxa"/>
              <w:right w:w="15" w:type="dxa"/>
            </w:tcMar>
          </w:tcPr>
          <w:p w14:paraId="4A052841" w14:textId="77777777" w:rsidR="00041388" w:rsidRDefault="00041388" w:rsidP="00D96CED">
            <w:pPr>
              <w:keepLines/>
              <w:spacing w:after="0" w:line="240" w:lineRule="auto"/>
              <w:ind w:left="150" w:hanging="150"/>
              <w:textAlignment w:val="top"/>
            </w:pPr>
            <w:r>
              <w:rPr>
                <w:rFonts w:ascii="Arial" w:eastAsia="Arial" w:hAnsi="Arial" w:cs="Arial"/>
                <w:color w:val="000000"/>
                <w:sz w:val="14"/>
                <w:szCs w:val="14"/>
              </w:rPr>
              <w:t>ÁLLANDÓHELYŰ 5.547A</w:t>
            </w:r>
          </w:p>
          <w:p w14:paraId="42E61D6E" w14:textId="77777777" w:rsidR="00041388" w:rsidRDefault="00041388" w:rsidP="00D96CED">
            <w:pPr>
              <w:keepLines/>
              <w:spacing w:after="0" w:line="240" w:lineRule="auto"/>
              <w:ind w:left="150" w:hanging="150"/>
              <w:textAlignment w:val="top"/>
            </w:pPr>
            <w:r>
              <w:rPr>
                <w:rFonts w:ascii="Arial" w:eastAsia="Arial" w:hAnsi="Arial" w:cs="Arial"/>
                <w:color w:val="000000"/>
                <w:sz w:val="14"/>
                <w:szCs w:val="14"/>
              </w:rPr>
              <w:t>RÁDIÓNAVIGÁCIÓ</w:t>
            </w:r>
          </w:p>
          <w:p w14:paraId="1103DA4F" w14:textId="77777777" w:rsidR="00041388" w:rsidRDefault="00041388" w:rsidP="00D96CED">
            <w:pPr>
              <w:keepLines/>
              <w:spacing w:after="0" w:line="240" w:lineRule="auto"/>
              <w:ind w:left="150" w:hanging="150"/>
              <w:textAlignment w:val="top"/>
            </w:pPr>
            <w:r>
              <w:rPr>
                <w:rFonts w:ascii="Arial" w:eastAsia="Arial" w:hAnsi="Arial" w:cs="Arial"/>
                <w:color w:val="000000"/>
                <w:sz w:val="14"/>
                <w:szCs w:val="14"/>
              </w:rPr>
              <w:t>ŰRKUTATÁS (</w:t>
            </w:r>
            <w:proofErr w:type="spellStart"/>
            <w:r>
              <w:rPr>
                <w:rFonts w:ascii="Arial" w:eastAsia="Arial" w:hAnsi="Arial" w:cs="Arial"/>
                <w:color w:val="000000"/>
                <w:sz w:val="14"/>
                <w:szCs w:val="14"/>
              </w:rPr>
              <w:t>távoli</w:t>
            </w:r>
            <w:proofErr w:type="spellEnd"/>
            <w:r>
              <w:rPr>
                <w:rFonts w:ascii="Arial" w:eastAsia="Arial" w:hAnsi="Arial" w:cs="Arial"/>
                <w:color w:val="000000"/>
                <w:sz w:val="14"/>
                <w:szCs w:val="14"/>
              </w:rPr>
              <w:t xml:space="preserve"> </w:t>
            </w:r>
            <w:proofErr w:type="spellStart"/>
            <w:r>
              <w:rPr>
                <w:rFonts w:ascii="Arial" w:eastAsia="Arial" w:hAnsi="Arial" w:cs="Arial"/>
                <w:color w:val="000000"/>
                <w:sz w:val="14"/>
                <w:szCs w:val="14"/>
              </w:rPr>
              <w:t>űr</w:t>
            </w:r>
            <w:proofErr w:type="spellEnd"/>
            <w:r>
              <w:rPr>
                <w:rFonts w:ascii="Arial" w:eastAsia="Arial" w:hAnsi="Arial" w:cs="Arial"/>
                <w:color w:val="000000"/>
                <w:sz w:val="14"/>
                <w:szCs w:val="14"/>
              </w:rPr>
              <w:t>) (</w:t>
            </w:r>
            <w:proofErr w:type="spellStart"/>
            <w:r>
              <w:rPr>
                <w:rFonts w:ascii="Arial" w:eastAsia="Arial" w:hAnsi="Arial" w:cs="Arial"/>
                <w:color w:val="000000"/>
                <w:sz w:val="14"/>
                <w:szCs w:val="14"/>
              </w:rPr>
              <w:t>űr</w:t>
            </w:r>
            <w:proofErr w:type="spellEnd"/>
            <w:r>
              <w:rPr>
                <w:rFonts w:ascii="Arial" w:eastAsia="Arial" w:hAnsi="Arial" w:cs="Arial"/>
                <w:color w:val="000000"/>
                <w:sz w:val="14"/>
                <w:szCs w:val="14"/>
              </w:rPr>
              <w:t>–</w:t>
            </w:r>
            <w:proofErr w:type="spellStart"/>
            <w:r>
              <w:rPr>
                <w:rFonts w:ascii="Arial" w:eastAsia="Arial" w:hAnsi="Arial" w:cs="Arial"/>
                <w:color w:val="000000"/>
                <w:sz w:val="14"/>
                <w:szCs w:val="14"/>
              </w:rPr>
              <w:t>Föld</w:t>
            </w:r>
            <w:proofErr w:type="spellEnd"/>
            <w:r>
              <w:rPr>
                <w:rFonts w:ascii="Arial" w:eastAsia="Arial" w:hAnsi="Arial" w:cs="Arial"/>
                <w:color w:val="000000"/>
                <w:sz w:val="14"/>
                <w:szCs w:val="14"/>
              </w:rPr>
              <w:t xml:space="preserve"> </w:t>
            </w:r>
            <w:proofErr w:type="spellStart"/>
            <w:r>
              <w:rPr>
                <w:rFonts w:ascii="Arial" w:eastAsia="Arial" w:hAnsi="Arial" w:cs="Arial"/>
                <w:color w:val="000000"/>
                <w:sz w:val="14"/>
                <w:szCs w:val="14"/>
              </w:rPr>
              <w:t>irány</w:t>
            </w:r>
            <w:proofErr w:type="spellEnd"/>
            <w:r>
              <w:rPr>
                <w:rFonts w:ascii="Arial" w:eastAsia="Arial" w:hAnsi="Arial" w:cs="Arial"/>
                <w:color w:val="000000"/>
                <w:sz w:val="14"/>
                <w:szCs w:val="14"/>
              </w:rPr>
              <w:t>)</w:t>
            </w:r>
          </w:p>
        </w:tc>
        <w:tc>
          <w:tcPr>
            <w:tcW w:w="2250" w:type="dxa"/>
            <w:gridSpan w:val="2"/>
            <w:tcBorders>
              <w:top w:val="single" w:sz="5" w:space="0" w:color="000000"/>
              <w:left w:val="single" w:sz="15" w:space="0" w:color="000000"/>
              <w:right w:val="single" w:sz="15" w:space="0" w:color="000000"/>
            </w:tcBorders>
            <w:tcMar>
              <w:top w:w="15" w:type="dxa"/>
              <w:left w:w="15" w:type="dxa"/>
              <w:bottom w:w="15" w:type="dxa"/>
              <w:right w:w="15" w:type="dxa"/>
            </w:tcMar>
          </w:tcPr>
          <w:p w14:paraId="5BDAB7E7" w14:textId="77777777" w:rsidR="00041388" w:rsidRDefault="00041388" w:rsidP="00D96CED">
            <w:pPr>
              <w:spacing w:after="0" w:line="240" w:lineRule="auto"/>
            </w:pPr>
            <w:r>
              <w:rPr>
                <w:rFonts w:ascii="Arial" w:eastAsia="Arial" w:hAnsi="Arial" w:cs="Arial"/>
                <w:b/>
                <w:bCs/>
                <w:color w:val="000000"/>
                <w:sz w:val="14"/>
                <w:szCs w:val="14"/>
              </w:rPr>
              <w:t>31,8–32 GHz</w:t>
            </w:r>
          </w:p>
          <w:p w14:paraId="70CE0363" w14:textId="77777777" w:rsidR="00041388" w:rsidRDefault="00041388" w:rsidP="00D96CED">
            <w:pPr>
              <w:keepLines/>
              <w:spacing w:after="0" w:line="240" w:lineRule="auto"/>
              <w:ind w:left="150" w:hanging="150"/>
              <w:textAlignment w:val="top"/>
            </w:pPr>
            <w:r>
              <w:rPr>
                <w:rFonts w:ascii="Arial" w:eastAsia="Arial" w:hAnsi="Arial" w:cs="Arial"/>
                <w:color w:val="000000"/>
                <w:sz w:val="14"/>
                <w:szCs w:val="14"/>
              </w:rPr>
              <w:t>ÁLLANDÓHELYŰ 5.547A</w:t>
            </w:r>
          </w:p>
          <w:p w14:paraId="2A64F171" w14:textId="77777777" w:rsidR="00041388" w:rsidRDefault="00041388" w:rsidP="00D96CED">
            <w:pPr>
              <w:keepLines/>
              <w:spacing w:after="0" w:line="240" w:lineRule="auto"/>
              <w:ind w:left="150" w:hanging="150"/>
              <w:textAlignment w:val="top"/>
            </w:pPr>
            <w:r>
              <w:rPr>
                <w:rFonts w:ascii="Arial" w:eastAsia="Arial" w:hAnsi="Arial" w:cs="Arial"/>
                <w:color w:val="000000"/>
                <w:sz w:val="14"/>
                <w:szCs w:val="14"/>
              </w:rPr>
              <w:t>RÁDIÓNAVIGÁCIÓ</w:t>
            </w:r>
          </w:p>
          <w:p w14:paraId="7D8F34EB" w14:textId="448BD556" w:rsidR="00041388" w:rsidRDefault="00041388" w:rsidP="007E0713">
            <w:pPr>
              <w:keepLines/>
              <w:spacing w:after="0" w:line="240" w:lineRule="auto"/>
              <w:ind w:left="150" w:hanging="150"/>
              <w:jc w:val="left"/>
              <w:textAlignment w:val="top"/>
            </w:pPr>
            <w:r>
              <w:rPr>
                <w:rFonts w:ascii="Arial" w:eastAsia="Arial" w:hAnsi="Arial" w:cs="Arial"/>
                <w:color w:val="000000"/>
                <w:sz w:val="14"/>
                <w:szCs w:val="14"/>
              </w:rPr>
              <w:t>ŰRKUTATÁS (</w:t>
            </w:r>
            <w:proofErr w:type="spellStart"/>
            <w:r>
              <w:rPr>
                <w:rFonts w:ascii="Arial" w:eastAsia="Arial" w:hAnsi="Arial" w:cs="Arial"/>
                <w:color w:val="000000"/>
                <w:sz w:val="14"/>
                <w:szCs w:val="14"/>
              </w:rPr>
              <w:t>távoli</w:t>
            </w:r>
            <w:proofErr w:type="spellEnd"/>
            <w:r>
              <w:rPr>
                <w:rFonts w:ascii="Arial" w:eastAsia="Arial" w:hAnsi="Arial" w:cs="Arial"/>
                <w:color w:val="000000"/>
                <w:sz w:val="14"/>
                <w:szCs w:val="14"/>
              </w:rPr>
              <w:t xml:space="preserve"> </w:t>
            </w:r>
            <w:proofErr w:type="spellStart"/>
            <w:r>
              <w:rPr>
                <w:rFonts w:ascii="Arial" w:eastAsia="Arial" w:hAnsi="Arial" w:cs="Arial"/>
                <w:color w:val="000000"/>
                <w:sz w:val="14"/>
                <w:szCs w:val="14"/>
              </w:rPr>
              <w:t>űr</w:t>
            </w:r>
            <w:proofErr w:type="spellEnd"/>
            <w:r>
              <w:rPr>
                <w:rFonts w:ascii="Arial" w:eastAsia="Arial" w:hAnsi="Arial" w:cs="Arial"/>
                <w:color w:val="000000"/>
                <w:sz w:val="14"/>
                <w:szCs w:val="14"/>
              </w:rPr>
              <w:t xml:space="preserve">) </w:t>
            </w:r>
            <w:r w:rsidR="00E70452">
              <w:rPr>
                <w:rFonts w:ascii="Arial" w:eastAsia="Arial" w:hAnsi="Arial" w:cs="Arial"/>
                <w:color w:val="000000"/>
                <w:sz w:val="14"/>
                <w:szCs w:val="14"/>
              </w:rPr>
              <w:br/>
            </w:r>
            <w:r>
              <w:rPr>
                <w:rFonts w:ascii="Arial" w:eastAsia="Arial" w:hAnsi="Arial" w:cs="Arial"/>
                <w:color w:val="000000"/>
                <w:sz w:val="14"/>
                <w:szCs w:val="14"/>
              </w:rPr>
              <w:t>(</w:t>
            </w:r>
            <w:proofErr w:type="spellStart"/>
            <w:r>
              <w:rPr>
                <w:rFonts w:ascii="Arial" w:eastAsia="Arial" w:hAnsi="Arial" w:cs="Arial"/>
                <w:color w:val="000000"/>
                <w:sz w:val="14"/>
                <w:szCs w:val="14"/>
              </w:rPr>
              <w:t>űr</w:t>
            </w:r>
            <w:proofErr w:type="spellEnd"/>
            <w:r>
              <w:rPr>
                <w:rFonts w:ascii="Arial" w:eastAsia="Arial" w:hAnsi="Arial" w:cs="Arial"/>
                <w:color w:val="000000"/>
                <w:sz w:val="14"/>
                <w:szCs w:val="14"/>
              </w:rPr>
              <w:t>–</w:t>
            </w:r>
            <w:proofErr w:type="spellStart"/>
            <w:r>
              <w:rPr>
                <w:rFonts w:ascii="Arial" w:eastAsia="Arial" w:hAnsi="Arial" w:cs="Arial"/>
                <w:color w:val="000000"/>
                <w:sz w:val="14"/>
                <w:szCs w:val="14"/>
              </w:rPr>
              <w:t>Föld</w:t>
            </w:r>
            <w:proofErr w:type="spellEnd"/>
            <w:r>
              <w:rPr>
                <w:rFonts w:ascii="Arial" w:eastAsia="Arial" w:hAnsi="Arial" w:cs="Arial"/>
                <w:color w:val="000000"/>
                <w:sz w:val="14"/>
                <w:szCs w:val="14"/>
              </w:rPr>
              <w:t xml:space="preserve"> </w:t>
            </w:r>
            <w:proofErr w:type="spellStart"/>
            <w:r>
              <w:rPr>
                <w:rFonts w:ascii="Arial" w:eastAsia="Arial" w:hAnsi="Arial" w:cs="Arial"/>
                <w:color w:val="000000"/>
                <w:sz w:val="14"/>
                <w:szCs w:val="14"/>
              </w:rPr>
              <w:t>irány</w:t>
            </w:r>
            <w:proofErr w:type="spellEnd"/>
            <w:r>
              <w:rPr>
                <w:rFonts w:ascii="Arial" w:eastAsia="Arial" w:hAnsi="Arial" w:cs="Arial"/>
                <w:color w:val="000000"/>
                <w:sz w:val="14"/>
                <w:szCs w:val="14"/>
              </w:rPr>
              <w:t>)</w:t>
            </w:r>
          </w:p>
        </w:tc>
      </w:tr>
      <w:tr w:rsidR="00041388" w14:paraId="2CD0F4FD" w14:textId="77777777" w:rsidTr="00D96CED">
        <w:trPr>
          <w:gridBefore w:val="1"/>
          <w:wBefore w:w="21" w:type="dxa"/>
          <w:cantSplit/>
        </w:trPr>
        <w:tc>
          <w:tcPr>
            <w:tcW w:w="540" w:type="dxa"/>
            <w:gridSpan w:val="2"/>
            <w:tcBorders>
              <w:left w:val="single" w:sz="5" w:space="0" w:color="000000"/>
              <w:bottom w:val="single" w:sz="5" w:space="0" w:color="000000"/>
              <w:right w:val="single" w:sz="15" w:space="0" w:color="000000"/>
            </w:tcBorders>
            <w:tcMar>
              <w:top w:w="15" w:type="dxa"/>
              <w:left w:w="15" w:type="dxa"/>
              <w:bottom w:w="15" w:type="dxa"/>
              <w:right w:w="15" w:type="dxa"/>
            </w:tcMar>
          </w:tcPr>
          <w:p w14:paraId="3DDE5126" w14:textId="77777777" w:rsidR="00041388" w:rsidRDefault="00041388" w:rsidP="00D96CED">
            <w:pPr>
              <w:spacing w:after="0" w:line="240" w:lineRule="auto"/>
              <w:jc w:val="center"/>
            </w:pPr>
            <w:r>
              <w:rPr>
                <w:rFonts w:ascii="Arial" w:eastAsia="Arial" w:hAnsi="Arial" w:cs="Arial"/>
                <w:color w:val="000000"/>
                <w:sz w:val="14"/>
                <w:szCs w:val="14"/>
              </w:rPr>
              <w:t> </w:t>
            </w:r>
          </w:p>
        </w:tc>
        <w:tc>
          <w:tcPr>
            <w:tcW w:w="2250" w:type="dxa"/>
            <w:gridSpan w:val="2"/>
            <w:tcBorders>
              <w:left w:val="single" w:sz="5" w:space="0" w:color="000000"/>
              <w:bottom w:val="single" w:sz="5" w:space="0" w:color="000000"/>
            </w:tcBorders>
            <w:tcMar>
              <w:top w:w="15" w:type="dxa"/>
              <w:left w:w="15" w:type="dxa"/>
              <w:bottom w:w="15" w:type="dxa"/>
              <w:right w:w="15" w:type="dxa"/>
            </w:tcMar>
          </w:tcPr>
          <w:p w14:paraId="14DBEFA8" w14:textId="77777777" w:rsidR="00041388" w:rsidRDefault="00041388" w:rsidP="00D96CED">
            <w:pPr>
              <w:keepLines/>
              <w:spacing w:after="0" w:line="240" w:lineRule="auto"/>
              <w:textAlignment w:val="top"/>
            </w:pPr>
            <w:r>
              <w:rPr>
                <w:rFonts w:ascii="Arial" w:eastAsia="Arial" w:hAnsi="Arial" w:cs="Arial"/>
                <w:color w:val="000000"/>
                <w:sz w:val="14"/>
                <w:szCs w:val="14"/>
              </w:rPr>
              <w:t> </w:t>
            </w:r>
          </w:p>
          <w:p w14:paraId="5485B322" w14:textId="438F5856" w:rsidR="00041388" w:rsidRDefault="00041388" w:rsidP="00E70452">
            <w:pPr>
              <w:spacing w:after="0" w:line="240" w:lineRule="auto"/>
            </w:pPr>
            <w:r>
              <w:rPr>
                <w:rFonts w:ascii="Arial" w:eastAsia="Arial" w:hAnsi="Arial" w:cs="Arial"/>
                <w:color w:val="000000"/>
                <w:sz w:val="14"/>
                <w:szCs w:val="14"/>
              </w:rPr>
              <w:t xml:space="preserve"> </w:t>
            </w:r>
          </w:p>
        </w:tc>
        <w:tc>
          <w:tcPr>
            <w:tcW w:w="4500" w:type="dxa"/>
            <w:gridSpan w:val="3"/>
            <w:tcBorders>
              <w:bottom w:val="single" w:sz="5" w:space="0" w:color="000000"/>
            </w:tcBorders>
            <w:tcMar>
              <w:top w:w="15" w:type="dxa"/>
              <w:left w:w="15" w:type="dxa"/>
              <w:bottom w:w="15" w:type="dxa"/>
              <w:right w:w="15" w:type="dxa"/>
            </w:tcMar>
            <w:vAlign w:val="bottom"/>
          </w:tcPr>
          <w:p w14:paraId="2835F48C" w14:textId="553DFD43" w:rsidR="00041388" w:rsidRDefault="00041388" w:rsidP="00D96CED">
            <w:pPr>
              <w:spacing w:after="0" w:line="240" w:lineRule="auto"/>
            </w:pPr>
            <w:r>
              <w:rPr>
                <w:rFonts w:ascii="Arial" w:eastAsia="Arial" w:hAnsi="Arial" w:cs="Arial"/>
                <w:color w:val="000000"/>
                <w:sz w:val="14"/>
                <w:szCs w:val="14"/>
              </w:rPr>
              <w:t> </w:t>
            </w:r>
            <w:r w:rsidR="00E70452">
              <w:rPr>
                <w:rFonts w:ascii="Arial" w:eastAsia="Arial" w:hAnsi="Arial" w:cs="Arial"/>
                <w:color w:val="000000"/>
                <w:sz w:val="14"/>
                <w:szCs w:val="14"/>
              </w:rPr>
              <w:t>5.547 5.547B 5.548</w:t>
            </w:r>
          </w:p>
        </w:tc>
        <w:tc>
          <w:tcPr>
            <w:tcW w:w="2250" w:type="dxa"/>
            <w:gridSpan w:val="2"/>
            <w:tcBorders>
              <w:left w:val="single" w:sz="15" w:space="0" w:color="000000"/>
              <w:bottom w:val="single" w:sz="5" w:space="0" w:color="000000"/>
              <w:right w:val="single" w:sz="15" w:space="0" w:color="000000"/>
            </w:tcBorders>
            <w:tcMar>
              <w:top w:w="15" w:type="dxa"/>
              <w:left w:w="15" w:type="dxa"/>
              <w:bottom w:w="15" w:type="dxa"/>
              <w:right w:w="15" w:type="dxa"/>
            </w:tcMar>
            <w:vAlign w:val="bottom"/>
          </w:tcPr>
          <w:p w14:paraId="38F3667E" w14:textId="77777777" w:rsidR="00041388" w:rsidRDefault="00041388" w:rsidP="00D96CED">
            <w:pPr>
              <w:keepLines/>
              <w:spacing w:after="0" w:line="240" w:lineRule="auto"/>
              <w:textAlignment w:val="bottom"/>
            </w:pPr>
            <w:r>
              <w:rPr>
                <w:rFonts w:ascii="Arial" w:eastAsia="Arial" w:hAnsi="Arial" w:cs="Arial"/>
                <w:color w:val="000000"/>
                <w:sz w:val="14"/>
                <w:szCs w:val="14"/>
              </w:rPr>
              <w:t> </w:t>
            </w:r>
          </w:p>
          <w:p w14:paraId="6CAFBC1F" w14:textId="77777777" w:rsidR="00041388" w:rsidRDefault="00041388" w:rsidP="00D96CED">
            <w:pPr>
              <w:spacing w:after="0" w:line="240" w:lineRule="auto"/>
            </w:pPr>
            <w:r>
              <w:rPr>
                <w:rFonts w:ascii="Arial" w:eastAsia="Arial" w:hAnsi="Arial" w:cs="Arial"/>
                <w:color w:val="000000"/>
                <w:sz w:val="14"/>
                <w:szCs w:val="14"/>
              </w:rPr>
              <w:t xml:space="preserve"> 5.547 5.548</w:t>
            </w:r>
          </w:p>
        </w:tc>
      </w:tr>
      <w:tr w:rsidR="00041388" w14:paraId="4966F0D2" w14:textId="77777777" w:rsidTr="00D96CED">
        <w:trPr>
          <w:gridBefore w:val="1"/>
          <w:wBefore w:w="21" w:type="dxa"/>
          <w:cantSplit/>
        </w:trPr>
        <w:tc>
          <w:tcPr>
            <w:tcW w:w="540" w:type="dxa"/>
            <w:gridSpan w:val="2"/>
            <w:tcBorders>
              <w:top w:val="single" w:sz="5" w:space="0" w:color="000000"/>
              <w:left w:val="single" w:sz="5" w:space="0" w:color="000000"/>
              <w:right w:val="single" w:sz="15" w:space="0" w:color="000000"/>
            </w:tcBorders>
            <w:tcMar>
              <w:top w:w="15" w:type="dxa"/>
              <w:left w:w="15" w:type="dxa"/>
              <w:bottom w:w="15" w:type="dxa"/>
              <w:right w:w="15" w:type="dxa"/>
            </w:tcMar>
          </w:tcPr>
          <w:p w14:paraId="67534DF9" w14:textId="77777777" w:rsidR="00041388" w:rsidRDefault="00041388" w:rsidP="00D96CED">
            <w:pPr>
              <w:keepNext/>
              <w:keepLines/>
              <w:spacing w:after="0" w:line="240" w:lineRule="auto"/>
              <w:ind w:left="45" w:hanging="150"/>
              <w:jc w:val="center"/>
              <w:textAlignment w:val="top"/>
            </w:pPr>
            <w:r>
              <w:rPr>
                <w:rFonts w:ascii="Arial" w:eastAsia="Arial" w:hAnsi="Arial" w:cs="Arial"/>
                <w:color w:val="000000"/>
                <w:sz w:val="14"/>
                <w:szCs w:val="14"/>
              </w:rPr>
              <w:t>520</w:t>
            </w:r>
          </w:p>
        </w:tc>
        <w:tc>
          <w:tcPr>
            <w:tcW w:w="2250" w:type="dxa"/>
            <w:gridSpan w:val="2"/>
            <w:tcBorders>
              <w:top w:val="single" w:sz="5" w:space="0" w:color="000000"/>
              <w:left w:val="single" w:sz="5" w:space="0" w:color="000000"/>
            </w:tcBorders>
            <w:tcMar>
              <w:top w:w="15" w:type="dxa"/>
              <w:left w:w="15" w:type="dxa"/>
              <w:bottom w:w="15" w:type="dxa"/>
              <w:right w:w="15" w:type="dxa"/>
            </w:tcMar>
          </w:tcPr>
          <w:p w14:paraId="01E32EEA" w14:textId="77777777" w:rsidR="00041388" w:rsidRDefault="00041388" w:rsidP="00D96CED">
            <w:pPr>
              <w:spacing w:after="0" w:line="240" w:lineRule="auto"/>
            </w:pPr>
            <w:r>
              <w:rPr>
                <w:rFonts w:ascii="Arial" w:eastAsia="Arial" w:hAnsi="Arial" w:cs="Arial"/>
                <w:b/>
                <w:bCs/>
                <w:color w:val="000000"/>
                <w:sz w:val="14"/>
                <w:szCs w:val="14"/>
              </w:rPr>
              <w:t>32–32,3 GHz</w:t>
            </w:r>
          </w:p>
        </w:tc>
        <w:tc>
          <w:tcPr>
            <w:tcW w:w="4500" w:type="dxa"/>
            <w:gridSpan w:val="3"/>
            <w:tcBorders>
              <w:top w:val="single" w:sz="5" w:space="0" w:color="000000"/>
            </w:tcBorders>
            <w:tcMar>
              <w:top w:w="15" w:type="dxa"/>
              <w:left w:w="15" w:type="dxa"/>
              <w:bottom w:w="15" w:type="dxa"/>
              <w:right w:w="15" w:type="dxa"/>
            </w:tcMar>
          </w:tcPr>
          <w:p w14:paraId="038B783D" w14:textId="77777777" w:rsidR="00041388" w:rsidRDefault="00041388" w:rsidP="00D96CED">
            <w:pPr>
              <w:keepLines/>
              <w:spacing w:after="0" w:line="240" w:lineRule="auto"/>
              <w:ind w:left="150" w:hanging="150"/>
              <w:textAlignment w:val="top"/>
            </w:pPr>
            <w:r>
              <w:rPr>
                <w:rFonts w:ascii="Arial" w:eastAsia="Arial" w:hAnsi="Arial" w:cs="Arial"/>
                <w:color w:val="000000"/>
                <w:sz w:val="14"/>
                <w:szCs w:val="14"/>
              </w:rPr>
              <w:t>ÁLLANDÓHELYŰ 5.547A</w:t>
            </w:r>
          </w:p>
          <w:p w14:paraId="18907C9B" w14:textId="77777777" w:rsidR="00041388" w:rsidRDefault="00041388" w:rsidP="00D96CED">
            <w:pPr>
              <w:keepLines/>
              <w:spacing w:after="0" w:line="240" w:lineRule="auto"/>
              <w:ind w:left="150" w:hanging="150"/>
              <w:textAlignment w:val="top"/>
            </w:pPr>
            <w:r>
              <w:rPr>
                <w:rFonts w:ascii="Arial" w:eastAsia="Arial" w:hAnsi="Arial" w:cs="Arial"/>
                <w:color w:val="000000"/>
                <w:sz w:val="14"/>
                <w:szCs w:val="14"/>
              </w:rPr>
              <w:t>RÁDIÓNAVIGÁCIÓ</w:t>
            </w:r>
          </w:p>
          <w:p w14:paraId="7A08F281" w14:textId="77777777" w:rsidR="00041388" w:rsidRDefault="00041388" w:rsidP="00D96CED">
            <w:pPr>
              <w:keepLines/>
              <w:spacing w:after="0" w:line="240" w:lineRule="auto"/>
              <w:ind w:left="150" w:hanging="150"/>
              <w:textAlignment w:val="top"/>
            </w:pPr>
            <w:r>
              <w:rPr>
                <w:rFonts w:ascii="Arial" w:eastAsia="Arial" w:hAnsi="Arial" w:cs="Arial"/>
                <w:color w:val="000000"/>
                <w:sz w:val="14"/>
                <w:szCs w:val="14"/>
              </w:rPr>
              <w:t>ŰRKUTATÁS (</w:t>
            </w:r>
            <w:proofErr w:type="spellStart"/>
            <w:r>
              <w:rPr>
                <w:rFonts w:ascii="Arial" w:eastAsia="Arial" w:hAnsi="Arial" w:cs="Arial"/>
                <w:color w:val="000000"/>
                <w:sz w:val="14"/>
                <w:szCs w:val="14"/>
              </w:rPr>
              <w:t>távoli</w:t>
            </w:r>
            <w:proofErr w:type="spellEnd"/>
            <w:r>
              <w:rPr>
                <w:rFonts w:ascii="Arial" w:eastAsia="Arial" w:hAnsi="Arial" w:cs="Arial"/>
                <w:color w:val="000000"/>
                <w:sz w:val="14"/>
                <w:szCs w:val="14"/>
              </w:rPr>
              <w:t xml:space="preserve"> </w:t>
            </w:r>
            <w:proofErr w:type="spellStart"/>
            <w:r>
              <w:rPr>
                <w:rFonts w:ascii="Arial" w:eastAsia="Arial" w:hAnsi="Arial" w:cs="Arial"/>
                <w:color w:val="000000"/>
                <w:sz w:val="14"/>
                <w:szCs w:val="14"/>
              </w:rPr>
              <w:t>űr</w:t>
            </w:r>
            <w:proofErr w:type="spellEnd"/>
            <w:r>
              <w:rPr>
                <w:rFonts w:ascii="Arial" w:eastAsia="Arial" w:hAnsi="Arial" w:cs="Arial"/>
                <w:color w:val="000000"/>
                <w:sz w:val="14"/>
                <w:szCs w:val="14"/>
              </w:rPr>
              <w:t>) (</w:t>
            </w:r>
            <w:proofErr w:type="spellStart"/>
            <w:r>
              <w:rPr>
                <w:rFonts w:ascii="Arial" w:eastAsia="Arial" w:hAnsi="Arial" w:cs="Arial"/>
                <w:color w:val="000000"/>
                <w:sz w:val="14"/>
                <w:szCs w:val="14"/>
              </w:rPr>
              <w:t>űr</w:t>
            </w:r>
            <w:proofErr w:type="spellEnd"/>
            <w:r>
              <w:rPr>
                <w:rFonts w:ascii="Arial" w:eastAsia="Arial" w:hAnsi="Arial" w:cs="Arial"/>
                <w:color w:val="000000"/>
                <w:sz w:val="14"/>
                <w:szCs w:val="14"/>
              </w:rPr>
              <w:t>–</w:t>
            </w:r>
            <w:proofErr w:type="spellStart"/>
            <w:r>
              <w:rPr>
                <w:rFonts w:ascii="Arial" w:eastAsia="Arial" w:hAnsi="Arial" w:cs="Arial"/>
                <w:color w:val="000000"/>
                <w:sz w:val="14"/>
                <w:szCs w:val="14"/>
              </w:rPr>
              <w:t>Föld</w:t>
            </w:r>
            <w:proofErr w:type="spellEnd"/>
            <w:r>
              <w:rPr>
                <w:rFonts w:ascii="Arial" w:eastAsia="Arial" w:hAnsi="Arial" w:cs="Arial"/>
                <w:color w:val="000000"/>
                <w:sz w:val="14"/>
                <w:szCs w:val="14"/>
              </w:rPr>
              <w:t xml:space="preserve"> </w:t>
            </w:r>
            <w:proofErr w:type="spellStart"/>
            <w:r>
              <w:rPr>
                <w:rFonts w:ascii="Arial" w:eastAsia="Arial" w:hAnsi="Arial" w:cs="Arial"/>
                <w:color w:val="000000"/>
                <w:sz w:val="14"/>
                <w:szCs w:val="14"/>
              </w:rPr>
              <w:t>irány</w:t>
            </w:r>
            <w:proofErr w:type="spellEnd"/>
            <w:r>
              <w:rPr>
                <w:rFonts w:ascii="Arial" w:eastAsia="Arial" w:hAnsi="Arial" w:cs="Arial"/>
                <w:color w:val="000000"/>
                <w:sz w:val="14"/>
                <w:szCs w:val="14"/>
              </w:rPr>
              <w:t>)</w:t>
            </w:r>
          </w:p>
        </w:tc>
        <w:tc>
          <w:tcPr>
            <w:tcW w:w="2250" w:type="dxa"/>
            <w:gridSpan w:val="2"/>
            <w:tcBorders>
              <w:top w:val="single" w:sz="5" w:space="0" w:color="000000"/>
              <w:left w:val="single" w:sz="15" w:space="0" w:color="000000"/>
              <w:right w:val="single" w:sz="15" w:space="0" w:color="000000"/>
            </w:tcBorders>
            <w:tcMar>
              <w:top w:w="15" w:type="dxa"/>
              <w:left w:w="15" w:type="dxa"/>
              <w:bottom w:w="15" w:type="dxa"/>
              <w:right w:w="15" w:type="dxa"/>
            </w:tcMar>
          </w:tcPr>
          <w:p w14:paraId="444C3643" w14:textId="77777777" w:rsidR="00041388" w:rsidRDefault="00041388" w:rsidP="00D96CED">
            <w:pPr>
              <w:spacing w:after="0" w:line="240" w:lineRule="auto"/>
            </w:pPr>
            <w:r>
              <w:rPr>
                <w:rFonts w:ascii="Arial" w:eastAsia="Arial" w:hAnsi="Arial" w:cs="Arial"/>
                <w:b/>
                <w:bCs/>
                <w:color w:val="000000"/>
                <w:sz w:val="14"/>
                <w:szCs w:val="14"/>
              </w:rPr>
              <w:t>32–32,3 GHz</w:t>
            </w:r>
          </w:p>
          <w:p w14:paraId="3ACA8015" w14:textId="77777777" w:rsidR="00041388" w:rsidRDefault="00041388" w:rsidP="00D96CED">
            <w:pPr>
              <w:keepLines/>
              <w:spacing w:after="0" w:line="240" w:lineRule="auto"/>
              <w:ind w:left="150" w:hanging="150"/>
              <w:textAlignment w:val="top"/>
            </w:pPr>
            <w:r>
              <w:rPr>
                <w:rFonts w:ascii="Arial" w:eastAsia="Arial" w:hAnsi="Arial" w:cs="Arial"/>
                <w:color w:val="000000"/>
                <w:sz w:val="14"/>
                <w:szCs w:val="14"/>
              </w:rPr>
              <w:t>ÁLLANDÓHELYŰ 5.547A</w:t>
            </w:r>
          </w:p>
          <w:p w14:paraId="05A07402" w14:textId="77777777" w:rsidR="00041388" w:rsidRDefault="00041388" w:rsidP="00D96CED">
            <w:pPr>
              <w:keepLines/>
              <w:spacing w:after="0" w:line="240" w:lineRule="auto"/>
              <w:ind w:left="150" w:hanging="150"/>
              <w:textAlignment w:val="top"/>
            </w:pPr>
            <w:r>
              <w:rPr>
                <w:rFonts w:ascii="Arial" w:eastAsia="Arial" w:hAnsi="Arial" w:cs="Arial"/>
                <w:color w:val="000000"/>
                <w:sz w:val="14"/>
                <w:szCs w:val="14"/>
              </w:rPr>
              <w:t>RÁDIÓNAVIGÁCIÓ</w:t>
            </w:r>
          </w:p>
          <w:p w14:paraId="778F240D" w14:textId="0D4A85F1" w:rsidR="00041388" w:rsidRDefault="00041388" w:rsidP="007E0713">
            <w:pPr>
              <w:keepLines/>
              <w:spacing w:after="0" w:line="240" w:lineRule="auto"/>
              <w:ind w:left="150" w:hanging="150"/>
              <w:jc w:val="left"/>
              <w:textAlignment w:val="top"/>
            </w:pPr>
            <w:r>
              <w:rPr>
                <w:rFonts w:ascii="Arial" w:eastAsia="Arial" w:hAnsi="Arial" w:cs="Arial"/>
                <w:color w:val="000000"/>
                <w:sz w:val="14"/>
                <w:szCs w:val="14"/>
              </w:rPr>
              <w:t>ŰRKUTATÁS (</w:t>
            </w:r>
            <w:proofErr w:type="spellStart"/>
            <w:r>
              <w:rPr>
                <w:rFonts w:ascii="Arial" w:eastAsia="Arial" w:hAnsi="Arial" w:cs="Arial"/>
                <w:color w:val="000000"/>
                <w:sz w:val="14"/>
                <w:szCs w:val="14"/>
              </w:rPr>
              <w:t>távoli</w:t>
            </w:r>
            <w:proofErr w:type="spellEnd"/>
            <w:r>
              <w:rPr>
                <w:rFonts w:ascii="Arial" w:eastAsia="Arial" w:hAnsi="Arial" w:cs="Arial"/>
                <w:color w:val="000000"/>
                <w:sz w:val="14"/>
                <w:szCs w:val="14"/>
              </w:rPr>
              <w:t xml:space="preserve"> </w:t>
            </w:r>
            <w:proofErr w:type="spellStart"/>
            <w:r>
              <w:rPr>
                <w:rFonts w:ascii="Arial" w:eastAsia="Arial" w:hAnsi="Arial" w:cs="Arial"/>
                <w:color w:val="000000"/>
                <w:sz w:val="14"/>
                <w:szCs w:val="14"/>
              </w:rPr>
              <w:t>űr</w:t>
            </w:r>
            <w:proofErr w:type="spellEnd"/>
            <w:r>
              <w:rPr>
                <w:rFonts w:ascii="Arial" w:eastAsia="Arial" w:hAnsi="Arial" w:cs="Arial"/>
                <w:color w:val="000000"/>
                <w:sz w:val="14"/>
                <w:szCs w:val="14"/>
              </w:rPr>
              <w:t xml:space="preserve">) </w:t>
            </w:r>
            <w:r w:rsidR="00E70452">
              <w:rPr>
                <w:rFonts w:ascii="Arial" w:eastAsia="Arial" w:hAnsi="Arial" w:cs="Arial"/>
                <w:color w:val="000000"/>
                <w:sz w:val="14"/>
                <w:szCs w:val="14"/>
              </w:rPr>
              <w:br/>
            </w:r>
            <w:r>
              <w:rPr>
                <w:rFonts w:ascii="Arial" w:eastAsia="Arial" w:hAnsi="Arial" w:cs="Arial"/>
                <w:color w:val="000000"/>
                <w:sz w:val="14"/>
                <w:szCs w:val="14"/>
              </w:rPr>
              <w:t>(</w:t>
            </w:r>
            <w:proofErr w:type="spellStart"/>
            <w:r>
              <w:rPr>
                <w:rFonts w:ascii="Arial" w:eastAsia="Arial" w:hAnsi="Arial" w:cs="Arial"/>
                <w:color w:val="000000"/>
                <w:sz w:val="14"/>
                <w:szCs w:val="14"/>
              </w:rPr>
              <w:t>űr</w:t>
            </w:r>
            <w:proofErr w:type="spellEnd"/>
            <w:r>
              <w:rPr>
                <w:rFonts w:ascii="Arial" w:eastAsia="Arial" w:hAnsi="Arial" w:cs="Arial"/>
                <w:color w:val="000000"/>
                <w:sz w:val="14"/>
                <w:szCs w:val="14"/>
              </w:rPr>
              <w:t>–</w:t>
            </w:r>
            <w:proofErr w:type="spellStart"/>
            <w:r>
              <w:rPr>
                <w:rFonts w:ascii="Arial" w:eastAsia="Arial" w:hAnsi="Arial" w:cs="Arial"/>
                <w:color w:val="000000"/>
                <w:sz w:val="14"/>
                <w:szCs w:val="14"/>
              </w:rPr>
              <w:t>Föld</w:t>
            </w:r>
            <w:proofErr w:type="spellEnd"/>
            <w:r>
              <w:rPr>
                <w:rFonts w:ascii="Arial" w:eastAsia="Arial" w:hAnsi="Arial" w:cs="Arial"/>
                <w:color w:val="000000"/>
                <w:sz w:val="14"/>
                <w:szCs w:val="14"/>
              </w:rPr>
              <w:t xml:space="preserve"> </w:t>
            </w:r>
            <w:proofErr w:type="spellStart"/>
            <w:r>
              <w:rPr>
                <w:rFonts w:ascii="Arial" w:eastAsia="Arial" w:hAnsi="Arial" w:cs="Arial"/>
                <w:color w:val="000000"/>
                <w:sz w:val="14"/>
                <w:szCs w:val="14"/>
              </w:rPr>
              <w:t>irány</w:t>
            </w:r>
            <w:proofErr w:type="spellEnd"/>
            <w:r>
              <w:rPr>
                <w:rFonts w:ascii="Arial" w:eastAsia="Arial" w:hAnsi="Arial" w:cs="Arial"/>
                <w:color w:val="000000"/>
                <w:sz w:val="14"/>
                <w:szCs w:val="14"/>
              </w:rPr>
              <w:t>)</w:t>
            </w:r>
          </w:p>
        </w:tc>
      </w:tr>
      <w:tr w:rsidR="00041388" w14:paraId="16F69DAF" w14:textId="77777777" w:rsidTr="00D96CED">
        <w:trPr>
          <w:gridBefore w:val="1"/>
          <w:wBefore w:w="21" w:type="dxa"/>
          <w:cantSplit/>
        </w:trPr>
        <w:tc>
          <w:tcPr>
            <w:tcW w:w="540" w:type="dxa"/>
            <w:gridSpan w:val="2"/>
            <w:tcBorders>
              <w:left w:val="single" w:sz="5" w:space="0" w:color="000000"/>
              <w:bottom w:val="single" w:sz="5" w:space="0" w:color="000000"/>
              <w:right w:val="single" w:sz="15" w:space="0" w:color="000000"/>
            </w:tcBorders>
            <w:tcMar>
              <w:top w:w="15" w:type="dxa"/>
              <w:left w:w="15" w:type="dxa"/>
              <w:bottom w:w="15" w:type="dxa"/>
              <w:right w:w="15" w:type="dxa"/>
            </w:tcMar>
          </w:tcPr>
          <w:p w14:paraId="0D3189ED" w14:textId="77777777" w:rsidR="00041388" w:rsidRDefault="00041388" w:rsidP="00D96CED">
            <w:pPr>
              <w:spacing w:after="0" w:line="240" w:lineRule="auto"/>
              <w:jc w:val="center"/>
            </w:pPr>
            <w:r>
              <w:rPr>
                <w:rFonts w:ascii="Arial" w:eastAsia="Arial" w:hAnsi="Arial" w:cs="Arial"/>
                <w:color w:val="000000"/>
                <w:sz w:val="14"/>
                <w:szCs w:val="14"/>
              </w:rPr>
              <w:t> </w:t>
            </w:r>
          </w:p>
        </w:tc>
        <w:tc>
          <w:tcPr>
            <w:tcW w:w="2250" w:type="dxa"/>
            <w:gridSpan w:val="2"/>
            <w:tcBorders>
              <w:left w:val="single" w:sz="5" w:space="0" w:color="000000"/>
              <w:bottom w:val="single" w:sz="5" w:space="0" w:color="000000"/>
            </w:tcBorders>
            <w:tcMar>
              <w:top w:w="15" w:type="dxa"/>
              <w:left w:w="15" w:type="dxa"/>
              <w:bottom w:w="15" w:type="dxa"/>
              <w:right w:w="15" w:type="dxa"/>
            </w:tcMar>
          </w:tcPr>
          <w:p w14:paraId="4084F036" w14:textId="77777777" w:rsidR="00041388" w:rsidRDefault="00041388" w:rsidP="00D96CED">
            <w:pPr>
              <w:keepLines/>
              <w:spacing w:after="0" w:line="240" w:lineRule="auto"/>
              <w:textAlignment w:val="top"/>
            </w:pPr>
            <w:r>
              <w:rPr>
                <w:rFonts w:ascii="Arial" w:eastAsia="Arial" w:hAnsi="Arial" w:cs="Arial"/>
                <w:color w:val="000000"/>
                <w:sz w:val="14"/>
                <w:szCs w:val="14"/>
              </w:rPr>
              <w:t> </w:t>
            </w:r>
          </w:p>
          <w:p w14:paraId="47001A6A" w14:textId="6D3CA50B" w:rsidR="00041388" w:rsidRDefault="00041388" w:rsidP="00E70452">
            <w:pPr>
              <w:spacing w:after="0" w:line="240" w:lineRule="auto"/>
            </w:pPr>
            <w:r>
              <w:rPr>
                <w:rFonts w:ascii="Arial" w:eastAsia="Arial" w:hAnsi="Arial" w:cs="Arial"/>
                <w:color w:val="000000"/>
                <w:sz w:val="14"/>
                <w:szCs w:val="14"/>
              </w:rPr>
              <w:t xml:space="preserve"> </w:t>
            </w:r>
          </w:p>
        </w:tc>
        <w:tc>
          <w:tcPr>
            <w:tcW w:w="4500" w:type="dxa"/>
            <w:gridSpan w:val="3"/>
            <w:tcBorders>
              <w:bottom w:val="single" w:sz="5" w:space="0" w:color="000000"/>
            </w:tcBorders>
            <w:tcMar>
              <w:top w:w="15" w:type="dxa"/>
              <w:left w:w="15" w:type="dxa"/>
              <w:bottom w:w="15" w:type="dxa"/>
              <w:right w:w="15" w:type="dxa"/>
            </w:tcMar>
            <w:vAlign w:val="bottom"/>
          </w:tcPr>
          <w:p w14:paraId="6A022355" w14:textId="448B3B43" w:rsidR="00041388" w:rsidRDefault="00041388" w:rsidP="00D96CED">
            <w:pPr>
              <w:spacing w:after="0" w:line="240" w:lineRule="auto"/>
            </w:pPr>
            <w:r>
              <w:rPr>
                <w:rFonts w:ascii="Arial" w:eastAsia="Arial" w:hAnsi="Arial" w:cs="Arial"/>
                <w:color w:val="000000"/>
                <w:sz w:val="14"/>
                <w:szCs w:val="14"/>
              </w:rPr>
              <w:t> </w:t>
            </w:r>
            <w:r w:rsidR="00E70452">
              <w:rPr>
                <w:rFonts w:ascii="Arial" w:eastAsia="Arial" w:hAnsi="Arial" w:cs="Arial"/>
                <w:color w:val="000000"/>
                <w:sz w:val="14"/>
                <w:szCs w:val="14"/>
              </w:rPr>
              <w:t>5.547 5.547C 5.548</w:t>
            </w:r>
          </w:p>
        </w:tc>
        <w:tc>
          <w:tcPr>
            <w:tcW w:w="2250" w:type="dxa"/>
            <w:gridSpan w:val="2"/>
            <w:tcBorders>
              <w:left w:val="single" w:sz="15" w:space="0" w:color="000000"/>
              <w:bottom w:val="single" w:sz="5" w:space="0" w:color="000000"/>
              <w:right w:val="single" w:sz="15" w:space="0" w:color="000000"/>
            </w:tcBorders>
            <w:tcMar>
              <w:top w:w="15" w:type="dxa"/>
              <w:left w:w="15" w:type="dxa"/>
              <w:bottom w:w="15" w:type="dxa"/>
              <w:right w:w="15" w:type="dxa"/>
            </w:tcMar>
            <w:vAlign w:val="bottom"/>
          </w:tcPr>
          <w:p w14:paraId="6F125103" w14:textId="77777777" w:rsidR="00041388" w:rsidRDefault="00041388" w:rsidP="00D96CED">
            <w:pPr>
              <w:keepLines/>
              <w:spacing w:after="0" w:line="240" w:lineRule="auto"/>
              <w:textAlignment w:val="bottom"/>
            </w:pPr>
            <w:r>
              <w:rPr>
                <w:rFonts w:ascii="Arial" w:eastAsia="Arial" w:hAnsi="Arial" w:cs="Arial"/>
                <w:color w:val="000000"/>
                <w:sz w:val="14"/>
                <w:szCs w:val="14"/>
              </w:rPr>
              <w:t> </w:t>
            </w:r>
          </w:p>
          <w:p w14:paraId="2CBAD7D4" w14:textId="77777777" w:rsidR="00041388" w:rsidRDefault="00041388" w:rsidP="00D96CED">
            <w:pPr>
              <w:spacing w:after="0" w:line="240" w:lineRule="auto"/>
            </w:pPr>
            <w:r>
              <w:rPr>
                <w:rFonts w:ascii="Arial" w:eastAsia="Arial" w:hAnsi="Arial" w:cs="Arial"/>
                <w:color w:val="000000"/>
                <w:sz w:val="14"/>
                <w:szCs w:val="14"/>
              </w:rPr>
              <w:t xml:space="preserve"> 5.547 5.548</w:t>
            </w:r>
          </w:p>
        </w:tc>
      </w:tr>
      <w:tr w:rsidR="00041388" w14:paraId="4DDDAC5A" w14:textId="77777777" w:rsidTr="00D96CED">
        <w:trPr>
          <w:gridBefore w:val="1"/>
          <w:wBefore w:w="21" w:type="dxa"/>
          <w:cantSplit/>
        </w:trPr>
        <w:tc>
          <w:tcPr>
            <w:tcW w:w="540" w:type="dxa"/>
            <w:gridSpan w:val="2"/>
            <w:tcBorders>
              <w:top w:val="single" w:sz="5" w:space="0" w:color="000000"/>
              <w:left w:val="single" w:sz="5" w:space="0" w:color="000000"/>
              <w:right w:val="single" w:sz="15" w:space="0" w:color="000000"/>
            </w:tcBorders>
            <w:tcMar>
              <w:top w:w="15" w:type="dxa"/>
              <w:left w:w="15" w:type="dxa"/>
              <w:bottom w:w="15" w:type="dxa"/>
              <w:right w:w="15" w:type="dxa"/>
            </w:tcMar>
          </w:tcPr>
          <w:p w14:paraId="0E0C08DC" w14:textId="77777777" w:rsidR="00041388" w:rsidRDefault="00041388" w:rsidP="00D96CED">
            <w:pPr>
              <w:keepNext/>
              <w:keepLines/>
              <w:spacing w:after="0" w:line="240" w:lineRule="auto"/>
              <w:ind w:left="45" w:hanging="150"/>
              <w:jc w:val="center"/>
              <w:textAlignment w:val="top"/>
            </w:pPr>
            <w:r>
              <w:rPr>
                <w:rFonts w:ascii="Arial" w:eastAsia="Arial" w:hAnsi="Arial" w:cs="Arial"/>
                <w:color w:val="000000"/>
                <w:sz w:val="14"/>
                <w:szCs w:val="14"/>
              </w:rPr>
              <w:t>521</w:t>
            </w:r>
          </w:p>
        </w:tc>
        <w:tc>
          <w:tcPr>
            <w:tcW w:w="2250" w:type="dxa"/>
            <w:gridSpan w:val="2"/>
            <w:tcBorders>
              <w:top w:val="single" w:sz="5" w:space="0" w:color="000000"/>
              <w:left w:val="single" w:sz="5" w:space="0" w:color="000000"/>
            </w:tcBorders>
            <w:tcMar>
              <w:top w:w="15" w:type="dxa"/>
              <w:left w:w="15" w:type="dxa"/>
              <w:bottom w:w="15" w:type="dxa"/>
              <w:right w:w="15" w:type="dxa"/>
            </w:tcMar>
          </w:tcPr>
          <w:p w14:paraId="7EBCA1EE" w14:textId="77777777" w:rsidR="00041388" w:rsidRDefault="00041388" w:rsidP="00D96CED">
            <w:pPr>
              <w:spacing w:after="0" w:line="240" w:lineRule="auto"/>
            </w:pPr>
            <w:r>
              <w:rPr>
                <w:rFonts w:ascii="Arial" w:eastAsia="Arial" w:hAnsi="Arial" w:cs="Arial"/>
                <w:b/>
                <w:bCs/>
                <w:color w:val="000000"/>
                <w:sz w:val="14"/>
                <w:szCs w:val="14"/>
              </w:rPr>
              <w:t>32,3–33 GHz</w:t>
            </w:r>
          </w:p>
        </w:tc>
        <w:tc>
          <w:tcPr>
            <w:tcW w:w="4500" w:type="dxa"/>
            <w:gridSpan w:val="3"/>
            <w:tcBorders>
              <w:top w:val="single" w:sz="5" w:space="0" w:color="000000"/>
            </w:tcBorders>
            <w:tcMar>
              <w:top w:w="15" w:type="dxa"/>
              <w:left w:w="15" w:type="dxa"/>
              <w:bottom w:w="15" w:type="dxa"/>
              <w:right w:w="15" w:type="dxa"/>
            </w:tcMar>
          </w:tcPr>
          <w:p w14:paraId="259D28A4" w14:textId="77777777" w:rsidR="00041388" w:rsidRDefault="00041388" w:rsidP="00D96CED">
            <w:pPr>
              <w:keepLines/>
              <w:spacing w:after="0" w:line="240" w:lineRule="auto"/>
              <w:ind w:left="150" w:hanging="150"/>
              <w:textAlignment w:val="top"/>
            </w:pPr>
            <w:r>
              <w:rPr>
                <w:rFonts w:ascii="Arial" w:eastAsia="Arial" w:hAnsi="Arial" w:cs="Arial"/>
                <w:color w:val="000000"/>
                <w:sz w:val="14"/>
                <w:szCs w:val="14"/>
              </w:rPr>
              <w:t>ÁLLANDÓHELYŰ 5.547A</w:t>
            </w:r>
          </w:p>
          <w:p w14:paraId="192CD4C0" w14:textId="77777777" w:rsidR="00041388" w:rsidRDefault="00041388" w:rsidP="00D96CED">
            <w:pPr>
              <w:keepLines/>
              <w:spacing w:after="0" w:line="240" w:lineRule="auto"/>
              <w:ind w:left="150" w:hanging="150"/>
              <w:textAlignment w:val="top"/>
            </w:pPr>
            <w:r>
              <w:rPr>
                <w:rFonts w:ascii="Arial" w:eastAsia="Arial" w:hAnsi="Arial" w:cs="Arial"/>
                <w:color w:val="000000"/>
                <w:sz w:val="14"/>
                <w:szCs w:val="14"/>
              </w:rPr>
              <w:t>MŰHOLDAK KÖZÖTTI</w:t>
            </w:r>
          </w:p>
          <w:p w14:paraId="67EA93ED" w14:textId="77777777" w:rsidR="00041388" w:rsidRDefault="00041388" w:rsidP="00D96CED">
            <w:pPr>
              <w:keepLines/>
              <w:spacing w:after="0" w:line="240" w:lineRule="auto"/>
              <w:ind w:left="150" w:hanging="150"/>
              <w:textAlignment w:val="top"/>
            </w:pPr>
            <w:r>
              <w:rPr>
                <w:rFonts w:ascii="Arial" w:eastAsia="Arial" w:hAnsi="Arial" w:cs="Arial"/>
                <w:color w:val="000000"/>
                <w:sz w:val="14"/>
                <w:szCs w:val="14"/>
              </w:rPr>
              <w:t>RÁDIÓNAVIGÁCIÓ</w:t>
            </w:r>
          </w:p>
        </w:tc>
        <w:tc>
          <w:tcPr>
            <w:tcW w:w="2250" w:type="dxa"/>
            <w:gridSpan w:val="2"/>
            <w:tcBorders>
              <w:top w:val="single" w:sz="5" w:space="0" w:color="000000"/>
              <w:left w:val="single" w:sz="15" w:space="0" w:color="000000"/>
              <w:right w:val="single" w:sz="15" w:space="0" w:color="000000"/>
            </w:tcBorders>
            <w:tcMar>
              <w:top w:w="15" w:type="dxa"/>
              <w:left w:w="15" w:type="dxa"/>
              <w:bottom w:w="15" w:type="dxa"/>
              <w:right w:w="15" w:type="dxa"/>
            </w:tcMar>
          </w:tcPr>
          <w:p w14:paraId="2D39E48F" w14:textId="77777777" w:rsidR="00041388" w:rsidRDefault="00041388" w:rsidP="00D96CED">
            <w:pPr>
              <w:spacing w:after="0" w:line="240" w:lineRule="auto"/>
            </w:pPr>
            <w:r>
              <w:rPr>
                <w:rFonts w:ascii="Arial" w:eastAsia="Arial" w:hAnsi="Arial" w:cs="Arial"/>
                <w:b/>
                <w:bCs/>
                <w:color w:val="000000"/>
                <w:sz w:val="14"/>
                <w:szCs w:val="14"/>
              </w:rPr>
              <w:t>32,3–33 GHz</w:t>
            </w:r>
          </w:p>
          <w:p w14:paraId="21020649" w14:textId="77777777" w:rsidR="00041388" w:rsidRDefault="00041388" w:rsidP="00D96CED">
            <w:pPr>
              <w:keepLines/>
              <w:spacing w:after="0" w:line="240" w:lineRule="auto"/>
              <w:ind w:left="150" w:hanging="150"/>
              <w:textAlignment w:val="top"/>
            </w:pPr>
            <w:r>
              <w:rPr>
                <w:rFonts w:ascii="Arial" w:eastAsia="Arial" w:hAnsi="Arial" w:cs="Arial"/>
                <w:color w:val="000000"/>
                <w:sz w:val="14"/>
                <w:szCs w:val="14"/>
              </w:rPr>
              <w:t>ÁLLANDÓHELYŰ 5.547A</w:t>
            </w:r>
          </w:p>
          <w:p w14:paraId="65B7EB2B" w14:textId="77777777" w:rsidR="00041388" w:rsidRDefault="00041388" w:rsidP="00D96CED">
            <w:pPr>
              <w:keepLines/>
              <w:spacing w:after="0" w:line="240" w:lineRule="auto"/>
              <w:ind w:left="150" w:hanging="150"/>
              <w:textAlignment w:val="top"/>
            </w:pPr>
            <w:r>
              <w:rPr>
                <w:rFonts w:ascii="Arial" w:eastAsia="Arial" w:hAnsi="Arial" w:cs="Arial"/>
                <w:color w:val="000000"/>
                <w:sz w:val="14"/>
                <w:szCs w:val="14"/>
              </w:rPr>
              <w:t>MŰHOLDAK KÖZÖTTI</w:t>
            </w:r>
          </w:p>
          <w:p w14:paraId="5BC5C9DB" w14:textId="77777777" w:rsidR="00041388" w:rsidRDefault="00041388" w:rsidP="00D96CED">
            <w:pPr>
              <w:keepLines/>
              <w:spacing w:after="0" w:line="240" w:lineRule="auto"/>
              <w:ind w:left="150" w:hanging="150"/>
              <w:textAlignment w:val="top"/>
            </w:pPr>
            <w:r>
              <w:rPr>
                <w:rFonts w:ascii="Arial" w:eastAsia="Arial" w:hAnsi="Arial" w:cs="Arial"/>
                <w:color w:val="000000"/>
                <w:sz w:val="14"/>
                <w:szCs w:val="14"/>
              </w:rPr>
              <w:t>RÁDIÓNAVIGÁCIÓ</w:t>
            </w:r>
          </w:p>
        </w:tc>
      </w:tr>
      <w:tr w:rsidR="00041388" w14:paraId="60D94654" w14:textId="77777777" w:rsidTr="00D96CED">
        <w:trPr>
          <w:gridBefore w:val="1"/>
          <w:wBefore w:w="21" w:type="dxa"/>
          <w:cantSplit/>
        </w:trPr>
        <w:tc>
          <w:tcPr>
            <w:tcW w:w="540" w:type="dxa"/>
            <w:gridSpan w:val="2"/>
            <w:tcBorders>
              <w:left w:val="single" w:sz="5" w:space="0" w:color="000000"/>
              <w:bottom w:val="single" w:sz="5" w:space="0" w:color="000000"/>
              <w:right w:val="single" w:sz="15" w:space="0" w:color="000000"/>
            </w:tcBorders>
            <w:tcMar>
              <w:top w:w="15" w:type="dxa"/>
              <w:left w:w="15" w:type="dxa"/>
              <w:bottom w:w="15" w:type="dxa"/>
              <w:right w:w="15" w:type="dxa"/>
            </w:tcMar>
          </w:tcPr>
          <w:p w14:paraId="4C29D1B6" w14:textId="77777777" w:rsidR="00041388" w:rsidRDefault="00041388" w:rsidP="00D96CED">
            <w:pPr>
              <w:spacing w:after="0" w:line="240" w:lineRule="auto"/>
              <w:jc w:val="center"/>
            </w:pPr>
            <w:r>
              <w:rPr>
                <w:rFonts w:ascii="Arial" w:eastAsia="Arial" w:hAnsi="Arial" w:cs="Arial"/>
                <w:color w:val="000000"/>
                <w:sz w:val="14"/>
                <w:szCs w:val="14"/>
              </w:rPr>
              <w:t> </w:t>
            </w:r>
          </w:p>
        </w:tc>
        <w:tc>
          <w:tcPr>
            <w:tcW w:w="2250" w:type="dxa"/>
            <w:gridSpan w:val="2"/>
            <w:tcBorders>
              <w:left w:val="single" w:sz="5" w:space="0" w:color="000000"/>
              <w:bottom w:val="single" w:sz="5" w:space="0" w:color="000000"/>
            </w:tcBorders>
            <w:tcMar>
              <w:top w:w="15" w:type="dxa"/>
              <w:left w:w="15" w:type="dxa"/>
              <w:bottom w:w="15" w:type="dxa"/>
              <w:right w:w="15" w:type="dxa"/>
            </w:tcMar>
          </w:tcPr>
          <w:p w14:paraId="7B5F04DC" w14:textId="77777777" w:rsidR="00041388" w:rsidRDefault="00041388" w:rsidP="00D96CED">
            <w:pPr>
              <w:keepLines/>
              <w:spacing w:after="0" w:line="240" w:lineRule="auto"/>
              <w:textAlignment w:val="top"/>
            </w:pPr>
            <w:r>
              <w:rPr>
                <w:rFonts w:ascii="Arial" w:eastAsia="Arial" w:hAnsi="Arial" w:cs="Arial"/>
                <w:color w:val="000000"/>
                <w:sz w:val="14"/>
                <w:szCs w:val="14"/>
              </w:rPr>
              <w:t> </w:t>
            </w:r>
          </w:p>
          <w:p w14:paraId="074A72A6" w14:textId="4A9493FA" w:rsidR="00041388" w:rsidRDefault="00041388" w:rsidP="00E70452">
            <w:pPr>
              <w:spacing w:after="0" w:line="240" w:lineRule="auto"/>
            </w:pPr>
            <w:r>
              <w:rPr>
                <w:rFonts w:ascii="Arial" w:eastAsia="Arial" w:hAnsi="Arial" w:cs="Arial"/>
                <w:color w:val="000000"/>
                <w:sz w:val="14"/>
                <w:szCs w:val="14"/>
              </w:rPr>
              <w:t xml:space="preserve"> </w:t>
            </w:r>
          </w:p>
        </w:tc>
        <w:tc>
          <w:tcPr>
            <w:tcW w:w="4500" w:type="dxa"/>
            <w:gridSpan w:val="3"/>
            <w:tcBorders>
              <w:bottom w:val="single" w:sz="5" w:space="0" w:color="000000"/>
            </w:tcBorders>
            <w:tcMar>
              <w:top w:w="15" w:type="dxa"/>
              <w:left w:w="15" w:type="dxa"/>
              <w:bottom w:w="15" w:type="dxa"/>
              <w:right w:w="15" w:type="dxa"/>
            </w:tcMar>
            <w:vAlign w:val="bottom"/>
          </w:tcPr>
          <w:p w14:paraId="4E1CEE32" w14:textId="4F51C6BE" w:rsidR="00041388" w:rsidRDefault="00041388" w:rsidP="00D96CED">
            <w:pPr>
              <w:spacing w:after="0" w:line="240" w:lineRule="auto"/>
            </w:pPr>
            <w:r>
              <w:rPr>
                <w:rFonts w:ascii="Arial" w:eastAsia="Arial" w:hAnsi="Arial" w:cs="Arial"/>
                <w:color w:val="000000"/>
                <w:sz w:val="14"/>
                <w:szCs w:val="14"/>
              </w:rPr>
              <w:t> </w:t>
            </w:r>
            <w:r w:rsidR="00E70452">
              <w:rPr>
                <w:rFonts w:ascii="Arial" w:eastAsia="Arial" w:hAnsi="Arial" w:cs="Arial"/>
                <w:color w:val="000000"/>
                <w:sz w:val="14"/>
                <w:szCs w:val="14"/>
              </w:rPr>
              <w:t>5.547 5.547D 5.548</w:t>
            </w:r>
          </w:p>
        </w:tc>
        <w:tc>
          <w:tcPr>
            <w:tcW w:w="2250" w:type="dxa"/>
            <w:gridSpan w:val="2"/>
            <w:tcBorders>
              <w:left w:val="single" w:sz="15" w:space="0" w:color="000000"/>
              <w:bottom w:val="single" w:sz="5" w:space="0" w:color="000000"/>
              <w:right w:val="single" w:sz="15" w:space="0" w:color="000000"/>
            </w:tcBorders>
            <w:tcMar>
              <w:top w:w="15" w:type="dxa"/>
              <w:left w:w="15" w:type="dxa"/>
              <w:bottom w:w="15" w:type="dxa"/>
              <w:right w:w="15" w:type="dxa"/>
            </w:tcMar>
            <w:vAlign w:val="bottom"/>
          </w:tcPr>
          <w:p w14:paraId="46EACE3A" w14:textId="77777777" w:rsidR="00041388" w:rsidRDefault="00041388" w:rsidP="00D96CED">
            <w:pPr>
              <w:keepLines/>
              <w:spacing w:after="0" w:line="240" w:lineRule="auto"/>
              <w:textAlignment w:val="bottom"/>
            </w:pPr>
            <w:r>
              <w:rPr>
                <w:rFonts w:ascii="Arial" w:eastAsia="Arial" w:hAnsi="Arial" w:cs="Arial"/>
                <w:color w:val="000000"/>
                <w:sz w:val="14"/>
                <w:szCs w:val="14"/>
              </w:rPr>
              <w:t> </w:t>
            </w:r>
          </w:p>
          <w:p w14:paraId="38F66DA6" w14:textId="77777777" w:rsidR="00041388" w:rsidRDefault="00041388" w:rsidP="00D96CED">
            <w:pPr>
              <w:spacing w:after="0" w:line="240" w:lineRule="auto"/>
            </w:pPr>
            <w:r>
              <w:rPr>
                <w:rFonts w:ascii="Arial" w:eastAsia="Arial" w:hAnsi="Arial" w:cs="Arial"/>
                <w:color w:val="000000"/>
                <w:sz w:val="14"/>
                <w:szCs w:val="14"/>
              </w:rPr>
              <w:t xml:space="preserve"> 5.547 5.548</w:t>
            </w:r>
          </w:p>
        </w:tc>
      </w:tr>
      <w:tr w:rsidR="00041388" w14:paraId="584F9EA2" w14:textId="77777777" w:rsidTr="00D96CED">
        <w:trPr>
          <w:gridBefore w:val="1"/>
          <w:wBefore w:w="21" w:type="dxa"/>
          <w:cantSplit/>
        </w:trPr>
        <w:tc>
          <w:tcPr>
            <w:tcW w:w="540" w:type="dxa"/>
            <w:gridSpan w:val="2"/>
            <w:tcBorders>
              <w:top w:val="single" w:sz="5" w:space="0" w:color="000000"/>
              <w:left w:val="single" w:sz="5" w:space="0" w:color="000000"/>
              <w:right w:val="single" w:sz="15" w:space="0" w:color="000000"/>
            </w:tcBorders>
            <w:tcMar>
              <w:top w:w="15" w:type="dxa"/>
              <w:left w:w="15" w:type="dxa"/>
              <w:bottom w:w="15" w:type="dxa"/>
              <w:right w:w="15" w:type="dxa"/>
            </w:tcMar>
          </w:tcPr>
          <w:p w14:paraId="0A6BFA3B" w14:textId="77777777" w:rsidR="00041388" w:rsidRDefault="00041388" w:rsidP="00D96CED">
            <w:pPr>
              <w:keepNext/>
              <w:keepLines/>
              <w:spacing w:after="0" w:line="240" w:lineRule="auto"/>
              <w:ind w:left="45" w:hanging="150"/>
              <w:jc w:val="center"/>
              <w:textAlignment w:val="top"/>
            </w:pPr>
            <w:r>
              <w:rPr>
                <w:rFonts w:ascii="Arial" w:eastAsia="Arial" w:hAnsi="Arial" w:cs="Arial"/>
                <w:color w:val="000000"/>
                <w:sz w:val="14"/>
                <w:szCs w:val="14"/>
              </w:rPr>
              <w:t>522</w:t>
            </w:r>
          </w:p>
        </w:tc>
        <w:tc>
          <w:tcPr>
            <w:tcW w:w="2250" w:type="dxa"/>
            <w:gridSpan w:val="2"/>
            <w:tcBorders>
              <w:top w:val="single" w:sz="5" w:space="0" w:color="000000"/>
              <w:left w:val="single" w:sz="5" w:space="0" w:color="000000"/>
            </w:tcBorders>
            <w:tcMar>
              <w:top w:w="15" w:type="dxa"/>
              <w:left w:w="15" w:type="dxa"/>
              <w:bottom w:w="15" w:type="dxa"/>
              <w:right w:w="15" w:type="dxa"/>
            </w:tcMar>
          </w:tcPr>
          <w:p w14:paraId="6B6B6A9E" w14:textId="77777777" w:rsidR="00041388" w:rsidRDefault="00041388" w:rsidP="00D96CED">
            <w:pPr>
              <w:spacing w:after="0" w:line="240" w:lineRule="auto"/>
            </w:pPr>
            <w:r>
              <w:rPr>
                <w:rFonts w:ascii="Arial" w:eastAsia="Arial" w:hAnsi="Arial" w:cs="Arial"/>
                <w:b/>
                <w:bCs/>
                <w:color w:val="000000"/>
                <w:sz w:val="14"/>
                <w:szCs w:val="14"/>
              </w:rPr>
              <w:t>33–33,4 GHz</w:t>
            </w:r>
          </w:p>
        </w:tc>
        <w:tc>
          <w:tcPr>
            <w:tcW w:w="4500" w:type="dxa"/>
            <w:gridSpan w:val="3"/>
            <w:tcBorders>
              <w:top w:val="single" w:sz="5" w:space="0" w:color="000000"/>
            </w:tcBorders>
            <w:tcMar>
              <w:top w:w="15" w:type="dxa"/>
              <w:left w:w="15" w:type="dxa"/>
              <w:bottom w:w="15" w:type="dxa"/>
              <w:right w:w="15" w:type="dxa"/>
            </w:tcMar>
          </w:tcPr>
          <w:p w14:paraId="12E630A7" w14:textId="77777777" w:rsidR="00041388" w:rsidRDefault="00041388" w:rsidP="00D96CED">
            <w:pPr>
              <w:keepLines/>
              <w:spacing w:after="0" w:line="240" w:lineRule="auto"/>
              <w:ind w:left="150" w:hanging="150"/>
              <w:textAlignment w:val="top"/>
            </w:pPr>
            <w:r>
              <w:rPr>
                <w:rFonts w:ascii="Arial" w:eastAsia="Arial" w:hAnsi="Arial" w:cs="Arial"/>
                <w:color w:val="000000"/>
                <w:sz w:val="14"/>
                <w:szCs w:val="14"/>
              </w:rPr>
              <w:t>ÁLLANDÓHELYŰ 5.547A</w:t>
            </w:r>
          </w:p>
          <w:p w14:paraId="23E536E2" w14:textId="77777777" w:rsidR="00041388" w:rsidRDefault="00041388" w:rsidP="00D96CED">
            <w:pPr>
              <w:keepLines/>
              <w:spacing w:after="0" w:line="240" w:lineRule="auto"/>
              <w:ind w:left="150" w:hanging="150"/>
              <w:textAlignment w:val="top"/>
            </w:pPr>
            <w:r>
              <w:rPr>
                <w:rFonts w:ascii="Arial" w:eastAsia="Arial" w:hAnsi="Arial" w:cs="Arial"/>
                <w:color w:val="000000"/>
                <w:sz w:val="14"/>
                <w:szCs w:val="14"/>
              </w:rPr>
              <w:t>RÁDIÓNAVIGÁCIÓ</w:t>
            </w:r>
          </w:p>
        </w:tc>
        <w:tc>
          <w:tcPr>
            <w:tcW w:w="2250" w:type="dxa"/>
            <w:gridSpan w:val="2"/>
            <w:tcBorders>
              <w:top w:val="single" w:sz="5" w:space="0" w:color="000000"/>
              <w:left w:val="single" w:sz="15" w:space="0" w:color="000000"/>
              <w:right w:val="single" w:sz="15" w:space="0" w:color="000000"/>
            </w:tcBorders>
            <w:tcMar>
              <w:top w:w="15" w:type="dxa"/>
              <w:left w:w="15" w:type="dxa"/>
              <w:bottom w:w="15" w:type="dxa"/>
              <w:right w:w="15" w:type="dxa"/>
            </w:tcMar>
          </w:tcPr>
          <w:p w14:paraId="2B774921" w14:textId="77777777" w:rsidR="00041388" w:rsidRDefault="00041388" w:rsidP="00D96CED">
            <w:pPr>
              <w:spacing w:after="0" w:line="240" w:lineRule="auto"/>
            </w:pPr>
            <w:r>
              <w:rPr>
                <w:rFonts w:ascii="Arial" w:eastAsia="Arial" w:hAnsi="Arial" w:cs="Arial"/>
                <w:b/>
                <w:bCs/>
                <w:color w:val="000000"/>
                <w:sz w:val="14"/>
                <w:szCs w:val="14"/>
              </w:rPr>
              <w:t>33–33,4 GHz</w:t>
            </w:r>
          </w:p>
          <w:p w14:paraId="1A3D4657" w14:textId="77777777" w:rsidR="00041388" w:rsidRDefault="00041388" w:rsidP="00D96CED">
            <w:pPr>
              <w:keepLines/>
              <w:spacing w:after="0" w:line="240" w:lineRule="auto"/>
              <w:ind w:left="150" w:hanging="150"/>
              <w:textAlignment w:val="top"/>
            </w:pPr>
            <w:r>
              <w:rPr>
                <w:rFonts w:ascii="Arial" w:eastAsia="Arial" w:hAnsi="Arial" w:cs="Arial"/>
                <w:color w:val="000000"/>
                <w:sz w:val="14"/>
                <w:szCs w:val="14"/>
              </w:rPr>
              <w:t>ÁLLANDÓHELYŰ 5.547A</w:t>
            </w:r>
          </w:p>
          <w:p w14:paraId="3BC038CB" w14:textId="77777777" w:rsidR="00041388" w:rsidRDefault="00041388" w:rsidP="00D96CED">
            <w:pPr>
              <w:keepLines/>
              <w:spacing w:after="0" w:line="240" w:lineRule="auto"/>
              <w:ind w:left="150" w:hanging="150"/>
              <w:textAlignment w:val="top"/>
            </w:pPr>
            <w:r>
              <w:rPr>
                <w:rFonts w:ascii="Arial" w:eastAsia="Arial" w:hAnsi="Arial" w:cs="Arial"/>
                <w:color w:val="000000"/>
                <w:sz w:val="14"/>
                <w:szCs w:val="14"/>
              </w:rPr>
              <w:t>RÁDIÓNAVIGÁCIÓ</w:t>
            </w:r>
          </w:p>
        </w:tc>
      </w:tr>
      <w:tr w:rsidR="00041388" w14:paraId="11DD18DD" w14:textId="77777777" w:rsidTr="00D96CED">
        <w:trPr>
          <w:gridBefore w:val="1"/>
          <w:wBefore w:w="21" w:type="dxa"/>
          <w:cantSplit/>
        </w:trPr>
        <w:tc>
          <w:tcPr>
            <w:tcW w:w="540" w:type="dxa"/>
            <w:gridSpan w:val="2"/>
            <w:tcBorders>
              <w:left w:val="single" w:sz="5" w:space="0" w:color="000000"/>
              <w:bottom w:val="single" w:sz="5" w:space="0" w:color="000000"/>
              <w:right w:val="single" w:sz="15" w:space="0" w:color="000000"/>
            </w:tcBorders>
            <w:tcMar>
              <w:top w:w="15" w:type="dxa"/>
              <w:left w:w="15" w:type="dxa"/>
              <w:bottom w:w="15" w:type="dxa"/>
              <w:right w:w="15" w:type="dxa"/>
            </w:tcMar>
          </w:tcPr>
          <w:p w14:paraId="0185935C" w14:textId="77777777" w:rsidR="00041388" w:rsidRDefault="00041388" w:rsidP="00D96CED">
            <w:pPr>
              <w:spacing w:after="0" w:line="240" w:lineRule="auto"/>
              <w:jc w:val="center"/>
            </w:pPr>
            <w:r>
              <w:rPr>
                <w:rFonts w:ascii="Arial" w:eastAsia="Arial" w:hAnsi="Arial" w:cs="Arial"/>
                <w:color w:val="000000"/>
                <w:sz w:val="14"/>
                <w:szCs w:val="14"/>
              </w:rPr>
              <w:t> </w:t>
            </w:r>
          </w:p>
        </w:tc>
        <w:tc>
          <w:tcPr>
            <w:tcW w:w="2250" w:type="dxa"/>
            <w:gridSpan w:val="2"/>
            <w:tcBorders>
              <w:left w:val="single" w:sz="5" w:space="0" w:color="000000"/>
              <w:bottom w:val="single" w:sz="5" w:space="0" w:color="000000"/>
            </w:tcBorders>
            <w:tcMar>
              <w:top w:w="15" w:type="dxa"/>
              <w:left w:w="15" w:type="dxa"/>
              <w:bottom w:w="15" w:type="dxa"/>
              <w:right w:w="15" w:type="dxa"/>
            </w:tcMar>
          </w:tcPr>
          <w:p w14:paraId="7C72D01D" w14:textId="77777777" w:rsidR="00041388" w:rsidRDefault="00041388" w:rsidP="00D96CED">
            <w:pPr>
              <w:keepLines/>
              <w:spacing w:after="0" w:line="240" w:lineRule="auto"/>
              <w:textAlignment w:val="top"/>
            </w:pPr>
            <w:r>
              <w:rPr>
                <w:rFonts w:ascii="Arial" w:eastAsia="Arial" w:hAnsi="Arial" w:cs="Arial"/>
                <w:color w:val="000000"/>
                <w:sz w:val="14"/>
                <w:szCs w:val="14"/>
              </w:rPr>
              <w:t> </w:t>
            </w:r>
          </w:p>
          <w:p w14:paraId="5BA6E25E" w14:textId="40FDB6C3" w:rsidR="00041388" w:rsidRDefault="00041388" w:rsidP="00E70452">
            <w:pPr>
              <w:spacing w:after="0" w:line="240" w:lineRule="auto"/>
            </w:pPr>
            <w:r>
              <w:rPr>
                <w:rFonts w:ascii="Arial" w:eastAsia="Arial" w:hAnsi="Arial" w:cs="Arial"/>
                <w:color w:val="000000"/>
                <w:sz w:val="14"/>
                <w:szCs w:val="14"/>
              </w:rPr>
              <w:t xml:space="preserve"> </w:t>
            </w:r>
          </w:p>
        </w:tc>
        <w:tc>
          <w:tcPr>
            <w:tcW w:w="4500" w:type="dxa"/>
            <w:gridSpan w:val="3"/>
            <w:tcBorders>
              <w:bottom w:val="single" w:sz="5" w:space="0" w:color="000000"/>
            </w:tcBorders>
            <w:tcMar>
              <w:top w:w="15" w:type="dxa"/>
              <w:left w:w="15" w:type="dxa"/>
              <w:bottom w:w="15" w:type="dxa"/>
              <w:right w:w="15" w:type="dxa"/>
            </w:tcMar>
            <w:vAlign w:val="bottom"/>
          </w:tcPr>
          <w:p w14:paraId="2C4722DD" w14:textId="64D7BA8C" w:rsidR="00041388" w:rsidRDefault="00041388" w:rsidP="00D96CED">
            <w:pPr>
              <w:spacing w:after="0" w:line="240" w:lineRule="auto"/>
            </w:pPr>
            <w:r>
              <w:rPr>
                <w:rFonts w:ascii="Arial" w:eastAsia="Arial" w:hAnsi="Arial" w:cs="Arial"/>
                <w:color w:val="000000"/>
                <w:sz w:val="14"/>
                <w:szCs w:val="14"/>
              </w:rPr>
              <w:t> </w:t>
            </w:r>
            <w:r w:rsidR="00E70452">
              <w:rPr>
                <w:rFonts w:ascii="Arial" w:eastAsia="Arial" w:hAnsi="Arial" w:cs="Arial"/>
                <w:color w:val="000000"/>
                <w:sz w:val="14"/>
                <w:szCs w:val="14"/>
              </w:rPr>
              <w:t>5.547 5.547E</w:t>
            </w:r>
          </w:p>
        </w:tc>
        <w:tc>
          <w:tcPr>
            <w:tcW w:w="2250" w:type="dxa"/>
            <w:gridSpan w:val="2"/>
            <w:tcBorders>
              <w:left w:val="single" w:sz="15" w:space="0" w:color="000000"/>
              <w:bottom w:val="single" w:sz="5" w:space="0" w:color="000000"/>
              <w:right w:val="single" w:sz="15" w:space="0" w:color="000000"/>
            </w:tcBorders>
            <w:tcMar>
              <w:top w:w="15" w:type="dxa"/>
              <w:left w:w="15" w:type="dxa"/>
              <w:bottom w:w="15" w:type="dxa"/>
              <w:right w:w="15" w:type="dxa"/>
            </w:tcMar>
            <w:vAlign w:val="bottom"/>
          </w:tcPr>
          <w:p w14:paraId="401155A5" w14:textId="77777777" w:rsidR="00041388" w:rsidRDefault="00041388" w:rsidP="00D96CED">
            <w:pPr>
              <w:keepLines/>
              <w:spacing w:after="0" w:line="240" w:lineRule="auto"/>
              <w:textAlignment w:val="bottom"/>
            </w:pPr>
            <w:r>
              <w:rPr>
                <w:rFonts w:ascii="Arial" w:eastAsia="Arial" w:hAnsi="Arial" w:cs="Arial"/>
                <w:color w:val="000000"/>
                <w:sz w:val="14"/>
                <w:szCs w:val="14"/>
              </w:rPr>
              <w:t> </w:t>
            </w:r>
          </w:p>
          <w:p w14:paraId="740F8137" w14:textId="77777777" w:rsidR="00041388" w:rsidRDefault="00041388" w:rsidP="00D96CED">
            <w:pPr>
              <w:spacing w:after="0" w:line="240" w:lineRule="auto"/>
            </w:pPr>
            <w:r>
              <w:rPr>
                <w:rFonts w:ascii="Arial" w:eastAsia="Arial" w:hAnsi="Arial" w:cs="Arial"/>
                <w:color w:val="000000"/>
                <w:sz w:val="14"/>
                <w:szCs w:val="14"/>
              </w:rPr>
              <w:t xml:space="preserve"> 5.547</w:t>
            </w:r>
          </w:p>
        </w:tc>
      </w:tr>
    </w:tbl>
    <w:p w14:paraId="6A0F8FC1" w14:textId="77777777" w:rsidR="00041388" w:rsidRDefault="00041388" w:rsidP="00041388">
      <w:pPr>
        <w:pStyle w:val="Behzottbekezdsnmhh"/>
        <w:rPr>
          <w:i/>
        </w:rPr>
      </w:pPr>
    </w:p>
    <w:p w14:paraId="720AC52A" w14:textId="77777777" w:rsidR="00041388" w:rsidRDefault="00041388" w:rsidP="00041388">
      <w:pPr>
        <w:pStyle w:val="Cmsor3szmozottnmhh"/>
        <w:ind w:left="1287"/>
      </w:pPr>
      <w:bookmarkStart w:id="21" w:name="_Toc473880718"/>
      <w:bookmarkStart w:id="22" w:name="_Toc82171061"/>
      <w:bookmarkStart w:id="23" w:name="_Toc89185028"/>
      <w:bookmarkStart w:id="24" w:name="_Toc96075637"/>
      <w:r>
        <w:t>CEPT</w:t>
      </w:r>
      <w:bookmarkEnd w:id="21"/>
      <w:bookmarkEnd w:id="22"/>
      <w:bookmarkEnd w:id="23"/>
      <w:bookmarkEnd w:id="24"/>
    </w:p>
    <w:p w14:paraId="223AC53C" w14:textId="01679D1B" w:rsidR="00041388" w:rsidRDefault="00041388" w:rsidP="00041388">
      <w:pPr>
        <w:pStyle w:val="Behzottbekezdsnmhh"/>
      </w:pPr>
      <w:r w:rsidRPr="00913C27">
        <w:t>CEPT szinten</w:t>
      </w:r>
      <w:r>
        <w:t xml:space="preserve"> az </w:t>
      </w:r>
      <w:r w:rsidR="00491185">
        <w:t>ERC/REC/(01</w:t>
      </w:r>
      <w:proofErr w:type="gramStart"/>
      <w:r w:rsidR="00491185">
        <w:t>)02</w:t>
      </w:r>
      <w:proofErr w:type="gramEnd"/>
      <w:r w:rsidR="00491185">
        <w:t xml:space="preserve"> </w:t>
      </w:r>
      <w:r w:rsidR="00E70452">
        <w:t>A</w:t>
      </w:r>
      <w:r w:rsidRPr="003064AB">
        <w:t>jánlás</w:t>
      </w:r>
      <w:r w:rsidRPr="003064AB">
        <w:rPr>
          <w:rStyle w:val="Lbjegyzet-hivatkozs"/>
        </w:rPr>
        <w:footnoteReference w:id="9"/>
      </w:r>
      <w:r>
        <w:rPr>
          <w:i/>
        </w:rPr>
        <w:t xml:space="preserve"> </w:t>
      </w:r>
      <w:r>
        <w:t xml:space="preserve">tartalmazza a </w:t>
      </w:r>
      <w:r w:rsidR="008C3C16">
        <w:t xml:space="preserve">sáv- és </w:t>
      </w:r>
      <w:r>
        <w:t xml:space="preserve">csatornaelrendezési </w:t>
      </w:r>
      <w:r w:rsidR="00E70452">
        <w:t xml:space="preserve">lehetőségeket az </w:t>
      </w:r>
      <w:r>
        <w:t>állandóhelyű rendszerek használatára vonatkozóan. (3.1.2.1. ábra). Ahogy az ábrán látható, 3,5 MHz többszöröseiből képzett csatorna sávszélességek használhatók. Az elrendezés 3,5 MHz és 28 MHz közti csatornák esetén ugyanaz, viszont 56 MHz és annál nagyobb sávszélességű csatornák esetén már módosul. Az ajánlást legutóbb 2019 májusában módosították, amikor lehetővé tették 224 MHz</w:t>
      </w:r>
      <w:r w:rsidR="000F149D">
        <w:t xml:space="preserve"> sávszélességű</w:t>
      </w:r>
      <w:r>
        <w:t xml:space="preserve"> csatornák használatát, amelyet két szomszédos 112 MHz</w:t>
      </w:r>
      <w:r w:rsidR="000F149D">
        <w:t xml:space="preserve"> sávszélességű</w:t>
      </w:r>
      <w:r>
        <w:t xml:space="preserve"> csatorna összevonásával lehet képezni (3.1.2.2. ábra). </w:t>
      </w:r>
    </w:p>
    <w:p w14:paraId="43AD54B4" w14:textId="77777777" w:rsidR="00041388" w:rsidRDefault="00041388" w:rsidP="00041388">
      <w:pPr>
        <w:pStyle w:val="Behzottbekezdsnmhh"/>
        <w:keepNext/>
      </w:pPr>
      <w:r w:rsidRPr="00F009CD">
        <w:object w:dxaOrig="10374" w:dyaOrig="12527" w14:anchorId="2CF29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4pt;height:531.75pt" o:ole="">
            <v:imagedata r:id="rId14" o:title=""/>
          </v:shape>
          <o:OLEObject Type="Embed" ProgID="Visio.Drawing.11" ShapeID="_x0000_i1025" DrawAspect="Content" ObjectID="_1706688384" r:id="rId15"/>
        </w:object>
      </w:r>
    </w:p>
    <w:p w14:paraId="6B976949" w14:textId="460941EB" w:rsidR="00041388" w:rsidRDefault="00041388" w:rsidP="00041388">
      <w:pPr>
        <w:pStyle w:val="Kpalrs"/>
        <w:jc w:val="center"/>
      </w:pPr>
      <w:r>
        <w:t>3.1.2.1</w:t>
      </w:r>
      <w:r w:rsidR="00E70452">
        <w:t>.</w:t>
      </w:r>
      <w:r>
        <w:t xml:space="preserve"> ábra </w:t>
      </w:r>
      <w:r w:rsidR="008C3C16">
        <w:t>Sáv- és c</w:t>
      </w:r>
      <w:r>
        <w:t>satornaelrendezés</w:t>
      </w:r>
      <w:r w:rsidR="008C3C16">
        <w:t xml:space="preserve"> opciók</w:t>
      </w:r>
      <w:r>
        <w:t xml:space="preserve"> a 32 GHz-es sávban</w:t>
      </w:r>
      <w:r w:rsidR="00491185">
        <w:t xml:space="preserve"> [</w:t>
      </w:r>
      <w:r w:rsidR="00625FA4">
        <w:t xml:space="preserve">Forrás: </w:t>
      </w:r>
      <w:r w:rsidR="00491185">
        <w:t>ERC/REC/(01)02]</w:t>
      </w:r>
    </w:p>
    <w:p w14:paraId="2AAF04F1" w14:textId="77777777" w:rsidR="00041388" w:rsidRDefault="00041388" w:rsidP="00B00DE2">
      <w:pPr>
        <w:pStyle w:val="Behzottbekezdsnmhh"/>
        <w:keepNext/>
        <w:jc w:val="center"/>
      </w:pPr>
      <w:r>
        <w:rPr>
          <w:noProof/>
          <w:lang w:eastAsia="hu-HU"/>
        </w:rPr>
        <w:lastRenderedPageBreak/>
        <w:drawing>
          <wp:inline distT="0" distB="0" distL="0" distR="0" wp14:anchorId="6443B759" wp14:editId="1CD15449">
            <wp:extent cx="4937760" cy="2601685"/>
            <wp:effectExtent l="0" t="0" r="0"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7780" cy="2612233"/>
                    </a:xfrm>
                    <a:prstGeom prst="rect">
                      <a:avLst/>
                    </a:prstGeom>
                    <a:noFill/>
                  </pic:spPr>
                </pic:pic>
              </a:graphicData>
            </a:graphic>
          </wp:inline>
        </w:drawing>
      </w:r>
    </w:p>
    <w:p w14:paraId="175D48ED" w14:textId="0DB8D105" w:rsidR="00041388" w:rsidRDefault="00041388" w:rsidP="00041388">
      <w:pPr>
        <w:pStyle w:val="Kpalrs"/>
        <w:jc w:val="center"/>
      </w:pPr>
      <w:r>
        <w:t>3.1.2.2 ábra 224 MHz csatornák képzése a 32 GHz-es sávban</w:t>
      </w:r>
      <w:r w:rsidR="00491185">
        <w:t xml:space="preserve"> [</w:t>
      </w:r>
      <w:r w:rsidR="00625FA4">
        <w:t xml:space="preserve">Forrás: </w:t>
      </w:r>
      <w:r w:rsidR="00491185">
        <w:t>ERC/REC/(01)02]</w:t>
      </w:r>
    </w:p>
    <w:p w14:paraId="70C3687D" w14:textId="77777777" w:rsidR="00041388" w:rsidRDefault="00041388" w:rsidP="00041388">
      <w:pPr>
        <w:pStyle w:val="Behzottbekezdsnmhh"/>
      </w:pPr>
    </w:p>
    <w:p w14:paraId="138C6CB0" w14:textId="0D55D082" w:rsidR="00041388" w:rsidRDefault="00041388" w:rsidP="00041388">
      <w:pPr>
        <w:pStyle w:val="Behzottbekezdsnmhh"/>
      </w:pPr>
      <w:r>
        <w:t xml:space="preserve">Az </w:t>
      </w:r>
      <w:r w:rsidR="00491185">
        <w:t xml:space="preserve">ECC/REC/(11)01 </w:t>
      </w:r>
      <w:r w:rsidR="00E70452">
        <w:t>A</w:t>
      </w:r>
      <w:r w:rsidRPr="003064AB">
        <w:t>jánlás</w:t>
      </w:r>
      <w:r w:rsidRPr="003064AB">
        <w:rPr>
          <w:rStyle w:val="Lbjegyzet-hivatkozs"/>
        </w:rPr>
        <w:footnoteReference w:id="10"/>
      </w:r>
      <w:r>
        <w:t xml:space="preserve"> állandóhelyű vezeték nélküli pont-többpont típusú rendszerekre vonatkozóan nyújt iránymutatást a </w:t>
      </w:r>
      <w:r w:rsidR="008C3C16">
        <w:t xml:space="preserve">felhasználói blokkok </w:t>
      </w:r>
      <w:r w:rsidR="00CE2002">
        <w:t xml:space="preserve">képzése </w:t>
      </w:r>
      <w:r w:rsidR="00AB6891">
        <w:t>és</w:t>
      </w:r>
      <w:r>
        <w:t xml:space="preserve"> </w:t>
      </w:r>
      <w:r w:rsidR="008767E1">
        <w:t xml:space="preserve">elhelyezése </w:t>
      </w:r>
      <w:r>
        <w:t xml:space="preserve">tekintetében. A szabályozó dokumentum </w:t>
      </w:r>
      <w:r w:rsidR="00CE2002">
        <w:t>az alábbi tényezőkre vonatkozóan fogalmaz meg javaslatokat:</w:t>
      </w:r>
      <w:r>
        <w:t xml:space="preserve"> </w:t>
      </w:r>
    </w:p>
    <w:p w14:paraId="32ED1C9C" w14:textId="2D6B4C57" w:rsidR="002116E6" w:rsidRDefault="00041388" w:rsidP="00041388">
      <w:pPr>
        <w:pStyle w:val="Behzottbekezdsnmhh"/>
        <w:numPr>
          <w:ilvl w:val="0"/>
          <w:numId w:val="34"/>
        </w:numPr>
      </w:pPr>
      <w:r>
        <w:t>az alapblokk mérete 28 MHz</w:t>
      </w:r>
    </w:p>
    <w:p w14:paraId="0D32575C" w14:textId="6A5D60FA" w:rsidR="00041388" w:rsidRDefault="00041388" w:rsidP="00041388">
      <w:pPr>
        <w:pStyle w:val="Behzottbekezdsnmhh"/>
        <w:numPr>
          <w:ilvl w:val="0"/>
          <w:numId w:val="34"/>
        </w:numPr>
      </w:pPr>
      <w:r>
        <w:t>ez alapján 28 MHz többszörösei lehetnek</w:t>
      </w:r>
      <w:r w:rsidR="002116E6">
        <w:t xml:space="preserve"> a kijelölt </w:t>
      </w:r>
      <w:r w:rsidR="002116E6" w:rsidRPr="002116E6">
        <w:t>felhasználói blokk</w:t>
      </w:r>
      <w:r w:rsidR="002116E6">
        <w:t xml:space="preserve"> méretek</w:t>
      </w:r>
      <w:r w:rsidR="00C673FF">
        <w:t>)</w:t>
      </w:r>
      <w:r>
        <w:t xml:space="preserve">, </w:t>
      </w:r>
    </w:p>
    <w:p w14:paraId="5F4E1978" w14:textId="68515205" w:rsidR="00041388" w:rsidRDefault="008C3C16" w:rsidP="00041388">
      <w:pPr>
        <w:pStyle w:val="Behzottbekezdsnmhh"/>
        <w:numPr>
          <w:ilvl w:val="0"/>
          <w:numId w:val="34"/>
        </w:numPr>
      </w:pPr>
      <w:r>
        <w:t>felhasználói blokkokat elválasztó</w:t>
      </w:r>
      <w:r w:rsidR="00041388">
        <w:t xml:space="preserve"> </w:t>
      </w:r>
      <w:r>
        <w:t xml:space="preserve">védő </w:t>
      </w:r>
      <w:r w:rsidR="00041388">
        <w:t>tartomány</w:t>
      </w:r>
      <w:r>
        <w:t>ok alkalmazására vonatkozó megfontolások</w:t>
      </w:r>
      <w:r w:rsidR="00C673FF">
        <w:t>, valamint</w:t>
      </w:r>
      <w:r w:rsidR="00041388">
        <w:t xml:space="preserve"> </w:t>
      </w:r>
    </w:p>
    <w:p w14:paraId="52340183" w14:textId="77777777" w:rsidR="00041388" w:rsidRDefault="00041388" w:rsidP="00041388">
      <w:pPr>
        <w:pStyle w:val="Behzottbekezdsnmhh"/>
        <w:numPr>
          <w:ilvl w:val="0"/>
          <w:numId w:val="34"/>
        </w:numPr>
      </w:pPr>
      <w:r>
        <w:t>a különböző polarizációk használata esetén, milyen módon használhatók a frekvenciablokkok.</w:t>
      </w:r>
    </w:p>
    <w:p w14:paraId="302ACE2A" w14:textId="77777777" w:rsidR="00041388" w:rsidRPr="00BE07D2" w:rsidRDefault="00041388" w:rsidP="00041388">
      <w:pPr>
        <w:pStyle w:val="Behzottbekezdsnmhh"/>
        <w:rPr>
          <w:i/>
        </w:rPr>
      </w:pPr>
    </w:p>
    <w:p w14:paraId="7533F759" w14:textId="77777777" w:rsidR="00041388" w:rsidRDefault="00041388" w:rsidP="00041388">
      <w:pPr>
        <w:pStyle w:val="Cmsor3szmozottnmhh"/>
        <w:ind w:left="1287"/>
      </w:pPr>
      <w:r>
        <w:t xml:space="preserve"> </w:t>
      </w:r>
      <w:bookmarkStart w:id="25" w:name="_Toc82171062"/>
      <w:bookmarkStart w:id="26" w:name="_Toc89185029"/>
      <w:bookmarkStart w:id="27" w:name="_Toc96075638"/>
      <w:r>
        <w:t>EU</w:t>
      </w:r>
      <w:bookmarkEnd w:id="19"/>
      <w:bookmarkEnd w:id="25"/>
      <w:bookmarkEnd w:id="26"/>
      <w:bookmarkEnd w:id="27"/>
    </w:p>
    <w:p w14:paraId="65A50638" w14:textId="5D610F0D" w:rsidR="00041388" w:rsidRDefault="00041388" w:rsidP="00041388">
      <w:pPr>
        <w:pStyle w:val="Behzottbekezdsnmhh"/>
      </w:pPr>
      <w:r>
        <w:t xml:space="preserve">Nincs a </w:t>
      </w:r>
      <w:r w:rsidR="00E573D3">
        <w:t>frekvencia</w:t>
      </w:r>
      <w:r>
        <w:t xml:space="preserve">sávra vonatkozó harmonizált </w:t>
      </w:r>
      <w:r w:rsidR="00C673FF">
        <w:t xml:space="preserve">uniós </w:t>
      </w:r>
      <w:r>
        <w:t xml:space="preserve">szabályrendszer. Nem indult el harmonizációs folyamat és </w:t>
      </w:r>
      <w:r w:rsidR="002116E6">
        <w:t xml:space="preserve">az NMHH </w:t>
      </w:r>
      <w:r>
        <w:t>nem is tud ezzel kapcsolatos kezdeményezésről.</w:t>
      </w:r>
    </w:p>
    <w:p w14:paraId="06EC79F9" w14:textId="76EE4645" w:rsidR="00041388" w:rsidRDefault="00D96CED" w:rsidP="00C673FF">
      <w:pPr>
        <w:pStyle w:val="Behzottbekezdsnmhh"/>
      </w:pPr>
      <w:r>
        <w:t>Bár korábban készült egy EU mandátum</w:t>
      </w:r>
      <w:r>
        <w:rPr>
          <w:rStyle w:val="Lbjegyzet-hivatkozs"/>
        </w:rPr>
        <w:footnoteReference w:id="11"/>
      </w:r>
      <w:r>
        <w:t xml:space="preserve">, amely a 6 GHz feletti </w:t>
      </w:r>
      <w:r w:rsidR="00E2152A">
        <w:t>frekvencia</w:t>
      </w:r>
      <w:r>
        <w:t xml:space="preserve">sávok közül 5G célra lehetséges </w:t>
      </w:r>
      <w:r w:rsidR="00E573D3">
        <w:t>frekvencia</w:t>
      </w:r>
      <w:r>
        <w:t xml:space="preserve">sávokként azonosította többek között a 32 GHz-es </w:t>
      </w:r>
      <w:r w:rsidR="00E2152A">
        <w:t>frekvencia</w:t>
      </w:r>
      <w:r>
        <w:t xml:space="preserve">sávot is, amelyeket vizsgálni kellett 5G bevezetése szempontjából, de ez nem tartozott az ún. 5G úttörő sávok közé. A WRC-19 felkészülés keretében végzett vizsgálatok alapján a CEPT nem támogatta a 32 GHz-es </w:t>
      </w:r>
      <w:r w:rsidR="00E573D3">
        <w:t>frekvencia</w:t>
      </w:r>
      <w:r>
        <w:t xml:space="preserve">sávban az 5G bevezetését. A WRC-19 döntéseinek eredményeként a 32 GHz-es </w:t>
      </w:r>
      <w:r w:rsidR="00E573D3">
        <w:t>frekvencia</w:t>
      </w:r>
      <w:r>
        <w:t>sávot nem azonosították IMT-re, így a sávban a közeljövőben nem várható az 5G bevezetése és erre vonatkozó EU harmonizációs törekvés sem.</w:t>
      </w:r>
      <w:r w:rsidR="00041388">
        <w:br w:type="page"/>
      </w:r>
    </w:p>
    <w:p w14:paraId="391000F3" w14:textId="674E4E50" w:rsidR="00F54787" w:rsidRDefault="00F54787" w:rsidP="00F54787">
      <w:pPr>
        <w:pStyle w:val="Cmsor2szmozottnmhh"/>
        <w:ind w:left="578" w:hanging="578"/>
      </w:pPr>
      <w:bookmarkStart w:id="28" w:name="_Toc473880720"/>
      <w:bookmarkStart w:id="29" w:name="_Toc82171063"/>
      <w:bookmarkStart w:id="30" w:name="_Toc89185030"/>
      <w:bookmarkStart w:id="31" w:name="_Toc96075639"/>
      <w:r>
        <w:lastRenderedPageBreak/>
        <w:t>Nemzeti szabályozás</w:t>
      </w:r>
      <w:bookmarkEnd w:id="28"/>
      <w:bookmarkEnd w:id="29"/>
      <w:r>
        <w:t xml:space="preserve"> és sávhasználat</w:t>
      </w:r>
      <w:bookmarkEnd w:id="30"/>
      <w:bookmarkEnd w:id="31"/>
    </w:p>
    <w:p w14:paraId="36014CA9" w14:textId="788B8B8F" w:rsidR="00F54787" w:rsidRDefault="00F54787" w:rsidP="00F54787">
      <w:pPr>
        <w:pStyle w:val="Behzottbekezdsnmhh"/>
      </w:pPr>
      <w:r>
        <w:t>A</w:t>
      </w:r>
      <w:r w:rsidRPr="00494465">
        <w:t xml:space="preserve"> </w:t>
      </w:r>
      <w:r>
        <w:t xml:space="preserve">31,8-33,4 GHz frekvenciasávban használható alkalmazásokat az NFFF 2. melléklete rögzíti a </w:t>
      </w:r>
      <w:r w:rsidR="00C673FF">
        <w:t xml:space="preserve">következő </w:t>
      </w:r>
      <w:r>
        <w:t>táblázat szerint:</w:t>
      </w:r>
      <w:r w:rsidDel="001163ED">
        <w:t xml:space="preserve"> </w:t>
      </w:r>
    </w:p>
    <w:tbl>
      <w:tblPr>
        <w:tblW w:w="9781" w:type="dxa"/>
        <w:tblInd w:w="-23" w:type="dxa"/>
        <w:tblBorders>
          <w:bottom w:val="single" w:sz="18" w:space="0" w:color="auto"/>
        </w:tblBorders>
        <w:tblLayout w:type="fixed"/>
        <w:tblCellMar>
          <w:left w:w="85" w:type="dxa"/>
          <w:right w:w="85" w:type="dxa"/>
        </w:tblCellMar>
        <w:tblLook w:val="0000" w:firstRow="0" w:lastRow="0" w:firstColumn="0" w:lastColumn="0" w:noHBand="0" w:noVBand="0"/>
      </w:tblPr>
      <w:tblGrid>
        <w:gridCol w:w="1700"/>
        <w:gridCol w:w="708"/>
        <w:gridCol w:w="425"/>
        <w:gridCol w:w="426"/>
        <w:gridCol w:w="425"/>
        <w:gridCol w:w="2127"/>
        <w:gridCol w:w="1560"/>
        <w:gridCol w:w="2410"/>
      </w:tblGrid>
      <w:tr w:rsidR="000E5F59" w:rsidRPr="005F24FF" w14:paraId="49539A02" w14:textId="77777777" w:rsidTr="000E5F59">
        <w:trPr>
          <w:cantSplit/>
          <w:trHeight w:val="20"/>
          <w:tblHeader/>
        </w:trPr>
        <w:tc>
          <w:tcPr>
            <w:tcW w:w="2833" w:type="dxa"/>
            <w:gridSpan w:val="3"/>
            <w:vMerge w:val="restart"/>
            <w:tcBorders>
              <w:top w:val="single" w:sz="18" w:space="0" w:color="auto"/>
              <w:left w:val="single" w:sz="18" w:space="0" w:color="auto"/>
              <w:right w:val="single" w:sz="18" w:space="0" w:color="auto"/>
            </w:tcBorders>
            <w:vAlign w:val="center"/>
          </w:tcPr>
          <w:p w14:paraId="0DF17E0A" w14:textId="77777777" w:rsidR="000E5F59" w:rsidRPr="00164E01" w:rsidRDefault="000E5F59" w:rsidP="00EE2183">
            <w:pPr>
              <w:keepNext/>
              <w:keepLines/>
              <w:ind w:left="-57" w:right="-57"/>
              <w:jc w:val="center"/>
              <w:rPr>
                <w:rFonts w:cs="Arial"/>
                <w:color w:val="000000" w:themeColor="text1"/>
                <w:sz w:val="14"/>
                <w:szCs w:val="14"/>
              </w:rPr>
            </w:pPr>
            <w:r w:rsidRPr="00164E01">
              <w:rPr>
                <w:rFonts w:cs="Arial"/>
                <w:b/>
                <w:color w:val="000000" w:themeColor="text1"/>
                <w:sz w:val="14"/>
                <w:szCs w:val="14"/>
              </w:rPr>
              <w:t>Nemzeti felosztás</w:t>
            </w:r>
          </w:p>
        </w:tc>
        <w:tc>
          <w:tcPr>
            <w:tcW w:w="6948" w:type="dxa"/>
            <w:gridSpan w:val="5"/>
            <w:tcBorders>
              <w:top w:val="single" w:sz="18" w:space="0" w:color="auto"/>
              <w:left w:val="single" w:sz="18" w:space="0" w:color="auto"/>
              <w:bottom w:val="single" w:sz="4" w:space="0" w:color="auto"/>
              <w:right w:val="single" w:sz="18" w:space="0" w:color="auto"/>
            </w:tcBorders>
            <w:vAlign w:val="center"/>
          </w:tcPr>
          <w:p w14:paraId="047CF870" w14:textId="77777777" w:rsidR="000E5F59" w:rsidRPr="00164E01" w:rsidRDefault="000E5F59" w:rsidP="00EE2183">
            <w:pPr>
              <w:keepNext/>
              <w:keepLines/>
              <w:ind w:left="130" w:right="-40" w:hanging="170"/>
              <w:jc w:val="center"/>
              <w:rPr>
                <w:rFonts w:cs="Arial"/>
                <w:b/>
                <w:color w:val="000000" w:themeColor="text1"/>
                <w:sz w:val="14"/>
                <w:szCs w:val="14"/>
              </w:rPr>
            </w:pPr>
            <w:r w:rsidRPr="00164E01">
              <w:rPr>
                <w:rFonts w:cs="Arial"/>
                <w:b/>
                <w:color w:val="000000" w:themeColor="text1"/>
                <w:sz w:val="14"/>
                <w:szCs w:val="14"/>
              </w:rPr>
              <w:t xml:space="preserve">Frekvenciasávok </w:t>
            </w:r>
            <w:r>
              <w:rPr>
                <w:rFonts w:cs="Arial"/>
                <w:b/>
                <w:color w:val="000000" w:themeColor="text1"/>
                <w:sz w:val="14"/>
                <w:szCs w:val="14"/>
              </w:rPr>
              <w:t>használati</w:t>
            </w:r>
            <w:r w:rsidRPr="00164E01">
              <w:rPr>
                <w:rFonts w:cs="Arial"/>
                <w:b/>
                <w:color w:val="000000" w:themeColor="text1"/>
                <w:sz w:val="14"/>
                <w:szCs w:val="14"/>
              </w:rPr>
              <w:t xml:space="preserve"> szabályai</w:t>
            </w:r>
          </w:p>
        </w:tc>
      </w:tr>
      <w:tr w:rsidR="000E5F59" w:rsidRPr="005F24FF" w14:paraId="2F832C65" w14:textId="77777777" w:rsidTr="000E5F59">
        <w:trPr>
          <w:cantSplit/>
          <w:trHeight w:val="52"/>
          <w:tblHeader/>
        </w:trPr>
        <w:tc>
          <w:tcPr>
            <w:tcW w:w="2833" w:type="dxa"/>
            <w:gridSpan w:val="3"/>
            <w:vMerge/>
            <w:tcBorders>
              <w:left w:val="single" w:sz="18" w:space="0" w:color="auto"/>
              <w:bottom w:val="single" w:sz="18" w:space="0" w:color="auto"/>
              <w:right w:val="single" w:sz="18" w:space="0" w:color="auto"/>
            </w:tcBorders>
            <w:vAlign w:val="center"/>
          </w:tcPr>
          <w:p w14:paraId="13A12753" w14:textId="77777777" w:rsidR="000E5F59" w:rsidRPr="00164E01" w:rsidRDefault="000E5F59" w:rsidP="00EE2183">
            <w:pPr>
              <w:keepNext/>
              <w:keepLines/>
              <w:ind w:left="-57" w:right="-57"/>
              <w:jc w:val="center"/>
              <w:rPr>
                <w:rFonts w:cs="Arial"/>
                <w:color w:val="000000" w:themeColor="text1"/>
                <w:sz w:val="14"/>
                <w:szCs w:val="14"/>
              </w:rPr>
            </w:pPr>
          </w:p>
        </w:tc>
        <w:tc>
          <w:tcPr>
            <w:tcW w:w="2978" w:type="dxa"/>
            <w:gridSpan w:val="3"/>
            <w:tcBorders>
              <w:top w:val="single" w:sz="4" w:space="0" w:color="auto"/>
              <w:left w:val="single" w:sz="18" w:space="0" w:color="auto"/>
              <w:bottom w:val="single" w:sz="18" w:space="0" w:color="auto"/>
              <w:right w:val="single" w:sz="18" w:space="0" w:color="auto"/>
            </w:tcBorders>
            <w:vAlign w:val="center"/>
          </w:tcPr>
          <w:p w14:paraId="286E603D" w14:textId="77777777" w:rsidR="000E5F59" w:rsidRPr="00164E01" w:rsidRDefault="000E5F59" w:rsidP="00EE2183">
            <w:pPr>
              <w:keepNext/>
              <w:keepLines/>
              <w:ind w:left="130" w:right="-40" w:hanging="170"/>
              <w:jc w:val="center"/>
              <w:rPr>
                <w:rFonts w:cs="Arial"/>
                <w:b/>
                <w:color w:val="000000" w:themeColor="text1"/>
                <w:sz w:val="14"/>
                <w:szCs w:val="14"/>
              </w:rPr>
            </w:pPr>
            <w:r w:rsidRPr="00164E01">
              <w:rPr>
                <w:rFonts w:cs="Arial"/>
                <w:b/>
                <w:color w:val="000000" w:themeColor="text1"/>
                <w:sz w:val="14"/>
                <w:szCs w:val="14"/>
              </w:rPr>
              <w:t>Alkalmazás</w:t>
            </w:r>
          </w:p>
        </w:tc>
        <w:tc>
          <w:tcPr>
            <w:tcW w:w="1560" w:type="dxa"/>
            <w:tcBorders>
              <w:top w:val="single" w:sz="4" w:space="0" w:color="auto"/>
              <w:left w:val="single" w:sz="18" w:space="0" w:color="auto"/>
              <w:bottom w:val="single" w:sz="18" w:space="0" w:color="auto"/>
              <w:right w:val="single" w:sz="4" w:space="0" w:color="auto"/>
            </w:tcBorders>
            <w:vAlign w:val="center"/>
          </w:tcPr>
          <w:p w14:paraId="2D6EC9C5" w14:textId="77777777" w:rsidR="000E5F59" w:rsidRPr="00164E01" w:rsidRDefault="000E5F59" w:rsidP="00EE2183">
            <w:pPr>
              <w:keepNext/>
              <w:keepLines/>
              <w:ind w:left="130" w:right="-40" w:hanging="170"/>
              <w:jc w:val="center"/>
              <w:rPr>
                <w:rFonts w:cs="Arial"/>
                <w:b/>
                <w:color w:val="000000" w:themeColor="text1"/>
                <w:sz w:val="14"/>
                <w:szCs w:val="14"/>
              </w:rPr>
            </w:pPr>
            <w:r w:rsidRPr="00164E01">
              <w:rPr>
                <w:rFonts w:cs="Arial"/>
                <w:b/>
                <w:color w:val="000000" w:themeColor="text1"/>
                <w:sz w:val="14"/>
                <w:szCs w:val="14"/>
              </w:rPr>
              <w:t>Dokumentum</w:t>
            </w:r>
          </w:p>
        </w:tc>
        <w:tc>
          <w:tcPr>
            <w:tcW w:w="2410" w:type="dxa"/>
            <w:tcBorders>
              <w:top w:val="single" w:sz="4" w:space="0" w:color="auto"/>
              <w:left w:val="single" w:sz="4" w:space="0" w:color="auto"/>
              <w:bottom w:val="single" w:sz="18" w:space="0" w:color="auto"/>
              <w:right w:val="single" w:sz="18" w:space="0" w:color="auto"/>
            </w:tcBorders>
            <w:vAlign w:val="center"/>
          </w:tcPr>
          <w:p w14:paraId="0E3F5A98" w14:textId="77777777" w:rsidR="000E5F59" w:rsidRPr="00164E01" w:rsidRDefault="000E5F59" w:rsidP="00EE2183">
            <w:pPr>
              <w:pStyle w:val="Hanging035"/>
              <w:tabs>
                <w:tab w:val="left" w:pos="170"/>
              </w:tabs>
              <w:ind w:left="130" w:right="-40" w:hanging="170"/>
              <w:jc w:val="center"/>
              <w:rPr>
                <w:rFonts w:cs="Arial"/>
                <w:b/>
                <w:color w:val="000000" w:themeColor="text1"/>
                <w:szCs w:val="14"/>
              </w:rPr>
            </w:pPr>
            <w:r w:rsidRPr="00164E01">
              <w:rPr>
                <w:rFonts w:cs="Arial"/>
                <w:b/>
                <w:color w:val="000000" w:themeColor="text1"/>
                <w:szCs w:val="14"/>
              </w:rPr>
              <w:t>További szabály</w:t>
            </w:r>
          </w:p>
        </w:tc>
      </w:tr>
      <w:tr w:rsidR="000E5F59" w:rsidRPr="00094082" w14:paraId="6EA166DD" w14:textId="77777777" w:rsidTr="000E5F59">
        <w:trPr>
          <w:cantSplit/>
        </w:trPr>
        <w:tc>
          <w:tcPr>
            <w:tcW w:w="1700" w:type="dxa"/>
            <w:tcBorders>
              <w:top w:val="single" w:sz="18" w:space="0" w:color="auto"/>
              <w:left w:val="single" w:sz="18" w:space="0" w:color="auto"/>
              <w:bottom w:val="single" w:sz="4" w:space="0" w:color="auto"/>
              <w:right w:val="nil"/>
            </w:tcBorders>
          </w:tcPr>
          <w:p w14:paraId="632D1C9E" w14:textId="77777777" w:rsidR="000E5F59" w:rsidRPr="00094082" w:rsidRDefault="000E5F59" w:rsidP="00094082">
            <w:pPr>
              <w:keepNext/>
              <w:keepLines/>
              <w:spacing w:after="0" w:line="240" w:lineRule="auto"/>
              <w:ind w:left="130" w:right="-57" w:hanging="170"/>
              <w:jc w:val="left"/>
              <w:rPr>
                <w:rFonts w:ascii="Arial" w:eastAsia="Times New Roman" w:hAnsi="Arial" w:cs="Arial"/>
                <w:b/>
                <w:color w:val="000000"/>
                <w:sz w:val="14"/>
                <w:szCs w:val="14"/>
                <w:lang w:eastAsia="hu-HU"/>
              </w:rPr>
            </w:pPr>
            <w:r w:rsidRPr="00094082">
              <w:rPr>
                <w:rFonts w:ascii="Arial" w:eastAsia="Times New Roman" w:hAnsi="Arial" w:cs="Arial"/>
                <w:b/>
                <w:color w:val="000000"/>
                <w:sz w:val="14"/>
                <w:szCs w:val="14"/>
                <w:lang w:eastAsia="hu-HU"/>
              </w:rPr>
              <w:t>31,8</w:t>
            </w:r>
            <w:r w:rsidRPr="00094082">
              <w:rPr>
                <w:rFonts w:ascii="Arial" w:eastAsia="Times New Roman" w:hAnsi="Arial" w:cs="Arial"/>
                <w:b/>
                <w:color w:val="000000"/>
                <w:sz w:val="14"/>
                <w:szCs w:val="14"/>
                <w:lang w:eastAsia="hu-HU"/>
              </w:rPr>
              <w:sym w:font="Symbol" w:char="F02D"/>
            </w:r>
            <w:r w:rsidRPr="00094082">
              <w:rPr>
                <w:rFonts w:ascii="Arial" w:eastAsia="Times New Roman" w:hAnsi="Arial" w:cs="Arial"/>
                <w:b/>
                <w:color w:val="000000"/>
                <w:sz w:val="14"/>
                <w:szCs w:val="14"/>
                <w:lang w:eastAsia="hu-HU"/>
              </w:rPr>
              <w:t>33 GHz</w:t>
            </w:r>
          </w:p>
        </w:tc>
        <w:tc>
          <w:tcPr>
            <w:tcW w:w="708" w:type="dxa"/>
            <w:tcBorders>
              <w:top w:val="single" w:sz="18" w:space="0" w:color="auto"/>
              <w:left w:val="nil"/>
              <w:bottom w:val="single" w:sz="4" w:space="0" w:color="auto"/>
              <w:right w:val="nil"/>
            </w:tcBorders>
          </w:tcPr>
          <w:p w14:paraId="54AFCB83" w14:textId="77777777" w:rsidR="000E5F59" w:rsidRPr="00094082" w:rsidRDefault="000E5F59" w:rsidP="00094082">
            <w:pPr>
              <w:keepNext/>
              <w:keepLines/>
              <w:spacing w:after="0" w:line="240" w:lineRule="auto"/>
              <w:ind w:left="-57" w:right="-57"/>
              <w:jc w:val="center"/>
              <w:rPr>
                <w:rFonts w:ascii="Arial" w:eastAsia="Times New Roman" w:hAnsi="Arial" w:cs="Arial"/>
                <w:color w:val="000000"/>
                <w:sz w:val="14"/>
                <w:szCs w:val="14"/>
                <w:lang w:eastAsia="hu-HU"/>
              </w:rPr>
            </w:pPr>
          </w:p>
        </w:tc>
        <w:tc>
          <w:tcPr>
            <w:tcW w:w="425" w:type="dxa"/>
            <w:tcBorders>
              <w:top w:val="single" w:sz="18" w:space="0" w:color="auto"/>
              <w:left w:val="nil"/>
              <w:bottom w:val="single" w:sz="4" w:space="0" w:color="auto"/>
              <w:right w:val="nil"/>
            </w:tcBorders>
          </w:tcPr>
          <w:p w14:paraId="771F52ED" w14:textId="77777777" w:rsidR="000E5F59" w:rsidRPr="00094082" w:rsidRDefault="000E5F59" w:rsidP="00094082">
            <w:pPr>
              <w:keepNext/>
              <w:keepLines/>
              <w:spacing w:after="0" w:line="240" w:lineRule="auto"/>
              <w:ind w:left="-57" w:right="-57"/>
              <w:jc w:val="center"/>
              <w:rPr>
                <w:rFonts w:ascii="Arial" w:eastAsia="Times New Roman" w:hAnsi="Arial" w:cs="Arial"/>
                <w:color w:val="000000"/>
                <w:sz w:val="14"/>
                <w:szCs w:val="14"/>
                <w:lang w:eastAsia="hu-HU"/>
              </w:rPr>
            </w:pPr>
          </w:p>
        </w:tc>
        <w:tc>
          <w:tcPr>
            <w:tcW w:w="426" w:type="dxa"/>
            <w:tcBorders>
              <w:top w:val="single" w:sz="18" w:space="0" w:color="auto"/>
              <w:left w:val="nil"/>
              <w:bottom w:val="single" w:sz="4" w:space="0" w:color="auto"/>
              <w:right w:val="nil"/>
            </w:tcBorders>
          </w:tcPr>
          <w:p w14:paraId="07BD5559" w14:textId="77777777" w:rsidR="000E5F59" w:rsidRPr="00094082" w:rsidRDefault="000E5F59" w:rsidP="00094082">
            <w:pPr>
              <w:keepNext/>
              <w:keepLines/>
              <w:spacing w:after="0" w:line="240" w:lineRule="auto"/>
              <w:ind w:left="-57" w:right="-57"/>
              <w:jc w:val="center"/>
              <w:rPr>
                <w:rFonts w:ascii="Arial" w:eastAsia="Times New Roman" w:hAnsi="Arial" w:cs="Arial"/>
                <w:color w:val="000000"/>
                <w:sz w:val="14"/>
                <w:szCs w:val="14"/>
                <w:lang w:eastAsia="hu-HU"/>
              </w:rPr>
            </w:pPr>
          </w:p>
        </w:tc>
        <w:tc>
          <w:tcPr>
            <w:tcW w:w="425" w:type="dxa"/>
            <w:tcBorders>
              <w:top w:val="single" w:sz="18" w:space="0" w:color="auto"/>
              <w:left w:val="nil"/>
              <w:bottom w:val="single" w:sz="4" w:space="0" w:color="auto"/>
              <w:right w:val="nil"/>
            </w:tcBorders>
          </w:tcPr>
          <w:p w14:paraId="057FE591" w14:textId="77777777" w:rsidR="000E5F59" w:rsidRPr="00094082" w:rsidRDefault="000E5F59" w:rsidP="00094082">
            <w:pPr>
              <w:keepNext/>
              <w:keepLines/>
              <w:spacing w:after="0" w:line="240" w:lineRule="auto"/>
              <w:ind w:left="-57" w:right="-57"/>
              <w:jc w:val="center"/>
              <w:rPr>
                <w:rFonts w:ascii="Arial" w:eastAsia="Times New Roman" w:hAnsi="Arial" w:cs="Arial"/>
                <w:color w:val="000000"/>
                <w:sz w:val="14"/>
                <w:szCs w:val="14"/>
                <w:lang w:eastAsia="hu-HU"/>
              </w:rPr>
            </w:pPr>
          </w:p>
        </w:tc>
        <w:tc>
          <w:tcPr>
            <w:tcW w:w="2127" w:type="dxa"/>
            <w:tcBorders>
              <w:top w:val="single" w:sz="18" w:space="0" w:color="auto"/>
              <w:left w:val="nil"/>
              <w:bottom w:val="single" w:sz="4" w:space="0" w:color="auto"/>
              <w:right w:val="nil"/>
            </w:tcBorders>
          </w:tcPr>
          <w:p w14:paraId="1696A1ED" w14:textId="77777777" w:rsidR="000E5F59" w:rsidRPr="00094082" w:rsidRDefault="000E5F59" w:rsidP="00094082">
            <w:pPr>
              <w:spacing w:after="0" w:line="240" w:lineRule="auto"/>
              <w:ind w:left="130" w:right="-40" w:hanging="170"/>
              <w:jc w:val="left"/>
              <w:rPr>
                <w:rFonts w:ascii="Arial" w:eastAsia="Times New Roman" w:hAnsi="Arial" w:cs="Arial"/>
                <w:color w:val="000000"/>
                <w:sz w:val="14"/>
                <w:szCs w:val="14"/>
                <w:lang w:eastAsia="hu-HU"/>
              </w:rPr>
            </w:pPr>
          </w:p>
        </w:tc>
        <w:tc>
          <w:tcPr>
            <w:tcW w:w="1560" w:type="dxa"/>
            <w:tcBorders>
              <w:top w:val="single" w:sz="18" w:space="0" w:color="auto"/>
              <w:left w:val="nil"/>
              <w:bottom w:val="single" w:sz="4" w:space="0" w:color="auto"/>
              <w:right w:val="nil"/>
            </w:tcBorders>
          </w:tcPr>
          <w:p w14:paraId="2BCEC80E" w14:textId="77777777" w:rsidR="000E5F59" w:rsidRPr="00094082" w:rsidRDefault="000E5F59" w:rsidP="00094082">
            <w:pPr>
              <w:spacing w:after="0" w:line="240" w:lineRule="auto"/>
              <w:ind w:left="130" w:right="-40" w:hanging="170"/>
              <w:jc w:val="left"/>
              <w:rPr>
                <w:rFonts w:ascii="Arial" w:eastAsia="Times New Roman" w:hAnsi="Arial" w:cs="Arial"/>
                <w:color w:val="000000"/>
                <w:sz w:val="14"/>
                <w:szCs w:val="14"/>
                <w:lang w:eastAsia="hu-HU"/>
              </w:rPr>
            </w:pPr>
          </w:p>
        </w:tc>
        <w:tc>
          <w:tcPr>
            <w:tcW w:w="2410" w:type="dxa"/>
            <w:tcBorders>
              <w:top w:val="single" w:sz="18" w:space="0" w:color="auto"/>
              <w:left w:val="nil"/>
              <w:bottom w:val="single" w:sz="4" w:space="0" w:color="auto"/>
              <w:right w:val="single" w:sz="18" w:space="0" w:color="auto"/>
            </w:tcBorders>
          </w:tcPr>
          <w:p w14:paraId="36DD9B73" w14:textId="77777777" w:rsidR="000E5F59" w:rsidRPr="00094082" w:rsidRDefault="000E5F59" w:rsidP="00094082">
            <w:pPr>
              <w:tabs>
                <w:tab w:val="left" w:pos="170"/>
              </w:tabs>
              <w:spacing w:after="0" w:line="240" w:lineRule="auto"/>
              <w:ind w:left="130" w:right="-40" w:hanging="170"/>
              <w:jc w:val="left"/>
              <w:rPr>
                <w:rFonts w:ascii="Arial" w:eastAsia="Times New Roman" w:hAnsi="Arial" w:cs="Arial"/>
                <w:color w:val="000000"/>
                <w:sz w:val="14"/>
                <w:szCs w:val="14"/>
                <w:lang w:eastAsia="hu-HU"/>
              </w:rPr>
            </w:pPr>
          </w:p>
        </w:tc>
      </w:tr>
      <w:tr w:rsidR="000E5F59" w:rsidRPr="00094082" w14:paraId="59DF7430" w14:textId="77777777" w:rsidTr="000E5F59">
        <w:trPr>
          <w:cantSplit/>
        </w:trPr>
        <w:tc>
          <w:tcPr>
            <w:tcW w:w="1700" w:type="dxa"/>
            <w:tcBorders>
              <w:top w:val="single" w:sz="4" w:space="0" w:color="auto"/>
              <w:left w:val="single" w:sz="18" w:space="0" w:color="auto"/>
              <w:bottom w:val="nil"/>
              <w:right w:val="single" w:sz="4" w:space="0" w:color="auto"/>
            </w:tcBorders>
          </w:tcPr>
          <w:p w14:paraId="6DF79BA5" w14:textId="77777777" w:rsidR="000E5F59" w:rsidRPr="00094082" w:rsidRDefault="000E5F59" w:rsidP="00094082">
            <w:pPr>
              <w:spacing w:after="0" w:line="240" w:lineRule="auto"/>
              <w:ind w:left="130" w:right="-57" w:hanging="170"/>
              <w:jc w:val="left"/>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ÁLLANDÓHELYŰ</w:t>
            </w:r>
          </w:p>
        </w:tc>
        <w:tc>
          <w:tcPr>
            <w:tcW w:w="708" w:type="dxa"/>
            <w:tcBorders>
              <w:top w:val="single" w:sz="4" w:space="0" w:color="auto"/>
              <w:left w:val="single" w:sz="4" w:space="0" w:color="auto"/>
              <w:bottom w:val="nil"/>
              <w:right w:val="single" w:sz="4" w:space="0" w:color="auto"/>
            </w:tcBorders>
          </w:tcPr>
          <w:p w14:paraId="4F1B08C5" w14:textId="77777777" w:rsidR="000E5F59" w:rsidRPr="00094082" w:rsidRDefault="000E5F59" w:rsidP="00094082">
            <w:pPr>
              <w:keepNext/>
              <w:keepLines/>
              <w:spacing w:after="0" w:line="240" w:lineRule="auto"/>
              <w:ind w:left="-57" w:right="-57"/>
              <w:jc w:val="center"/>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5.547</w:t>
            </w:r>
          </w:p>
          <w:p w14:paraId="5B2C42E9" w14:textId="77777777" w:rsidR="000E5F59" w:rsidRPr="00094082" w:rsidRDefault="000E5F59" w:rsidP="00094082">
            <w:pPr>
              <w:keepNext/>
              <w:keepLines/>
              <w:spacing w:after="0" w:line="240" w:lineRule="auto"/>
              <w:ind w:left="-57" w:right="-57"/>
              <w:jc w:val="center"/>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5.547A</w:t>
            </w:r>
          </w:p>
        </w:tc>
        <w:tc>
          <w:tcPr>
            <w:tcW w:w="425" w:type="dxa"/>
            <w:tcBorders>
              <w:top w:val="single" w:sz="4" w:space="0" w:color="auto"/>
              <w:left w:val="single" w:sz="4" w:space="0" w:color="auto"/>
              <w:bottom w:val="nil"/>
              <w:right w:val="single" w:sz="18" w:space="0" w:color="auto"/>
            </w:tcBorders>
          </w:tcPr>
          <w:p w14:paraId="4C0FBA36" w14:textId="77777777" w:rsidR="000E5F59" w:rsidRPr="00094082" w:rsidRDefault="000E5F59" w:rsidP="00094082">
            <w:pPr>
              <w:keepNext/>
              <w:keepLines/>
              <w:spacing w:after="0" w:line="240" w:lineRule="auto"/>
              <w:ind w:left="-57" w:right="-57"/>
              <w:jc w:val="center"/>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P</w:t>
            </w:r>
          </w:p>
        </w:tc>
        <w:tc>
          <w:tcPr>
            <w:tcW w:w="426" w:type="dxa"/>
            <w:tcBorders>
              <w:top w:val="single" w:sz="4" w:space="0" w:color="auto"/>
              <w:left w:val="single" w:sz="18" w:space="0" w:color="auto"/>
              <w:bottom w:val="single" w:sz="4" w:space="0" w:color="auto"/>
              <w:right w:val="single" w:sz="4" w:space="0" w:color="auto"/>
            </w:tcBorders>
          </w:tcPr>
          <w:p w14:paraId="12679418" w14:textId="77777777" w:rsidR="000E5F59" w:rsidRPr="00094082" w:rsidRDefault="000E5F59" w:rsidP="00094082">
            <w:pPr>
              <w:keepNext/>
              <w:keepLines/>
              <w:spacing w:after="0" w:line="240" w:lineRule="auto"/>
              <w:ind w:left="-57" w:right="-57"/>
              <w:jc w:val="center"/>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1</w:t>
            </w:r>
          </w:p>
        </w:tc>
        <w:tc>
          <w:tcPr>
            <w:tcW w:w="425" w:type="dxa"/>
            <w:tcBorders>
              <w:top w:val="single" w:sz="4" w:space="0" w:color="auto"/>
              <w:left w:val="single" w:sz="4" w:space="0" w:color="auto"/>
              <w:bottom w:val="single" w:sz="4" w:space="0" w:color="auto"/>
              <w:right w:val="single" w:sz="4" w:space="0" w:color="auto"/>
            </w:tcBorders>
          </w:tcPr>
          <w:p w14:paraId="2AA91478" w14:textId="77777777" w:rsidR="000E5F59" w:rsidRPr="00094082" w:rsidRDefault="000E5F59" w:rsidP="00094082">
            <w:pPr>
              <w:keepNext/>
              <w:keepLines/>
              <w:spacing w:after="0" w:line="240" w:lineRule="auto"/>
              <w:ind w:left="-57" w:right="-57"/>
              <w:jc w:val="center"/>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K</w:t>
            </w:r>
          </w:p>
        </w:tc>
        <w:tc>
          <w:tcPr>
            <w:tcW w:w="2127" w:type="dxa"/>
            <w:tcBorders>
              <w:top w:val="single" w:sz="4" w:space="0" w:color="auto"/>
              <w:left w:val="single" w:sz="4" w:space="0" w:color="auto"/>
              <w:bottom w:val="single" w:sz="4" w:space="0" w:color="auto"/>
              <w:right w:val="single" w:sz="18" w:space="0" w:color="auto"/>
            </w:tcBorders>
          </w:tcPr>
          <w:p w14:paraId="3382F877" w14:textId="77777777" w:rsidR="000E5F59" w:rsidRPr="00094082" w:rsidRDefault="000E5F59" w:rsidP="00094082">
            <w:pPr>
              <w:spacing w:after="0" w:line="240" w:lineRule="auto"/>
              <w:ind w:left="130" w:right="-40" w:hanging="170"/>
              <w:jc w:val="left"/>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32 GHz-es sávú állandó telephelyű, digitális pont-pont rendszerek</w:t>
            </w:r>
          </w:p>
        </w:tc>
        <w:tc>
          <w:tcPr>
            <w:tcW w:w="1560" w:type="dxa"/>
            <w:tcBorders>
              <w:top w:val="single" w:sz="4" w:space="0" w:color="auto"/>
              <w:left w:val="single" w:sz="18" w:space="0" w:color="auto"/>
              <w:bottom w:val="single" w:sz="4" w:space="0" w:color="auto"/>
              <w:right w:val="single" w:sz="4" w:space="0" w:color="auto"/>
            </w:tcBorders>
          </w:tcPr>
          <w:p w14:paraId="4282C1E6" w14:textId="77777777" w:rsidR="000E5F59" w:rsidRPr="00094082" w:rsidRDefault="000E5F59" w:rsidP="00094082">
            <w:pPr>
              <w:spacing w:after="0" w:line="240" w:lineRule="auto"/>
              <w:ind w:left="130" w:right="-40" w:hanging="170"/>
              <w:jc w:val="left"/>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ITU</w:t>
            </w:r>
            <w:r w:rsidRPr="00094082">
              <w:rPr>
                <w:rFonts w:ascii="Arial" w:eastAsia="Times New Roman" w:hAnsi="Arial" w:cs="Arial"/>
                <w:color w:val="000000"/>
                <w:sz w:val="14"/>
                <w:szCs w:val="14"/>
                <w:lang w:eastAsia="hu-HU"/>
              </w:rPr>
              <w:noBreakHyphen/>
              <w:t>R F.1191</w:t>
            </w:r>
            <w:r w:rsidRPr="00094082">
              <w:rPr>
                <w:rFonts w:ascii="Arial" w:eastAsia="Times New Roman" w:hAnsi="Arial" w:cs="Arial"/>
                <w:color w:val="000000"/>
                <w:sz w:val="14"/>
                <w:szCs w:val="14"/>
                <w:lang w:eastAsia="hu-HU"/>
              </w:rPr>
              <w:noBreakHyphen/>
              <w:t>3</w:t>
            </w:r>
          </w:p>
          <w:p w14:paraId="2D557823" w14:textId="77777777" w:rsidR="000E5F59" w:rsidRPr="00094082" w:rsidRDefault="000E5F59" w:rsidP="00094082">
            <w:pPr>
              <w:spacing w:after="0" w:line="240" w:lineRule="auto"/>
              <w:ind w:left="130" w:right="-40" w:hanging="170"/>
              <w:jc w:val="left"/>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ERC/REC/(01)02</w:t>
            </w:r>
          </w:p>
          <w:p w14:paraId="42EE998D" w14:textId="77777777" w:rsidR="000E5F59" w:rsidRPr="00094082" w:rsidRDefault="000E5F59" w:rsidP="00094082">
            <w:pPr>
              <w:spacing w:after="0" w:line="240" w:lineRule="auto"/>
              <w:ind w:left="130" w:right="-40" w:hanging="170"/>
              <w:jc w:val="left"/>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MSZ EN 302 217</w:t>
            </w:r>
            <w:r w:rsidRPr="00094082">
              <w:rPr>
                <w:rFonts w:ascii="Arial" w:eastAsia="Times New Roman" w:hAnsi="Arial" w:cs="Arial"/>
                <w:color w:val="000000"/>
                <w:sz w:val="14"/>
                <w:szCs w:val="14"/>
                <w:lang w:eastAsia="hu-HU"/>
              </w:rPr>
              <w:noBreakHyphen/>
              <w:t>2</w:t>
            </w:r>
          </w:p>
        </w:tc>
        <w:tc>
          <w:tcPr>
            <w:tcW w:w="2410" w:type="dxa"/>
            <w:tcBorders>
              <w:top w:val="single" w:sz="4" w:space="0" w:color="auto"/>
              <w:left w:val="single" w:sz="4" w:space="0" w:color="auto"/>
              <w:bottom w:val="single" w:sz="4" w:space="0" w:color="auto"/>
              <w:right w:val="single" w:sz="18" w:space="0" w:color="auto"/>
            </w:tcBorders>
          </w:tcPr>
          <w:p w14:paraId="568590F6" w14:textId="77777777" w:rsidR="000E5F59" w:rsidRPr="00094082" w:rsidRDefault="000E5F59" w:rsidP="00094082">
            <w:pPr>
              <w:tabs>
                <w:tab w:val="left" w:pos="170"/>
              </w:tabs>
              <w:spacing w:after="0" w:line="240" w:lineRule="auto"/>
              <w:ind w:left="130" w:right="-40" w:hanging="170"/>
              <w:jc w:val="left"/>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3. melléklet 2.5. pont</w:t>
            </w:r>
          </w:p>
          <w:p w14:paraId="5D1705EE" w14:textId="77777777" w:rsidR="000E5F59" w:rsidRPr="00094082" w:rsidRDefault="000E5F59" w:rsidP="00094082">
            <w:pPr>
              <w:tabs>
                <w:tab w:val="left" w:pos="170"/>
              </w:tabs>
              <w:spacing w:after="0" w:line="240" w:lineRule="auto"/>
              <w:ind w:left="130" w:right="-40" w:hanging="170"/>
              <w:jc w:val="left"/>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3. melléklet 2.13. pont</w:t>
            </w:r>
          </w:p>
          <w:p w14:paraId="574B7020" w14:textId="77777777" w:rsidR="000E5F59" w:rsidRPr="00094082" w:rsidRDefault="000E5F59" w:rsidP="00094082">
            <w:pPr>
              <w:tabs>
                <w:tab w:val="left" w:pos="170"/>
              </w:tabs>
              <w:spacing w:after="0" w:line="240" w:lineRule="auto"/>
              <w:ind w:left="130" w:right="-40" w:hanging="170"/>
              <w:jc w:val="left"/>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3. melléklet 3.13. pont</w:t>
            </w:r>
          </w:p>
          <w:p w14:paraId="04194E5A" w14:textId="77777777" w:rsidR="000E5F59" w:rsidRPr="00094082" w:rsidRDefault="000E5F59" w:rsidP="00094082">
            <w:pPr>
              <w:tabs>
                <w:tab w:val="left" w:pos="170"/>
              </w:tabs>
              <w:spacing w:after="0" w:line="240" w:lineRule="auto"/>
              <w:ind w:left="130" w:right="-40" w:hanging="170"/>
              <w:jc w:val="left"/>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4. melléklet</w:t>
            </w:r>
          </w:p>
        </w:tc>
      </w:tr>
      <w:tr w:rsidR="000E5F59" w:rsidRPr="00094082" w14:paraId="48A2AF8D" w14:textId="77777777" w:rsidTr="000E5F59">
        <w:trPr>
          <w:cantSplit/>
        </w:trPr>
        <w:tc>
          <w:tcPr>
            <w:tcW w:w="1700" w:type="dxa"/>
            <w:tcBorders>
              <w:top w:val="nil"/>
              <w:left w:val="single" w:sz="18" w:space="0" w:color="auto"/>
              <w:bottom w:val="nil"/>
              <w:right w:val="single" w:sz="4" w:space="0" w:color="auto"/>
            </w:tcBorders>
          </w:tcPr>
          <w:p w14:paraId="01341BAA" w14:textId="77777777" w:rsidR="000E5F59" w:rsidRPr="00094082" w:rsidRDefault="000E5F59" w:rsidP="00094082">
            <w:pPr>
              <w:spacing w:after="0" w:line="240" w:lineRule="auto"/>
              <w:ind w:left="130" w:right="-57" w:hanging="170"/>
              <w:jc w:val="left"/>
              <w:rPr>
                <w:rFonts w:ascii="Arial" w:eastAsia="Times New Roman" w:hAnsi="Arial" w:cs="Arial"/>
                <w:color w:val="000000"/>
                <w:sz w:val="14"/>
                <w:szCs w:val="14"/>
                <w:lang w:eastAsia="hu-HU"/>
              </w:rPr>
            </w:pPr>
          </w:p>
        </w:tc>
        <w:tc>
          <w:tcPr>
            <w:tcW w:w="708" w:type="dxa"/>
            <w:tcBorders>
              <w:top w:val="nil"/>
              <w:left w:val="single" w:sz="4" w:space="0" w:color="auto"/>
              <w:bottom w:val="nil"/>
              <w:right w:val="single" w:sz="4" w:space="0" w:color="auto"/>
            </w:tcBorders>
          </w:tcPr>
          <w:p w14:paraId="471609DF" w14:textId="77777777" w:rsidR="000E5F59" w:rsidRPr="00094082" w:rsidRDefault="000E5F59" w:rsidP="00094082">
            <w:pPr>
              <w:keepNext/>
              <w:keepLines/>
              <w:spacing w:after="0" w:line="240" w:lineRule="auto"/>
              <w:ind w:left="-57" w:right="-57"/>
              <w:jc w:val="center"/>
              <w:rPr>
                <w:rFonts w:ascii="Arial" w:eastAsia="Times New Roman" w:hAnsi="Arial" w:cs="Arial"/>
                <w:color w:val="000000"/>
                <w:sz w:val="14"/>
                <w:szCs w:val="14"/>
                <w:lang w:eastAsia="hu-HU"/>
              </w:rPr>
            </w:pPr>
          </w:p>
        </w:tc>
        <w:tc>
          <w:tcPr>
            <w:tcW w:w="425" w:type="dxa"/>
            <w:tcBorders>
              <w:top w:val="nil"/>
              <w:left w:val="single" w:sz="4" w:space="0" w:color="auto"/>
              <w:bottom w:val="nil"/>
              <w:right w:val="single" w:sz="18" w:space="0" w:color="auto"/>
            </w:tcBorders>
          </w:tcPr>
          <w:p w14:paraId="338583EF" w14:textId="77777777" w:rsidR="000E5F59" w:rsidRPr="00094082" w:rsidRDefault="000E5F59" w:rsidP="00094082">
            <w:pPr>
              <w:keepNext/>
              <w:keepLines/>
              <w:spacing w:after="0" w:line="240" w:lineRule="auto"/>
              <w:ind w:left="-57" w:right="-57"/>
              <w:jc w:val="center"/>
              <w:rPr>
                <w:rFonts w:ascii="Arial" w:eastAsia="Times New Roman" w:hAnsi="Arial" w:cs="Arial"/>
                <w:color w:val="000000"/>
                <w:sz w:val="14"/>
                <w:szCs w:val="14"/>
                <w:lang w:eastAsia="hu-HU"/>
              </w:rPr>
            </w:pPr>
          </w:p>
        </w:tc>
        <w:tc>
          <w:tcPr>
            <w:tcW w:w="426" w:type="dxa"/>
            <w:tcBorders>
              <w:top w:val="single" w:sz="4" w:space="0" w:color="auto"/>
              <w:left w:val="single" w:sz="18" w:space="0" w:color="auto"/>
              <w:bottom w:val="dashed" w:sz="4" w:space="0" w:color="auto"/>
              <w:right w:val="single" w:sz="4" w:space="0" w:color="auto"/>
            </w:tcBorders>
          </w:tcPr>
          <w:p w14:paraId="2423378D" w14:textId="77777777" w:rsidR="000E5F59" w:rsidRPr="00094082" w:rsidRDefault="000E5F59" w:rsidP="00094082">
            <w:pPr>
              <w:keepNext/>
              <w:keepLines/>
              <w:spacing w:after="0" w:line="240" w:lineRule="auto"/>
              <w:ind w:left="-57" w:right="-57"/>
              <w:jc w:val="center"/>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1</w:t>
            </w:r>
          </w:p>
        </w:tc>
        <w:tc>
          <w:tcPr>
            <w:tcW w:w="425" w:type="dxa"/>
            <w:tcBorders>
              <w:top w:val="single" w:sz="4" w:space="0" w:color="auto"/>
              <w:left w:val="single" w:sz="4" w:space="0" w:color="auto"/>
              <w:bottom w:val="dashed" w:sz="4" w:space="0" w:color="auto"/>
              <w:right w:val="single" w:sz="4" w:space="0" w:color="auto"/>
            </w:tcBorders>
          </w:tcPr>
          <w:p w14:paraId="7616D9E3" w14:textId="77777777" w:rsidR="000E5F59" w:rsidRPr="00094082" w:rsidDel="008A5256" w:rsidRDefault="000E5F59" w:rsidP="00094082">
            <w:pPr>
              <w:keepNext/>
              <w:keepLines/>
              <w:spacing w:after="0" w:line="240" w:lineRule="auto"/>
              <w:ind w:left="-57" w:right="-57"/>
              <w:jc w:val="center"/>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K</w:t>
            </w:r>
          </w:p>
        </w:tc>
        <w:tc>
          <w:tcPr>
            <w:tcW w:w="2127" w:type="dxa"/>
            <w:tcBorders>
              <w:top w:val="single" w:sz="4" w:space="0" w:color="auto"/>
              <w:left w:val="single" w:sz="4" w:space="0" w:color="auto"/>
              <w:bottom w:val="dashed" w:sz="4" w:space="0" w:color="auto"/>
              <w:right w:val="single" w:sz="18" w:space="0" w:color="auto"/>
            </w:tcBorders>
          </w:tcPr>
          <w:p w14:paraId="65B1C61C" w14:textId="77777777" w:rsidR="000E5F59" w:rsidRPr="00094082" w:rsidRDefault="000E5F59" w:rsidP="00094082">
            <w:pPr>
              <w:spacing w:after="0" w:line="240" w:lineRule="auto"/>
              <w:ind w:left="130" w:right="-40" w:hanging="170"/>
              <w:jc w:val="left"/>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32 GHz-es sávú digitális pont-többpont rendszerek</w:t>
            </w:r>
          </w:p>
        </w:tc>
        <w:tc>
          <w:tcPr>
            <w:tcW w:w="1560" w:type="dxa"/>
            <w:tcBorders>
              <w:top w:val="single" w:sz="4" w:space="0" w:color="auto"/>
              <w:left w:val="single" w:sz="18" w:space="0" w:color="auto"/>
              <w:bottom w:val="dashed" w:sz="4" w:space="0" w:color="auto"/>
              <w:right w:val="single" w:sz="4" w:space="0" w:color="auto"/>
            </w:tcBorders>
          </w:tcPr>
          <w:p w14:paraId="700A08B2" w14:textId="77777777" w:rsidR="000E5F59" w:rsidRPr="00094082" w:rsidRDefault="000E5F59" w:rsidP="00094082">
            <w:pPr>
              <w:spacing w:after="0" w:line="240" w:lineRule="auto"/>
              <w:ind w:left="130" w:right="-40" w:hanging="170"/>
              <w:jc w:val="left"/>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ERC/REC/(01)02, ECC/REC/(11)01</w:t>
            </w:r>
          </w:p>
          <w:p w14:paraId="4BFC7D6A" w14:textId="77777777" w:rsidR="000E5F59" w:rsidRPr="00094082" w:rsidRDefault="000E5F59" w:rsidP="00094082">
            <w:pPr>
              <w:spacing w:after="0" w:line="240" w:lineRule="auto"/>
              <w:ind w:left="130" w:right="-40" w:hanging="170"/>
              <w:jc w:val="left"/>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MSZ EN 302 326</w:t>
            </w:r>
            <w:r w:rsidRPr="00094082">
              <w:rPr>
                <w:rFonts w:ascii="Arial" w:eastAsia="Times New Roman" w:hAnsi="Arial" w:cs="Arial"/>
                <w:color w:val="000000"/>
                <w:sz w:val="14"/>
                <w:szCs w:val="14"/>
                <w:lang w:eastAsia="hu-HU"/>
              </w:rPr>
              <w:noBreakHyphen/>
              <w:t>2, MSZ EN 302 326</w:t>
            </w:r>
            <w:r w:rsidRPr="00094082">
              <w:rPr>
                <w:rFonts w:ascii="Arial" w:eastAsia="Times New Roman" w:hAnsi="Arial" w:cs="Arial"/>
                <w:color w:val="000000"/>
                <w:sz w:val="14"/>
                <w:szCs w:val="14"/>
                <w:lang w:eastAsia="hu-HU"/>
              </w:rPr>
              <w:noBreakHyphen/>
              <w:t>3</w:t>
            </w:r>
          </w:p>
        </w:tc>
        <w:tc>
          <w:tcPr>
            <w:tcW w:w="2410" w:type="dxa"/>
            <w:tcBorders>
              <w:top w:val="single" w:sz="4" w:space="0" w:color="auto"/>
              <w:left w:val="single" w:sz="4" w:space="0" w:color="auto"/>
              <w:bottom w:val="dashed" w:sz="4" w:space="0" w:color="auto"/>
              <w:right w:val="single" w:sz="18" w:space="0" w:color="auto"/>
            </w:tcBorders>
          </w:tcPr>
          <w:p w14:paraId="306422F3" w14:textId="77777777" w:rsidR="000E5F59" w:rsidRPr="00094082" w:rsidRDefault="000E5F59" w:rsidP="00094082">
            <w:pPr>
              <w:tabs>
                <w:tab w:val="left" w:pos="170"/>
              </w:tabs>
              <w:spacing w:after="0" w:line="240" w:lineRule="auto"/>
              <w:ind w:left="130" w:right="-40" w:hanging="170"/>
              <w:jc w:val="left"/>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3. melléklet 2.13. pont</w:t>
            </w:r>
          </w:p>
          <w:p w14:paraId="0C9D9D25" w14:textId="77777777" w:rsidR="000E5F59" w:rsidRPr="00094082" w:rsidRDefault="000E5F59" w:rsidP="00094082">
            <w:pPr>
              <w:tabs>
                <w:tab w:val="left" w:pos="170"/>
              </w:tabs>
              <w:spacing w:after="0" w:line="240" w:lineRule="auto"/>
              <w:ind w:left="130" w:right="-40" w:hanging="170"/>
              <w:jc w:val="left"/>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3. melléklet 3.13. pont</w:t>
            </w:r>
          </w:p>
          <w:p w14:paraId="15A25841" w14:textId="77777777" w:rsidR="000E5F59" w:rsidRPr="00094082" w:rsidRDefault="000E5F59" w:rsidP="00094082">
            <w:pPr>
              <w:tabs>
                <w:tab w:val="left" w:pos="170"/>
              </w:tabs>
              <w:spacing w:after="0" w:line="240" w:lineRule="auto"/>
              <w:ind w:left="130" w:right="-40" w:hanging="170"/>
              <w:jc w:val="left"/>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4. melléklet</w:t>
            </w:r>
          </w:p>
          <w:p w14:paraId="102077DA" w14:textId="77777777" w:rsidR="000E5F59" w:rsidRPr="00094082" w:rsidRDefault="000E5F59" w:rsidP="00094082">
            <w:pPr>
              <w:tabs>
                <w:tab w:val="left" w:pos="170"/>
              </w:tabs>
              <w:spacing w:after="0" w:line="240" w:lineRule="auto"/>
              <w:ind w:left="130" w:right="-40" w:hanging="170"/>
              <w:jc w:val="left"/>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A felhasználói állomás egyedi engedélyezési kötelezettség alól mentesítve.</w:t>
            </w:r>
          </w:p>
        </w:tc>
      </w:tr>
      <w:tr w:rsidR="000E5F59" w:rsidRPr="00094082" w14:paraId="67E6FC0C" w14:textId="77777777" w:rsidTr="000E5F59">
        <w:trPr>
          <w:cantSplit/>
        </w:trPr>
        <w:tc>
          <w:tcPr>
            <w:tcW w:w="1700" w:type="dxa"/>
            <w:tcBorders>
              <w:top w:val="nil"/>
              <w:left w:val="single" w:sz="18" w:space="0" w:color="auto"/>
              <w:bottom w:val="single" w:sz="4" w:space="0" w:color="auto"/>
              <w:right w:val="single" w:sz="4" w:space="0" w:color="auto"/>
            </w:tcBorders>
          </w:tcPr>
          <w:p w14:paraId="3497F8FF" w14:textId="77777777" w:rsidR="000E5F59" w:rsidRPr="00094082" w:rsidRDefault="000E5F59" w:rsidP="00094082">
            <w:pPr>
              <w:spacing w:after="0" w:line="240" w:lineRule="auto"/>
              <w:ind w:left="130" w:right="-57" w:hanging="170"/>
              <w:jc w:val="left"/>
              <w:rPr>
                <w:rFonts w:ascii="Arial" w:eastAsia="Times New Roman" w:hAnsi="Arial" w:cs="Arial"/>
                <w:color w:val="000000"/>
                <w:sz w:val="14"/>
                <w:szCs w:val="14"/>
                <w:lang w:eastAsia="hu-HU"/>
              </w:rPr>
            </w:pPr>
          </w:p>
        </w:tc>
        <w:tc>
          <w:tcPr>
            <w:tcW w:w="708" w:type="dxa"/>
            <w:tcBorders>
              <w:top w:val="nil"/>
              <w:left w:val="single" w:sz="4" w:space="0" w:color="auto"/>
              <w:bottom w:val="single" w:sz="4" w:space="0" w:color="auto"/>
              <w:right w:val="single" w:sz="4" w:space="0" w:color="auto"/>
            </w:tcBorders>
          </w:tcPr>
          <w:p w14:paraId="4538172B" w14:textId="77777777" w:rsidR="000E5F59" w:rsidRPr="00094082" w:rsidRDefault="000E5F59" w:rsidP="00094082">
            <w:pPr>
              <w:keepNext/>
              <w:keepLines/>
              <w:spacing w:after="0" w:line="240" w:lineRule="auto"/>
              <w:ind w:left="-57" w:right="-57"/>
              <w:jc w:val="center"/>
              <w:rPr>
                <w:rFonts w:ascii="Arial" w:eastAsia="Times New Roman" w:hAnsi="Arial" w:cs="Arial"/>
                <w:color w:val="000000"/>
                <w:sz w:val="14"/>
                <w:szCs w:val="14"/>
                <w:lang w:eastAsia="hu-HU"/>
              </w:rPr>
            </w:pPr>
          </w:p>
        </w:tc>
        <w:tc>
          <w:tcPr>
            <w:tcW w:w="425" w:type="dxa"/>
            <w:tcBorders>
              <w:top w:val="nil"/>
              <w:left w:val="single" w:sz="4" w:space="0" w:color="auto"/>
              <w:bottom w:val="single" w:sz="4" w:space="0" w:color="auto"/>
              <w:right w:val="single" w:sz="18" w:space="0" w:color="auto"/>
            </w:tcBorders>
          </w:tcPr>
          <w:p w14:paraId="13DD9FDF" w14:textId="77777777" w:rsidR="000E5F59" w:rsidRPr="00094082" w:rsidRDefault="000E5F59" w:rsidP="00094082">
            <w:pPr>
              <w:keepNext/>
              <w:keepLines/>
              <w:spacing w:after="0" w:line="240" w:lineRule="auto"/>
              <w:ind w:left="-57" w:right="-57"/>
              <w:jc w:val="center"/>
              <w:rPr>
                <w:rFonts w:ascii="Arial" w:eastAsia="Times New Roman" w:hAnsi="Arial" w:cs="Arial"/>
                <w:color w:val="000000"/>
                <w:sz w:val="14"/>
                <w:szCs w:val="14"/>
                <w:lang w:eastAsia="hu-HU"/>
              </w:rPr>
            </w:pPr>
          </w:p>
        </w:tc>
        <w:tc>
          <w:tcPr>
            <w:tcW w:w="426" w:type="dxa"/>
            <w:tcBorders>
              <w:top w:val="dashed" w:sz="4" w:space="0" w:color="auto"/>
              <w:left w:val="single" w:sz="18" w:space="0" w:color="auto"/>
              <w:bottom w:val="single" w:sz="4" w:space="0" w:color="auto"/>
              <w:right w:val="single" w:sz="4" w:space="0" w:color="auto"/>
            </w:tcBorders>
          </w:tcPr>
          <w:p w14:paraId="384AD9EC" w14:textId="77777777" w:rsidR="000E5F59" w:rsidRPr="00094082" w:rsidRDefault="000E5F59" w:rsidP="00094082">
            <w:pPr>
              <w:keepNext/>
              <w:keepLines/>
              <w:spacing w:after="0" w:line="240" w:lineRule="auto"/>
              <w:ind w:left="-57" w:right="-57"/>
              <w:jc w:val="center"/>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1</w:t>
            </w:r>
          </w:p>
        </w:tc>
        <w:tc>
          <w:tcPr>
            <w:tcW w:w="425" w:type="dxa"/>
            <w:tcBorders>
              <w:top w:val="dashed" w:sz="4" w:space="0" w:color="auto"/>
              <w:left w:val="single" w:sz="4" w:space="0" w:color="auto"/>
              <w:bottom w:val="single" w:sz="4" w:space="0" w:color="auto"/>
              <w:right w:val="single" w:sz="4" w:space="0" w:color="auto"/>
            </w:tcBorders>
          </w:tcPr>
          <w:p w14:paraId="2A96F725" w14:textId="77777777" w:rsidR="000E5F59" w:rsidRPr="00094082" w:rsidDel="008A5256" w:rsidRDefault="000E5F59" w:rsidP="00094082">
            <w:pPr>
              <w:keepNext/>
              <w:keepLines/>
              <w:spacing w:after="0" w:line="240" w:lineRule="auto"/>
              <w:ind w:left="-57" w:right="-57"/>
              <w:jc w:val="center"/>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K</w:t>
            </w:r>
          </w:p>
        </w:tc>
        <w:tc>
          <w:tcPr>
            <w:tcW w:w="2127" w:type="dxa"/>
            <w:tcBorders>
              <w:top w:val="dashed" w:sz="4" w:space="0" w:color="auto"/>
              <w:left w:val="single" w:sz="4" w:space="0" w:color="auto"/>
              <w:bottom w:val="single" w:sz="4" w:space="0" w:color="auto"/>
              <w:right w:val="single" w:sz="18" w:space="0" w:color="auto"/>
            </w:tcBorders>
          </w:tcPr>
          <w:p w14:paraId="7C941A0F" w14:textId="77777777" w:rsidR="000E5F59" w:rsidRPr="00094082" w:rsidRDefault="000E5F59" w:rsidP="00094082">
            <w:pPr>
              <w:spacing w:after="0" w:line="240" w:lineRule="auto"/>
              <w:ind w:left="130" w:right="-40" w:hanging="170"/>
              <w:jc w:val="left"/>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FWA</w:t>
            </w:r>
          </w:p>
        </w:tc>
        <w:tc>
          <w:tcPr>
            <w:tcW w:w="1560" w:type="dxa"/>
            <w:tcBorders>
              <w:top w:val="dashed" w:sz="4" w:space="0" w:color="auto"/>
              <w:left w:val="single" w:sz="18" w:space="0" w:color="auto"/>
              <w:bottom w:val="single" w:sz="4" w:space="0" w:color="auto"/>
              <w:right w:val="single" w:sz="4" w:space="0" w:color="auto"/>
            </w:tcBorders>
          </w:tcPr>
          <w:p w14:paraId="58B8A690" w14:textId="77777777" w:rsidR="000E5F59" w:rsidRPr="00094082" w:rsidRDefault="000E5F59" w:rsidP="00094082">
            <w:pPr>
              <w:spacing w:after="0" w:line="240" w:lineRule="auto"/>
              <w:ind w:left="130" w:right="-40" w:hanging="170"/>
              <w:jc w:val="left"/>
              <w:rPr>
                <w:rFonts w:ascii="Arial" w:eastAsia="Times New Roman" w:hAnsi="Arial" w:cs="Arial"/>
                <w:color w:val="000000"/>
                <w:sz w:val="14"/>
                <w:szCs w:val="14"/>
                <w:lang w:eastAsia="hu-HU"/>
              </w:rPr>
            </w:pPr>
          </w:p>
        </w:tc>
        <w:tc>
          <w:tcPr>
            <w:tcW w:w="2410" w:type="dxa"/>
            <w:tcBorders>
              <w:top w:val="dashed" w:sz="4" w:space="0" w:color="auto"/>
              <w:left w:val="single" w:sz="4" w:space="0" w:color="auto"/>
              <w:bottom w:val="single" w:sz="4" w:space="0" w:color="auto"/>
              <w:right w:val="single" w:sz="18" w:space="0" w:color="auto"/>
            </w:tcBorders>
          </w:tcPr>
          <w:p w14:paraId="3EDAB88E" w14:textId="77777777" w:rsidR="000E5F59" w:rsidRPr="00094082" w:rsidRDefault="000E5F59" w:rsidP="00094082">
            <w:pPr>
              <w:tabs>
                <w:tab w:val="left" w:pos="170"/>
              </w:tabs>
              <w:spacing w:after="0" w:line="240" w:lineRule="auto"/>
              <w:ind w:left="130" w:right="-40" w:hanging="170"/>
              <w:jc w:val="left"/>
              <w:rPr>
                <w:rFonts w:ascii="Arial" w:eastAsia="Times New Roman" w:hAnsi="Arial" w:cs="Arial"/>
                <w:color w:val="000000"/>
                <w:sz w:val="14"/>
                <w:szCs w:val="14"/>
                <w:lang w:eastAsia="hu-HU"/>
              </w:rPr>
            </w:pPr>
          </w:p>
        </w:tc>
      </w:tr>
      <w:tr w:rsidR="000E5F59" w:rsidRPr="00094082" w14:paraId="29ABC0A6" w14:textId="77777777" w:rsidTr="000E5F59">
        <w:trPr>
          <w:cantSplit/>
        </w:trPr>
        <w:tc>
          <w:tcPr>
            <w:tcW w:w="1700" w:type="dxa"/>
            <w:tcBorders>
              <w:top w:val="single" w:sz="4" w:space="0" w:color="auto"/>
              <w:left w:val="single" w:sz="18" w:space="0" w:color="auto"/>
              <w:bottom w:val="nil"/>
              <w:right w:val="single" w:sz="4" w:space="0" w:color="auto"/>
            </w:tcBorders>
          </w:tcPr>
          <w:p w14:paraId="3D4756A1" w14:textId="77777777" w:rsidR="000E5F59" w:rsidRPr="00094082" w:rsidRDefault="000E5F59" w:rsidP="00094082">
            <w:pPr>
              <w:spacing w:after="0" w:line="240" w:lineRule="auto"/>
              <w:ind w:left="130" w:right="-57" w:hanging="170"/>
              <w:jc w:val="left"/>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RÁDIÓNAVIGÁCIÓ</w:t>
            </w:r>
          </w:p>
        </w:tc>
        <w:tc>
          <w:tcPr>
            <w:tcW w:w="708" w:type="dxa"/>
            <w:tcBorders>
              <w:top w:val="single" w:sz="4" w:space="0" w:color="auto"/>
              <w:left w:val="single" w:sz="4" w:space="0" w:color="auto"/>
              <w:bottom w:val="nil"/>
              <w:right w:val="single" w:sz="4" w:space="0" w:color="auto"/>
            </w:tcBorders>
          </w:tcPr>
          <w:p w14:paraId="74D339D3" w14:textId="77777777" w:rsidR="000E5F59" w:rsidRPr="00094082" w:rsidRDefault="000E5F59" w:rsidP="00094082">
            <w:pPr>
              <w:keepNext/>
              <w:keepLines/>
              <w:spacing w:after="0" w:line="240" w:lineRule="auto"/>
              <w:ind w:left="-57" w:right="-57"/>
              <w:jc w:val="center"/>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5.548</w:t>
            </w:r>
          </w:p>
        </w:tc>
        <w:tc>
          <w:tcPr>
            <w:tcW w:w="425" w:type="dxa"/>
            <w:tcBorders>
              <w:top w:val="single" w:sz="4" w:space="0" w:color="auto"/>
              <w:left w:val="single" w:sz="4" w:space="0" w:color="auto"/>
              <w:bottom w:val="nil"/>
              <w:right w:val="single" w:sz="18" w:space="0" w:color="auto"/>
            </w:tcBorders>
          </w:tcPr>
          <w:p w14:paraId="665E3D99" w14:textId="77777777" w:rsidR="000E5F59" w:rsidRPr="00094082" w:rsidRDefault="000E5F59" w:rsidP="00094082">
            <w:pPr>
              <w:keepNext/>
              <w:keepLines/>
              <w:spacing w:after="0" w:line="240" w:lineRule="auto"/>
              <w:ind w:left="-57" w:right="-57"/>
              <w:jc w:val="center"/>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E</w:t>
            </w:r>
          </w:p>
        </w:tc>
        <w:tc>
          <w:tcPr>
            <w:tcW w:w="426" w:type="dxa"/>
            <w:tcBorders>
              <w:top w:val="single" w:sz="4" w:space="0" w:color="auto"/>
              <w:left w:val="single" w:sz="18" w:space="0" w:color="auto"/>
              <w:bottom w:val="dashed" w:sz="4" w:space="0" w:color="auto"/>
              <w:right w:val="single" w:sz="4" w:space="0" w:color="auto"/>
            </w:tcBorders>
          </w:tcPr>
          <w:p w14:paraId="486E10CA" w14:textId="77777777" w:rsidR="000E5F59" w:rsidRPr="00094082" w:rsidRDefault="000E5F59" w:rsidP="00094082">
            <w:pPr>
              <w:keepNext/>
              <w:keepLines/>
              <w:spacing w:after="0" w:line="240" w:lineRule="auto"/>
              <w:ind w:left="-57" w:right="-57"/>
              <w:jc w:val="center"/>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1</w:t>
            </w:r>
          </w:p>
        </w:tc>
        <w:tc>
          <w:tcPr>
            <w:tcW w:w="425" w:type="dxa"/>
            <w:tcBorders>
              <w:top w:val="single" w:sz="4" w:space="0" w:color="auto"/>
              <w:left w:val="single" w:sz="4" w:space="0" w:color="auto"/>
              <w:bottom w:val="dashed" w:sz="4" w:space="0" w:color="auto"/>
              <w:right w:val="single" w:sz="4" w:space="0" w:color="auto"/>
            </w:tcBorders>
          </w:tcPr>
          <w:p w14:paraId="4186F90A" w14:textId="77777777" w:rsidR="000E5F59" w:rsidRPr="00094082" w:rsidRDefault="000E5F59" w:rsidP="00094082">
            <w:pPr>
              <w:keepNext/>
              <w:keepLines/>
              <w:spacing w:after="0" w:line="240" w:lineRule="auto"/>
              <w:ind w:left="-57" w:right="-57"/>
              <w:jc w:val="center"/>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K</w:t>
            </w:r>
          </w:p>
        </w:tc>
        <w:tc>
          <w:tcPr>
            <w:tcW w:w="2127" w:type="dxa"/>
            <w:tcBorders>
              <w:top w:val="single" w:sz="4" w:space="0" w:color="auto"/>
              <w:left w:val="single" w:sz="4" w:space="0" w:color="auto"/>
              <w:bottom w:val="dashed" w:sz="4" w:space="0" w:color="auto"/>
              <w:right w:val="single" w:sz="18" w:space="0" w:color="auto"/>
            </w:tcBorders>
          </w:tcPr>
          <w:p w14:paraId="720CBE6F" w14:textId="77777777" w:rsidR="000E5F59" w:rsidRPr="00094082" w:rsidRDefault="000E5F59" w:rsidP="00094082">
            <w:pPr>
              <w:spacing w:after="0" w:line="240" w:lineRule="auto"/>
              <w:ind w:left="130" w:right="-40" w:hanging="170"/>
              <w:jc w:val="left"/>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Gurítóradarok</w:t>
            </w:r>
          </w:p>
        </w:tc>
        <w:tc>
          <w:tcPr>
            <w:tcW w:w="1560" w:type="dxa"/>
            <w:tcBorders>
              <w:top w:val="single" w:sz="4" w:space="0" w:color="auto"/>
              <w:left w:val="single" w:sz="18" w:space="0" w:color="auto"/>
              <w:bottom w:val="single" w:sz="4" w:space="0" w:color="auto"/>
              <w:right w:val="single" w:sz="4" w:space="0" w:color="auto"/>
            </w:tcBorders>
          </w:tcPr>
          <w:p w14:paraId="6DF2A54D" w14:textId="77777777" w:rsidR="000E5F59" w:rsidRPr="00094082" w:rsidRDefault="000E5F59" w:rsidP="00094082">
            <w:pPr>
              <w:spacing w:after="0" w:line="240" w:lineRule="auto"/>
              <w:ind w:left="130" w:right="-40" w:hanging="170"/>
              <w:jc w:val="left"/>
              <w:rPr>
                <w:rFonts w:ascii="Arial" w:eastAsia="Times New Roman" w:hAnsi="Arial" w:cs="Arial"/>
                <w:color w:val="000000"/>
                <w:sz w:val="14"/>
                <w:szCs w:val="14"/>
                <w:lang w:eastAsia="hu-HU"/>
              </w:rPr>
            </w:pPr>
          </w:p>
        </w:tc>
        <w:tc>
          <w:tcPr>
            <w:tcW w:w="2410" w:type="dxa"/>
            <w:tcBorders>
              <w:top w:val="single" w:sz="4" w:space="0" w:color="auto"/>
              <w:left w:val="single" w:sz="4" w:space="0" w:color="auto"/>
              <w:bottom w:val="single" w:sz="4" w:space="0" w:color="auto"/>
              <w:right w:val="single" w:sz="18" w:space="0" w:color="auto"/>
            </w:tcBorders>
          </w:tcPr>
          <w:p w14:paraId="10BC7A47" w14:textId="77777777" w:rsidR="000E5F59" w:rsidRPr="00094082" w:rsidRDefault="000E5F59" w:rsidP="00094082">
            <w:pPr>
              <w:tabs>
                <w:tab w:val="left" w:pos="170"/>
              </w:tabs>
              <w:spacing w:after="0" w:line="240" w:lineRule="auto"/>
              <w:ind w:left="130" w:right="-40" w:hanging="170"/>
              <w:jc w:val="left"/>
              <w:rPr>
                <w:rFonts w:ascii="Arial" w:eastAsia="Times New Roman" w:hAnsi="Arial" w:cs="Arial"/>
                <w:color w:val="000000"/>
                <w:sz w:val="14"/>
                <w:szCs w:val="14"/>
                <w:lang w:eastAsia="hu-HU"/>
              </w:rPr>
            </w:pPr>
          </w:p>
        </w:tc>
      </w:tr>
      <w:tr w:rsidR="000E5F59" w:rsidRPr="00094082" w14:paraId="0044B10F" w14:textId="77777777" w:rsidTr="000E5F59">
        <w:trPr>
          <w:cantSplit/>
        </w:trPr>
        <w:tc>
          <w:tcPr>
            <w:tcW w:w="1700" w:type="dxa"/>
            <w:tcBorders>
              <w:top w:val="single" w:sz="4" w:space="0" w:color="auto"/>
              <w:left w:val="single" w:sz="18" w:space="0" w:color="auto"/>
              <w:bottom w:val="single" w:sz="18" w:space="0" w:color="auto"/>
              <w:right w:val="single" w:sz="4" w:space="0" w:color="auto"/>
            </w:tcBorders>
          </w:tcPr>
          <w:p w14:paraId="52E072F0" w14:textId="77777777" w:rsidR="000E5F59" w:rsidRPr="00094082" w:rsidRDefault="000E5F59" w:rsidP="00094082">
            <w:pPr>
              <w:spacing w:after="0" w:line="240" w:lineRule="auto"/>
              <w:ind w:left="130" w:right="-57" w:hanging="170"/>
              <w:jc w:val="left"/>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ŰRKUTATÁS (távoli űr) (űr</w:t>
            </w:r>
            <w:r w:rsidRPr="00094082">
              <w:rPr>
                <w:rFonts w:ascii="Arial" w:eastAsia="Times New Roman" w:hAnsi="Arial" w:cs="Arial"/>
                <w:color w:val="000000"/>
                <w:sz w:val="14"/>
                <w:szCs w:val="14"/>
                <w:lang w:eastAsia="hu-HU"/>
              </w:rPr>
              <w:sym w:font="Symbol" w:char="F02D"/>
            </w:r>
            <w:r w:rsidRPr="00094082">
              <w:rPr>
                <w:rFonts w:ascii="Arial" w:eastAsia="Times New Roman" w:hAnsi="Arial" w:cs="Arial"/>
                <w:color w:val="000000"/>
                <w:sz w:val="14"/>
                <w:szCs w:val="14"/>
                <w:lang w:eastAsia="hu-HU"/>
              </w:rPr>
              <w:t>Föld irány) (31,8</w:t>
            </w:r>
            <w:r w:rsidRPr="00094082">
              <w:rPr>
                <w:rFonts w:ascii="Arial" w:eastAsia="Times New Roman" w:hAnsi="Arial" w:cs="Arial"/>
                <w:color w:val="000000"/>
                <w:sz w:val="14"/>
                <w:szCs w:val="14"/>
                <w:lang w:eastAsia="hu-HU"/>
              </w:rPr>
              <w:sym w:font="Symbol" w:char="F02D"/>
            </w:r>
            <w:r w:rsidRPr="00094082">
              <w:rPr>
                <w:rFonts w:ascii="Arial" w:eastAsia="Times New Roman" w:hAnsi="Arial" w:cs="Arial"/>
                <w:color w:val="000000"/>
                <w:sz w:val="14"/>
                <w:szCs w:val="14"/>
                <w:lang w:eastAsia="hu-HU"/>
              </w:rPr>
              <w:t>32,3 GHz)</w:t>
            </w:r>
          </w:p>
        </w:tc>
        <w:tc>
          <w:tcPr>
            <w:tcW w:w="708" w:type="dxa"/>
            <w:tcBorders>
              <w:top w:val="single" w:sz="4" w:space="0" w:color="auto"/>
              <w:left w:val="single" w:sz="4" w:space="0" w:color="auto"/>
              <w:bottom w:val="single" w:sz="18" w:space="0" w:color="auto"/>
              <w:right w:val="single" w:sz="4" w:space="0" w:color="auto"/>
            </w:tcBorders>
          </w:tcPr>
          <w:p w14:paraId="07A63137" w14:textId="77777777" w:rsidR="000E5F59" w:rsidRPr="00094082" w:rsidRDefault="000E5F59" w:rsidP="00094082">
            <w:pPr>
              <w:keepNext/>
              <w:keepLines/>
              <w:spacing w:after="0" w:line="240" w:lineRule="auto"/>
              <w:ind w:left="-57" w:right="-57"/>
              <w:jc w:val="center"/>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5.548</w:t>
            </w:r>
          </w:p>
        </w:tc>
        <w:tc>
          <w:tcPr>
            <w:tcW w:w="425" w:type="dxa"/>
            <w:tcBorders>
              <w:top w:val="single" w:sz="4" w:space="0" w:color="auto"/>
              <w:left w:val="single" w:sz="4" w:space="0" w:color="auto"/>
              <w:bottom w:val="single" w:sz="18" w:space="0" w:color="auto"/>
              <w:right w:val="single" w:sz="18" w:space="0" w:color="auto"/>
            </w:tcBorders>
          </w:tcPr>
          <w:p w14:paraId="0DBABE29" w14:textId="77777777" w:rsidR="000E5F59" w:rsidRPr="00094082" w:rsidRDefault="000E5F59" w:rsidP="00094082">
            <w:pPr>
              <w:keepNext/>
              <w:keepLines/>
              <w:spacing w:after="0" w:line="240" w:lineRule="auto"/>
              <w:ind w:left="-57" w:right="-57"/>
              <w:jc w:val="center"/>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P</w:t>
            </w:r>
          </w:p>
        </w:tc>
        <w:tc>
          <w:tcPr>
            <w:tcW w:w="426" w:type="dxa"/>
            <w:tcBorders>
              <w:top w:val="single" w:sz="4" w:space="0" w:color="auto"/>
              <w:left w:val="single" w:sz="18" w:space="0" w:color="auto"/>
              <w:bottom w:val="single" w:sz="18" w:space="0" w:color="auto"/>
              <w:right w:val="single" w:sz="4" w:space="0" w:color="auto"/>
            </w:tcBorders>
          </w:tcPr>
          <w:p w14:paraId="501DE0B1" w14:textId="77777777" w:rsidR="000E5F59" w:rsidRPr="00094082" w:rsidRDefault="000E5F59" w:rsidP="00094082">
            <w:pPr>
              <w:keepNext/>
              <w:keepLines/>
              <w:spacing w:after="0" w:line="240" w:lineRule="auto"/>
              <w:ind w:left="-57" w:right="-57"/>
              <w:jc w:val="center"/>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1</w:t>
            </w:r>
          </w:p>
        </w:tc>
        <w:tc>
          <w:tcPr>
            <w:tcW w:w="425" w:type="dxa"/>
            <w:tcBorders>
              <w:top w:val="single" w:sz="4" w:space="0" w:color="auto"/>
              <w:left w:val="single" w:sz="4" w:space="0" w:color="auto"/>
              <w:bottom w:val="single" w:sz="18" w:space="0" w:color="auto"/>
              <w:right w:val="single" w:sz="4" w:space="0" w:color="auto"/>
            </w:tcBorders>
          </w:tcPr>
          <w:p w14:paraId="2541D02D" w14:textId="77777777" w:rsidR="000E5F59" w:rsidRPr="00094082" w:rsidRDefault="000E5F59" w:rsidP="00094082">
            <w:pPr>
              <w:keepNext/>
              <w:keepLines/>
              <w:spacing w:after="0" w:line="240" w:lineRule="auto"/>
              <w:ind w:left="-57" w:right="-57"/>
              <w:jc w:val="center"/>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T</w:t>
            </w:r>
          </w:p>
        </w:tc>
        <w:tc>
          <w:tcPr>
            <w:tcW w:w="2127" w:type="dxa"/>
            <w:tcBorders>
              <w:top w:val="single" w:sz="4" w:space="0" w:color="auto"/>
              <w:left w:val="single" w:sz="4" w:space="0" w:color="auto"/>
              <w:bottom w:val="single" w:sz="18" w:space="0" w:color="auto"/>
              <w:right w:val="single" w:sz="18" w:space="0" w:color="auto"/>
            </w:tcBorders>
          </w:tcPr>
          <w:p w14:paraId="68DC1B12" w14:textId="77777777" w:rsidR="000E5F59" w:rsidRPr="00094082" w:rsidRDefault="000E5F59" w:rsidP="00094082">
            <w:pPr>
              <w:spacing w:after="0" w:line="240" w:lineRule="auto"/>
              <w:ind w:left="130" w:right="-40" w:hanging="170"/>
              <w:jc w:val="left"/>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Űrkutatás rendszerei</w:t>
            </w:r>
          </w:p>
        </w:tc>
        <w:tc>
          <w:tcPr>
            <w:tcW w:w="1560" w:type="dxa"/>
            <w:tcBorders>
              <w:top w:val="single" w:sz="4" w:space="0" w:color="auto"/>
              <w:left w:val="single" w:sz="18" w:space="0" w:color="auto"/>
              <w:bottom w:val="single" w:sz="18" w:space="0" w:color="auto"/>
              <w:right w:val="single" w:sz="4" w:space="0" w:color="auto"/>
            </w:tcBorders>
          </w:tcPr>
          <w:p w14:paraId="5F0781BD" w14:textId="77777777" w:rsidR="000E5F59" w:rsidRPr="00094082" w:rsidRDefault="000E5F59" w:rsidP="00094082">
            <w:pPr>
              <w:spacing w:after="0" w:line="240" w:lineRule="auto"/>
              <w:ind w:left="130" w:right="-40" w:hanging="170"/>
              <w:jc w:val="left"/>
              <w:rPr>
                <w:rFonts w:ascii="Arial" w:eastAsia="Times New Roman" w:hAnsi="Arial" w:cs="Arial"/>
                <w:color w:val="000000"/>
                <w:sz w:val="14"/>
                <w:szCs w:val="14"/>
                <w:lang w:eastAsia="hu-HU"/>
              </w:rPr>
            </w:pPr>
          </w:p>
        </w:tc>
        <w:tc>
          <w:tcPr>
            <w:tcW w:w="2410" w:type="dxa"/>
            <w:tcBorders>
              <w:top w:val="single" w:sz="4" w:space="0" w:color="auto"/>
              <w:left w:val="single" w:sz="4" w:space="0" w:color="auto"/>
              <w:bottom w:val="single" w:sz="18" w:space="0" w:color="auto"/>
              <w:right w:val="single" w:sz="18" w:space="0" w:color="auto"/>
            </w:tcBorders>
          </w:tcPr>
          <w:p w14:paraId="3E0927B2" w14:textId="77777777" w:rsidR="000E5F59" w:rsidRPr="00094082" w:rsidRDefault="000E5F59" w:rsidP="00094082">
            <w:pPr>
              <w:tabs>
                <w:tab w:val="left" w:pos="170"/>
              </w:tabs>
              <w:spacing w:after="0" w:line="240" w:lineRule="auto"/>
              <w:ind w:left="130" w:right="-40" w:hanging="170"/>
              <w:jc w:val="left"/>
              <w:rPr>
                <w:rFonts w:ascii="Arial" w:eastAsia="Times New Roman" w:hAnsi="Arial" w:cs="Arial"/>
                <w:color w:val="000000"/>
                <w:sz w:val="14"/>
                <w:szCs w:val="14"/>
                <w:lang w:eastAsia="hu-HU"/>
              </w:rPr>
            </w:pPr>
          </w:p>
        </w:tc>
      </w:tr>
      <w:tr w:rsidR="000E5F59" w:rsidRPr="00094082" w14:paraId="2CBF7726" w14:textId="77777777" w:rsidTr="000E5F59">
        <w:trPr>
          <w:cantSplit/>
        </w:trPr>
        <w:tc>
          <w:tcPr>
            <w:tcW w:w="1700" w:type="dxa"/>
            <w:tcBorders>
              <w:top w:val="single" w:sz="18" w:space="0" w:color="auto"/>
              <w:left w:val="single" w:sz="18" w:space="0" w:color="auto"/>
              <w:bottom w:val="single" w:sz="4" w:space="0" w:color="auto"/>
              <w:right w:val="nil"/>
            </w:tcBorders>
          </w:tcPr>
          <w:p w14:paraId="2168ACD2" w14:textId="77777777" w:rsidR="000E5F59" w:rsidRPr="00094082" w:rsidRDefault="000E5F59" w:rsidP="00094082">
            <w:pPr>
              <w:keepNext/>
              <w:keepLines/>
              <w:spacing w:after="0" w:line="240" w:lineRule="auto"/>
              <w:ind w:left="130" w:right="-57" w:hanging="170"/>
              <w:jc w:val="left"/>
              <w:rPr>
                <w:rFonts w:ascii="Arial" w:eastAsia="Times New Roman" w:hAnsi="Arial" w:cs="Arial"/>
                <w:b/>
                <w:color w:val="000000"/>
                <w:sz w:val="14"/>
                <w:szCs w:val="14"/>
                <w:lang w:eastAsia="hu-HU"/>
              </w:rPr>
            </w:pPr>
            <w:r w:rsidRPr="00094082">
              <w:rPr>
                <w:rFonts w:ascii="Arial" w:eastAsia="Times New Roman" w:hAnsi="Arial" w:cs="Arial"/>
                <w:b/>
                <w:color w:val="000000"/>
                <w:sz w:val="14"/>
                <w:szCs w:val="14"/>
                <w:lang w:eastAsia="hu-HU"/>
              </w:rPr>
              <w:t>33</w:t>
            </w:r>
            <w:r w:rsidRPr="00094082">
              <w:rPr>
                <w:rFonts w:ascii="Arial" w:eastAsia="Times New Roman" w:hAnsi="Arial" w:cs="Arial"/>
                <w:b/>
                <w:color w:val="000000"/>
                <w:sz w:val="14"/>
                <w:szCs w:val="14"/>
                <w:lang w:eastAsia="hu-HU"/>
              </w:rPr>
              <w:sym w:font="Symbol" w:char="F02D"/>
            </w:r>
            <w:r w:rsidRPr="00094082">
              <w:rPr>
                <w:rFonts w:ascii="Arial" w:eastAsia="Times New Roman" w:hAnsi="Arial" w:cs="Arial"/>
                <w:b/>
                <w:color w:val="000000"/>
                <w:sz w:val="14"/>
                <w:szCs w:val="14"/>
                <w:lang w:eastAsia="hu-HU"/>
              </w:rPr>
              <w:t>33,4 GHz</w:t>
            </w:r>
          </w:p>
        </w:tc>
        <w:tc>
          <w:tcPr>
            <w:tcW w:w="708" w:type="dxa"/>
            <w:tcBorders>
              <w:top w:val="single" w:sz="18" w:space="0" w:color="auto"/>
              <w:left w:val="nil"/>
              <w:bottom w:val="single" w:sz="4" w:space="0" w:color="auto"/>
              <w:right w:val="nil"/>
            </w:tcBorders>
          </w:tcPr>
          <w:p w14:paraId="47BAA84A" w14:textId="77777777" w:rsidR="000E5F59" w:rsidRPr="00094082" w:rsidRDefault="000E5F59" w:rsidP="00094082">
            <w:pPr>
              <w:keepNext/>
              <w:keepLines/>
              <w:spacing w:after="0" w:line="240" w:lineRule="auto"/>
              <w:ind w:left="-57" w:right="-57"/>
              <w:jc w:val="center"/>
              <w:rPr>
                <w:rFonts w:ascii="Arial" w:eastAsia="Times New Roman" w:hAnsi="Arial" w:cs="Arial"/>
                <w:color w:val="000000"/>
                <w:sz w:val="14"/>
                <w:szCs w:val="14"/>
                <w:lang w:eastAsia="hu-HU"/>
              </w:rPr>
            </w:pPr>
          </w:p>
        </w:tc>
        <w:tc>
          <w:tcPr>
            <w:tcW w:w="425" w:type="dxa"/>
            <w:tcBorders>
              <w:top w:val="single" w:sz="18" w:space="0" w:color="auto"/>
              <w:left w:val="nil"/>
              <w:bottom w:val="single" w:sz="4" w:space="0" w:color="auto"/>
              <w:right w:val="nil"/>
            </w:tcBorders>
          </w:tcPr>
          <w:p w14:paraId="5ED6FAF8" w14:textId="77777777" w:rsidR="000E5F59" w:rsidRPr="00094082" w:rsidRDefault="000E5F59" w:rsidP="00094082">
            <w:pPr>
              <w:keepNext/>
              <w:keepLines/>
              <w:spacing w:after="0" w:line="240" w:lineRule="auto"/>
              <w:ind w:left="-57" w:right="-57"/>
              <w:jc w:val="center"/>
              <w:rPr>
                <w:rFonts w:ascii="Arial" w:eastAsia="Times New Roman" w:hAnsi="Arial" w:cs="Arial"/>
                <w:color w:val="000000"/>
                <w:sz w:val="14"/>
                <w:szCs w:val="14"/>
                <w:lang w:eastAsia="hu-HU"/>
              </w:rPr>
            </w:pPr>
          </w:p>
        </w:tc>
        <w:tc>
          <w:tcPr>
            <w:tcW w:w="426" w:type="dxa"/>
            <w:tcBorders>
              <w:top w:val="single" w:sz="18" w:space="0" w:color="auto"/>
              <w:left w:val="nil"/>
              <w:bottom w:val="single" w:sz="4" w:space="0" w:color="auto"/>
              <w:right w:val="nil"/>
            </w:tcBorders>
          </w:tcPr>
          <w:p w14:paraId="7866DEFF" w14:textId="77777777" w:rsidR="000E5F59" w:rsidRPr="00094082" w:rsidRDefault="000E5F59" w:rsidP="00094082">
            <w:pPr>
              <w:keepNext/>
              <w:keepLines/>
              <w:spacing w:after="0" w:line="240" w:lineRule="auto"/>
              <w:ind w:left="-57" w:right="-57"/>
              <w:jc w:val="center"/>
              <w:rPr>
                <w:rFonts w:ascii="Arial" w:eastAsia="Times New Roman" w:hAnsi="Arial" w:cs="Arial"/>
                <w:color w:val="000000"/>
                <w:sz w:val="14"/>
                <w:szCs w:val="14"/>
                <w:lang w:eastAsia="hu-HU"/>
              </w:rPr>
            </w:pPr>
          </w:p>
        </w:tc>
        <w:tc>
          <w:tcPr>
            <w:tcW w:w="425" w:type="dxa"/>
            <w:tcBorders>
              <w:top w:val="single" w:sz="18" w:space="0" w:color="auto"/>
              <w:left w:val="nil"/>
              <w:bottom w:val="single" w:sz="4" w:space="0" w:color="auto"/>
              <w:right w:val="nil"/>
            </w:tcBorders>
          </w:tcPr>
          <w:p w14:paraId="1D85D3DA" w14:textId="77777777" w:rsidR="000E5F59" w:rsidRPr="00094082" w:rsidRDefault="000E5F59" w:rsidP="00094082">
            <w:pPr>
              <w:keepNext/>
              <w:keepLines/>
              <w:spacing w:after="0" w:line="240" w:lineRule="auto"/>
              <w:ind w:left="-57" w:right="-57"/>
              <w:jc w:val="center"/>
              <w:rPr>
                <w:rFonts w:ascii="Arial" w:eastAsia="Times New Roman" w:hAnsi="Arial" w:cs="Arial"/>
                <w:color w:val="000000"/>
                <w:sz w:val="14"/>
                <w:szCs w:val="14"/>
                <w:lang w:eastAsia="hu-HU"/>
              </w:rPr>
            </w:pPr>
          </w:p>
        </w:tc>
        <w:tc>
          <w:tcPr>
            <w:tcW w:w="2127" w:type="dxa"/>
            <w:tcBorders>
              <w:top w:val="single" w:sz="18" w:space="0" w:color="auto"/>
              <w:left w:val="nil"/>
              <w:bottom w:val="single" w:sz="4" w:space="0" w:color="auto"/>
              <w:right w:val="nil"/>
            </w:tcBorders>
          </w:tcPr>
          <w:p w14:paraId="321D055F" w14:textId="77777777" w:rsidR="000E5F59" w:rsidRPr="00094082" w:rsidRDefault="000E5F59" w:rsidP="00094082">
            <w:pPr>
              <w:spacing w:after="0" w:line="240" w:lineRule="auto"/>
              <w:ind w:left="130" w:right="-40" w:hanging="170"/>
              <w:jc w:val="left"/>
              <w:rPr>
                <w:rFonts w:ascii="Arial" w:eastAsia="Times New Roman" w:hAnsi="Arial" w:cs="Arial"/>
                <w:color w:val="000000"/>
                <w:sz w:val="14"/>
                <w:szCs w:val="14"/>
                <w:lang w:eastAsia="hu-HU"/>
              </w:rPr>
            </w:pPr>
          </w:p>
        </w:tc>
        <w:tc>
          <w:tcPr>
            <w:tcW w:w="1560" w:type="dxa"/>
            <w:tcBorders>
              <w:top w:val="single" w:sz="18" w:space="0" w:color="auto"/>
              <w:left w:val="nil"/>
              <w:bottom w:val="single" w:sz="4" w:space="0" w:color="auto"/>
              <w:right w:val="nil"/>
            </w:tcBorders>
          </w:tcPr>
          <w:p w14:paraId="1E63E9AD" w14:textId="77777777" w:rsidR="000E5F59" w:rsidRPr="00094082" w:rsidRDefault="000E5F59" w:rsidP="00094082">
            <w:pPr>
              <w:spacing w:after="0" w:line="240" w:lineRule="auto"/>
              <w:ind w:left="130" w:right="-40" w:hanging="170"/>
              <w:jc w:val="left"/>
              <w:rPr>
                <w:rFonts w:ascii="Arial" w:eastAsia="Times New Roman" w:hAnsi="Arial" w:cs="Arial"/>
                <w:color w:val="000000"/>
                <w:sz w:val="14"/>
                <w:szCs w:val="14"/>
                <w:lang w:eastAsia="hu-HU"/>
              </w:rPr>
            </w:pPr>
          </w:p>
        </w:tc>
        <w:tc>
          <w:tcPr>
            <w:tcW w:w="2410" w:type="dxa"/>
            <w:tcBorders>
              <w:top w:val="single" w:sz="18" w:space="0" w:color="auto"/>
              <w:left w:val="nil"/>
              <w:bottom w:val="single" w:sz="4" w:space="0" w:color="auto"/>
              <w:right w:val="single" w:sz="18" w:space="0" w:color="auto"/>
            </w:tcBorders>
          </w:tcPr>
          <w:p w14:paraId="7A08555B" w14:textId="77777777" w:rsidR="000E5F59" w:rsidRPr="00094082" w:rsidRDefault="000E5F59" w:rsidP="00094082">
            <w:pPr>
              <w:tabs>
                <w:tab w:val="left" w:pos="170"/>
              </w:tabs>
              <w:spacing w:after="0" w:line="240" w:lineRule="auto"/>
              <w:ind w:left="130" w:right="-40" w:hanging="170"/>
              <w:jc w:val="left"/>
              <w:rPr>
                <w:rFonts w:ascii="Arial" w:eastAsia="Times New Roman" w:hAnsi="Arial" w:cs="Arial"/>
                <w:color w:val="000000"/>
                <w:sz w:val="14"/>
                <w:szCs w:val="14"/>
                <w:lang w:eastAsia="hu-HU"/>
              </w:rPr>
            </w:pPr>
          </w:p>
        </w:tc>
      </w:tr>
      <w:tr w:rsidR="000E5F59" w:rsidRPr="00094082" w14:paraId="68F67CAD" w14:textId="77777777" w:rsidTr="000E5F59">
        <w:trPr>
          <w:cantSplit/>
        </w:trPr>
        <w:tc>
          <w:tcPr>
            <w:tcW w:w="1700" w:type="dxa"/>
            <w:tcBorders>
              <w:top w:val="single" w:sz="4" w:space="0" w:color="auto"/>
              <w:left w:val="single" w:sz="18" w:space="0" w:color="auto"/>
              <w:bottom w:val="nil"/>
              <w:right w:val="single" w:sz="4" w:space="0" w:color="auto"/>
            </w:tcBorders>
          </w:tcPr>
          <w:p w14:paraId="77B3799C" w14:textId="77777777" w:rsidR="000E5F59" w:rsidRPr="00094082" w:rsidRDefault="000E5F59" w:rsidP="00094082">
            <w:pPr>
              <w:spacing w:after="0" w:line="240" w:lineRule="auto"/>
              <w:ind w:left="130" w:right="-57" w:hanging="170"/>
              <w:jc w:val="left"/>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ÁLLANDÓHELYŰ</w:t>
            </w:r>
          </w:p>
        </w:tc>
        <w:tc>
          <w:tcPr>
            <w:tcW w:w="708" w:type="dxa"/>
            <w:tcBorders>
              <w:top w:val="single" w:sz="4" w:space="0" w:color="auto"/>
              <w:left w:val="single" w:sz="4" w:space="0" w:color="auto"/>
              <w:bottom w:val="nil"/>
              <w:right w:val="single" w:sz="4" w:space="0" w:color="auto"/>
            </w:tcBorders>
          </w:tcPr>
          <w:p w14:paraId="3B4D556D" w14:textId="77777777" w:rsidR="000E5F59" w:rsidRPr="00094082" w:rsidRDefault="000E5F59" w:rsidP="00094082">
            <w:pPr>
              <w:keepNext/>
              <w:keepLines/>
              <w:spacing w:after="0" w:line="240" w:lineRule="auto"/>
              <w:ind w:left="-57" w:right="-57"/>
              <w:jc w:val="center"/>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5.547</w:t>
            </w:r>
          </w:p>
          <w:p w14:paraId="20D304E6" w14:textId="77777777" w:rsidR="000E5F59" w:rsidRPr="00094082" w:rsidRDefault="000E5F59" w:rsidP="00094082">
            <w:pPr>
              <w:keepNext/>
              <w:keepLines/>
              <w:spacing w:after="0" w:line="240" w:lineRule="auto"/>
              <w:ind w:left="-57" w:right="-57"/>
              <w:jc w:val="center"/>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5.547A</w:t>
            </w:r>
          </w:p>
        </w:tc>
        <w:tc>
          <w:tcPr>
            <w:tcW w:w="425" w:type="dxa"/>
            <w:tcBorders>
              <w:top w:val="single" w:sz="4" w:space="0" w:color="auto"/>
              <w:left w:val="single" w:sz="4" w:space="0" w:color="auto"/>
              <w:bottom w:val="nil"/>
              <w:right w:val="single" w:sz="18" w:space="0" w:color="auto"/>
            </w:tcBorders>
          </w:tcPr>
          <w:p w14:paraId="5A6FBE46" w14:textId="77777777" w:rsidR="000E5F59" w:rsidRPr="00094082" w:rsidRDefault="000E5F59" w:rsidP="00094082">
            <w:pPr>
              <w:keepNext/>
              <w:keepLines/>
              <w:spacing w:after="0" w:line="240" w:lineRule="auto"/>
              <w:ind w:left="-57" w:right="-57"/>
              <w:jc w:val="center"/>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P</w:t>
            </w:r>
          </w:p>
        </w:tc>
        <w:tc>
          <w:tcPr>
            <w:tcW w:w="426" w:type="dxa"/>
            <w:tcBorders>
              <w:top w:val="single" w:sz="4" w:space="0" w:color="auto"/>
              <w:left w:val="single" w:sz="18" w:space="0" w:color="auto"/>
              <w:bottom w:val="single" w:sz="4" w:space="0" w:color="auto"/>
              <w:right w:val="single" w:sz="4" w:space="0" w:color="auto"/>
            </w:tcBorders>
          </w:tcPr>
          <w:p w14:paraId="0BE371A7" w14:textId="77777777" w:rsidR="000E5F59" w:rsidRPr="00094082" w:rsidRDefault="000E5F59" w:rsidP="00094082">
            <w:pPr>
              <w:keepNext/>
              <w:keepLines/>
              <w:spacing w:after="0" w:line="240" w:lineRule="auto"/>
              <w:ind w:left="-57" w:right="-57"/>
              <w:jc w:val="center"/>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1</w:t>
            </w:r>
          </w:p>
        </w:tc>
        <w:tc>
          <w:tcPr>
            <w:tcW w:w="425" w:type="dxa"/>
            <w:tcBorders>
              <w:top w:val="single" w:sz="4" w:space="0" w:color="auto"/>
              <w:left w:val="single" w:sz="4" w:space="0" w:color="auto"/>
              <w:bottom w:val="single" w:sz="4" w:space="0" w:color="auto"/>
              <w:right w:val="single" w:sz="4" w:space="0" w:color="auto"/>
            </w:tcBorders>
          </w:tcPr>
          <w:p w14:paraId="2F8BCE90" w14:textId="77777777" w:rsidR="000E5F59" w:rsidRPr="00094082" w:rsidRDefault="000E5F59" w:rsidP="00094082">
            <w:pPr>
              <w:keepNext/>
              <w:keepLines/>
              <w:spacing w:after="0" w:line="240" w:lineRule="auto"/>
              <w:ind w:left="-57" w:right="-57"/>
              <w:jc w:val="center"/>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K</w:t>
            </w:r>
          </w:p>
        </w:tc>
        <w:tc>
          <w:tcPr>
            <w:tcW w:w="2127" w:type="dxa"/>
            <w:tcBorders>
              <w:top w:val="single" w:sz="4" w:space="0" w:color="auto"/>
              <w:left w:val="single" w:sz="4" w:space="0" w:color="auto"/>
              <w:bottom w:val="single" w:sz="4" w:space="0" w:color="auto"/>
              <w:right w:val="single" w:sz="18" w:space="0" w:color="auto"/>
            </w:tcBorders>
          </w:tcPr>
          <w:p w14:paraId="21803B50" w14:textId="77777777" w:rsidR="000E5F59" w:rsidRPr="00094082" w:rsidRDefault="000E5F59" w:rsidP="00094082">
            <w:pPr>
              <w:spacing w:after="0" w:line="240" w:lineRule="auto"/>
              <w:ind w:left="130" w:right="-40" w:hanging="170"/>
              <w:jc w:val="left"/>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32 GHz-es sávú állandó telephelyű, digitális pont-pont rendszerek</w:t>
            </w:r>
          </w:p>
        </w:tc>
        <w:tc>
          <w:tcPr>
            <w:tcW w:w="1560" w:type="dxa"/>
            <w:tcBorders>
              <w:top w:val="single" w:sz="4" w:space="0" w:color="auto"/>
              <w:left w:val="single" w:sz="18" w:space="0" w:color="auto"/>
              <w:bottom w:val="single" w:sz="4" w:space="0" w:color="auto"/>
              <w:right w:val="single" w:sz="4" w:space="0" w:color="auto"/>
            </w:tcBorders>
          </w:tcPr>
          <w:p w14:paraId="4F702D1A" w14:textId="77777777" w:rsidR="000E5F59" w:rsidRPr="00094082" w:rsidRDefault="000E5F59" w:rsidP="00094082">
            <w:pPr>
              <w:spacing w:after="0" w:line="240" w:lineRule="auto"/>
              <w:ind w:left="130" w:right="-40" w:hanging="170"/>
              <w:jc w:val="left"/>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ITU</w:t>
            </w:r>
            <w:r w:rsidRPr="00094082">
              <w:rPr>
                <w:rFonts w:ascii="Arial" w:eastAsia="Times New Roman" w:hAnsi="Arial" w:cs="Arial"/>
                <w:color w:val="000000"/>
                <w:sz w:val="14"/>
                <w:szCs w:val="14"/>
                <w:lang w:eastAsia="hu-HU"/>
              </w:rPr>
              <w:noBreakHyphen/>
              <w:t>R F.1191</w:t>
            </w:r>
            <w:r w:rsidRPr="00094082">
              <w:rPr>
                <w:rFonts w:ascii="Arial" w:eastAsia="Times New Roman" w:hAnsi="Arial" w:cs="Arial"/>
                <w:color w:val="000000"/>
                <w:sz w:val="14"/>
                <w:szCs w:val="14"/>
                <w:lang w:eastAsia="hu-HU"/>
              </w:rPr>
              <w:noBreakHyphen/>
              <w:t>3</w:t>
            </w:r>
          </w:p>
          <w:p w14:paraId="1D7F0B66" w14:textId="77777777" w:rsidR="000E5F59" w:rsidRPr="00094082" w:rsidRDefault="000E5F59" w:rsidP="00094082">
            <w:pPr>
              <w:spacing w:after="0" w:line="240" w:lineRule="auto"/>
              <w:ind w:left="130" w:right="-40" w:hanging="170"/>
              <w:jc w:val="left"/>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ERC/REC/(01)02</w:t>
            </w:r>
          </w:p>
          <w:p w14:paraId="2DE51070" w14:textId="77777777" w:rsidR="000E5F59" w:rsidRPr="00094082" w:rsidRDefault="000E5F59" w:rsidP="00094082">
            <w:pPr>
              <w:spacing w:after="0" w:line="240" w:lineRule="auto"/>
              <w:ind w:left="130" w:right="-40" w:hanging="170"/>
              <w:jc w:val="left"/>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MSZ EN 302 217</w:t>
            </w:r>
            <w:r w:rsidRPr="00094082">
              <w:rPr>
                <w:rFonts w:ascii="Arial" w:eastAsia="Times New Roman" w:hAnsi="Arial" w:cs="Arial"/>
                <w:color w:val="000000"/>
                <w:sz w:val="14"/>
                <w:szCs w:val="14"/>
                <w:lang w:eastAsia="hu-HU"/>
              </w:rPr>
              <w:noBreakHyphen/>
              <w:t>2</w:t>
            </w:r>
          </w:p>
        </w:tc>
        <w:tc>
          <w:tcPr>
            <w:tcW w:w="2410" w:type="dxa"/>
            <w:tcBorders>
              <w:top w:val="single" w:sz="4" w:space="0" w:color="auto"/>
              <w:left w:val="single" w:sz="4" w:space="0" w:color="auto"/>
              <w:bottom w:val="single" w:sz="4" w:space="0" w:color="auto"/>
              <w:right w:val="single" w:sz="18" w:space="0" w:color="auto"/>
            </w:tcBorders>
          </w:tcPr>
          <w:p w14:paraId="47B45DFF" w14:textId="77777777" w:rsidR="000E5F59" w:rsidRPr="00094082" w:rsidRDefault="000E5F59" w:rsidP="00094082">
            <w:pPr>
              <w:tabs>
                <w:tab w:val="left" w:pos="170"/>
              </w:tabs>
              <w:spacing w:after="0" w:line="240" w:lineRule="auto"/>
              <w:ind w:left="130" w:right="-40" w:hanging="170"/>
              <w:jc w:val="left"/>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3. melléklet 2.5. pont</w:t>
            </w:r>
          </w:p>
          <w:p w14:paraId="6D86DA26" w14:textId="77777777" w:rsidR="000E5F59" w:rsidRPr="00094082" w:rsidRDefault="000E5F59" w:rsidP="00094082">
            <w:pPr>
              <w:tabs>
                <w:tab w:val="left" w:pos="170"/>
              </w:tabs>
              <w:spacing w:after="0" w:line="240" w:lineRule="auto"/>
              <w:ind w:left="130" w:right="-40" w:hanging="170"/>
              <w:jc w:val="left"/>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3. melléklet 2.13. pont</w:t>
            </w:r>
          </w:p>
          <w:p w14:paraId="696BCDD3" w14:textId="77777777" w:rsidR="000E5F59" w:rsidRPr="00094082" w:rsidRDefault="000E5F59" w:rsidP="00094082">
            <w:pPr>
              <w:tabs>
                <w:tab w:val="left" w:pos="170"/>
              </w:tabs>
              <w:spacing w:after="0" w:line="240" w:lineRule="auto"/>
              <w:ind w:left="130" w:right="-40" w:hanging="170"/>
              <w:jc w:val="left"/>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3. melléklet 3.13. pont</w:t>
            </w:r>
          </w:p>
          <w:p w14:paraId="67C418C0" w14:textId="77777777" w:rsidR="000E5F59" w:rsidRPr="00094082" w:rsidRDefault="000E5F59" w:rsidP="00094082">
            <w:pPr>
              <w:tabs>
                <w:tab w:val="left" w:pos="170"/>
              </w:tabs>
              <w:spacing w:after="0" w:line="240" w:lineRule="auto"/>
              <w:ind w:left="130" w:right="-40" w:hanging="170"/>
              <w:jc w:val="left"/>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4. melléklet</w:t>
            </w:r>
          </w:p>
        </w:tc>
      </w:tr>
      <w:tr w:rsidR="000E5F59" w:rsidRPr="00094082" w14:paraId="3E55318B" w14:textId="77777777" w:rsidTr="000E5F59">
        <w:trPr>
          <w:cantSplit/>
        </w:trPr>
        <w:tc>
          <w:tcPr>
            <w:tcW w:w="1700" w:type="dxa"/>
            <w:tcBorders>
              <w:top w:val="nil"/>
              <w:left w:val="single" w:sz="18" w:space="0" w:color="auto"/>
              <w:bottom w:val="nil"/>
              <w:right w:val="single" w:sz="4" w:space="0" w:color="auto"/>
            </w:tcBorders>
          </w:tcPr>
          <w:p w14:paraId="24B98D50" w14:textId="77777777" w:rsidR="000E5F59" w:rsidRPr="00094082" w:rsidRDefault="000E5F59" w:rsidP="00094082">
            <w:pPr>
              <w:spacing w:after="0" w:line="240" w:lineRule="auto"/>
              <w:ind w:left="130" w:right="-57" w:hanging="170"/>
              <w:jc w:val="left"/>
              <w:rPr>
                <w:rFonts w:ascii="Arial" w:eastAsia="Times New Roman" w:hAnsi="Arial" w:cs="Arial"/>
                <w:color w:val="000000"/>
                <w:sz w:val="14"/>
                <w:szCs w:val="14"/>
                <w:lang w:eastAsia="hu-HU"/>
              </w:rPr>
            </w:pPr>
          </w:p>
        </w:tc>
        <w:tc>
          <w:tcPr>
            <w:tcW w:w="708" w:type="dxa"/>
            <w:tcBorders>
              <w:top w:val="nil"/>
              <w:left w:val="single" w:sz="4" w:space="0" w:color="auto"/>
              <w:bottom w:val="nil"/>
              <w:right w:val="single" w:sz="4" w:space="0" w:color="auto"/>
            </w:tcBorders>
          </w:tcPr>
          <w:p w14:paraId="7D6EFDEA" w14:textId="77777777" w:rsidR="000E5F59" w:rsidRPr="00094082" w:rsidRDefault="000E5F59" w:rsidP="00094082">
            <w:pPr>
              <w:keepNext/>
              <w:keepLines/>
              <w:spacing w:after="0" w:line="240" w:lineRule="auto"/>
              <w:ind w:left="-57" w:right="-57"/>
              <w:jc w:val="center"/>
              <w:rPr>
                <w:rFonts w:ascii="Arial" w:eastAsia="Times New Roman" w:hAnsi="Arial" w:cs="Arial"/>
                <w:color w:val="000000"/>
                <w:sz w:val="14"/>
                <w:szCs w:val="14"/>
                <w:lang w:eastAsia="hu-HU"/>
              </w:rPr>
            </w:pPr>
          </w:p>
        </w:tc>
        <w:tc>
          <w:tcPr>
            <w:tcW w:w="425" w:type="dxa"/>
            <w:tcBorders>
              <w:top w:val="nil"/>
              <w:left w:val="single" w:sz="4" w:space="0" w:color="auto"/>
              <w:bottom w:val="nil"/>
              <w:right w:val="single" w:sz="18" w:space="0" w:color="auto"/>
            </w:tcBorders>
          </w:tcPr>
          <w:p w14:paraId="261001A1" w14:textId="77777777" w:rsidR="000E5F59" w:rsidRPr="00094082" w:rsidRDefault="000E5F59" w:rsidP="00094082">
            <w:pPr>
              <w:keepNext/>
              <w:keepLines/>
              <w:spacing w:after="0" w:line="240" w:lineRule="auto"/>
              <w:ind w:left="-57" w:right="-57"/>
              <w:jc w:val="center"/>
              <w:rPr>
                <w:rFonts w:ascii="Arial" w:eastAsia="Times New Roman" w:hAnsi="Arial" w:cs="Arial"/>
                <w:color w:val="000000"/>
                <w:sz w:val="14"/>
                <w:szCs w:val="14"/>
                <w:lang w:eastAsia="hu-HU"/>
              </w:rPr>
            </w:pPr>
          </w:p>
        </w:tc>
        <w:tc>
          <w:tcPr>
            <w:tcW w:w="426" w:type="dxa"/>
            <w:tcBorders>
              <w:top w:val="single" w:sz="4" w:space="0" w:color="auto"/>
              <w:left w:val="single" w:sz="18" w:space="0" w:color="auto"/>
              <w:bottom w:val="dashed" w:sz="4" w:space="0" w:color="auto"/>
              <w:right w:val="single" w:sz="4" w:space="0" w:color="auto"/>
            </w:tcBorders>
          </w:tcPr>
          <w:p w14:paraId="4F1B4EA3" w14:textId="77777777" w:rsidR="000E5F59" w:rsidRPr="00094082" w:rsidRDefault="000E5F59" w:rsidP="00094082">
            <w:pPr>
              <w:keepNext/>
              <w:keepLines/>
              <w:spacing w:after="0" w:line="240" w:lineRule="auto"/>
              <w:ind w:left="-57" w:right="-57"/>
              <w:jc w:val="center"/>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1</w:t>
            </w:r>
          </w:p>
        </w:tc>
        <w:tc>
          <w:tcPr>
            <w:tcW w:w="425" w:type="dxa"/>
            <w:tcBorders>
              <w:top w:val="single" w:sz="4" w:space="0" w:color="auto"/>
              <w:left w:val="single" w:sz="4" w:space="0" w:color="auto"/>
              <w:bottom w:val="dashed" w:sz="4" w:space="0" w:color="auto"/>
              <w:right w:val="single" w:sz="4" w:space="0" w:color="auto"/>
            </w:tcBorders>
          </w:tcPr>
          <w:p w14:paraId="65A49230" w14:textId="77777777" w:rsidR="000E5F59" w:rsidRPr="00094082" w:rsidDel="008A5256" w:rsidRDefault="000E5F59" w:rsidP="00094082">
            <w:pPr>
              <w:keepNext/>
              <w:keepLines/>
              <w:spacing w:after="0" w:line="240" w:lineRule="auto"/>
              <w:ind w:left="-57" w:right="-57"/>
              <w:jc w:val="center"/>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K</w:t>
            </w:r>
          </w:p>
        </w:tc>
        <w:tc>
          <w:tcPr>
            <w:tcW w:w="2127" w:type="dxa"/>
            <w:tcBorders>
              <w:top w:val="single" w:sz="4" w:space="0" w:color="auto"/>
              <w:left w:val="single" w:sz="4" w:space="0" w:color="auto"/>
              <w:bottom w:val="dashed" w:sz="4" w:space="0" w:color="auto"/>
              <w:right w:val="single" w:sz="18" w:space="0" w:color="auto"/>
            </w:tcBorders>
          </w:tcPr>
          <w:p w14:paraId="75892682" w14:textId="77777777" w:rsidR="000E5F59" w:rsidRPr="00094082" w:rsidRDefault="000E5F59" w:rsidP="00094082">
            <w:pPr>
              <w:spacing w:after="0" w:line="240" w:lineRule="auto"/>
              <w:ind w:left="130" w:right="-40" w:hanging="170"/>
              <w:jc w:val="left"/>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32 GHz-es sávú digitális pont-többpont rendszerek</w:t>
            </w:r>
          </w:p>
        </w:tc>
        <w:tc>
          <w:tcPr>
            <w:tcW w:w="1560" w:type="dxa"/>
            <w:tcBorders>
              <w:top w:val="single" w:sz="4" w:space="0" w:color="auto"/>
              <w:left w:val="single" w:sz="18" w:space="0" w:color="auto"/>
              <w:bottom w:val="dashed" w:sz="4" w:space="0" w:color="auto"/>
              <w:right w:val="single" w:sz="4" w:space="0" w:color="auto"/>
            </w:tcBorders>
          </w:tcPr>
          <w:p w14:paraId="299738B9" w14:textId="77777777" w:rsidR="000E5F59" w:rsidRPr="00094082" w:rsidRDefault="000E5F59" w:rsidP="00094082">
            <w:pPr>
              <w:spacing w:after="0" w:line="240" w:lineRule="auto"/>
              <w:ind w:left="130" w:right="-40" w:hanging="170"/>
              <w:jc w:val="left"/>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ERC/REC/(01)02, ECC/REC/(11)01</w:t>
            </w:r>
          </w:p>
          <w:p w14:paraId="2967CF79" w14:textId="77777777" w:rsidR="000E5F59" w:rsidRPr="00094082" w:rsidRDefault="000E5F59" w:rsidP="00094082">
            <w:pPr>
              <w:spacing w:after="0" w:line="240" w:lineRule="auto"/>
              <w:ind w:left="130" w:right="-40" w:hanging="170"/>
              <w:jc w:val="left"/>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MSZ EN 302 326</w:t>
            </w:r>
            <w:r w:rsidRPr="00094082">
              <w:rPr>
                <w:rFonts w:ascii="Arial" w:eastAsia="Times New Roman" w:hAnsi="Arial" w:cs="Arial"/>
                <w:color w:val="000000"/>
                <w:sz w:val="14"/>
                <w:szCs w:val="14"/>
                <w:lang w:eastAsia="hu-HU"/>
              </w:rPr>
              <w:noBreakHyphen/>
              <w:t>2, MSZ EN 302 326</w:t>
            </w:r>
            <w:r w:rsidRPr="00094082">
              <w:rPr>
                <w:rFonts w:ascii="Arial" w:eastAsia="Times New Roman" w:hAnsi="Arial" w:cs="Arial"/>
                <w:color w:val="000000"/>
                <w:sz w:val="14"/>
                <w:szCs w:val="14"/>
                <w:lang w:eastAsia="hu-HU"/>
              </w:rPr>
              <w:noBreakHyphen/>
              <w:t>3</w:t>
            </w:r>
          </w:p>
        </w:tc>
        <w:tc>
          <w:tcPr>
            <w:tcW w:w="2410" w:type="dxa"/>
            <w:tcBorders>
              <w:top w:val="single" w:sz="4" w:space="0" w:color="auto"/>
              <w:left w:val="single" w:sz="4" w:space="0" w:color="auto"/>
              <w:bottom w:val="dashed" w:sz="4" w:space="0" w:color="auto"/>
              <w:right w:val="single" w:sz="18" w:space="0" w:color="auto"/>
            </w:tcBorders>
          </w:tcPr>
          <w:p w14:paraId="0E8F2CA0" w14:textId="77777777" w:rsidR="000E5F59" w:rsidRPr="00094082" w:rsidRDefault="000E5F59" w:rsidP="00094082">
            <w:pPr>
              <w:tabs>
                <w:tab w:val="left" w:pos="170"/>
              </w:tabs>
              <w:spacing w:after="0" w:line="240" w:lineRule="auto"/>
              <w:ind w:left="130" w:right="-40" w:hanging="170"/>
              <w:jc w:val="left"/>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3. melléklet 2.13. pont</w:t>
            </w:r>
          </w:p>
          <w:p w14:paraId="25AFBD89" w14:textId="77777777" w:rsidR="000E5F59" w:rsidRPr="00094082" w:rsidRDefault="000E5F59" w:rsidP="00094082">
            <w:pPr>
              <w:tabs>
                <w:tab w:val="left" w:pos="170"/>
              </w:tabs>
              <w:spacing w:after="0" w:line="240" w:lineRule="auto"/>
              <w:ind w:left="130" w:right="-40" w:hanging="170"/>
              <w:jc w:val="left"/>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3. melléklet 3.13. pont</w:t>
            </w:r>
          </w:p>
          <w:p w14:paraId="6206E837" w14:textId="77777777" w:rsidR="000E5F59" w:rsidRPr="00094082" w:rsidRDefault="000E5F59" w:rsidP="00094082">
            <w:pPr>
              <w:tabs>
                <w:tab w:val="left" w:pos="170"/>
              </w:tabs>
              <w:spacing w:after="0" w:line="240" w:lineRule="auto"/>
              <w:ind w:left="130" w:right="-40" w:hanging="170"/>
              <w:jc w:val="left"/>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4. melléklet</w:t>
            </w:r>
          </w:p>
          <w:p w14:paraId="3E076FB4" w14:textId="77777777" w:rsidR="000E5F59" w:rsidRPr="00094082" w:rsidRDefault="000E5F59" w:rsidP="00094082">
            <w:pPr>
              <w:tabs>
                <w:tab w:val="left" w:pos="170"/>
              </w:tabs>
              <w:spacing w:after="0" w:line="240" w:lineRule="auto"/>
              <w:ind w:left="130" w:right="-40" w:hanging="170"/>
              <w:jc w:val="left"/>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A felhasználói állomás egyedi engedélyezési kötelezettség alól mentesítve.</w:t>
            </w:r>
          </w:p>
        </w:tc>
      </w:tr>
      <w:tr w:rsidR="000E5F59" w:rsidRPr="00094082" w14:paraId="2E71E3DB" w14:textId="77777777" w:rsidTr="000E5F59">
        <w:trPr>
          <w:cantSplit/>
        </w:trPr>
        <w:tc>
          <w:tcPr>
            <w:tcW w:w="1700" w:type="dxa"/>
            <w:tcBorders>
              <w:top w:val="nil"/>
              <w:left w:val="single" w:sz="18" w:space="0" w:color="auto"/>
              <w:bottom w:val="single" w:sz="4" w:space="0" w:color="auto"/>
              <w:right w:val="single" w:sz="4" w:space="0" w:color="auto"/>
            </w:tcBorders>
          </w:tcPr>
          <w:p w14:paraId="5C7695B0" w14:textId="77777777" w:rsidR="000E5F59" w:rsidRPr="00094082" w:rsidRDefault="000E5F59" w:rsidP="00094082">
            <w:pPr>
              <w:spacing w:after="0" w:line="240" w:lineRule="auto"/>
              <w:ind w:left="130" w:right="-57" w:hanging="170"/>
              <w:jc w:val="left"/>
              <w:rPr>
                <w:rFonts w:ascii="Arial" w:eastAsia="Times New Roman" w:hAnsi="Arial" w:cs="Arial"/>
                <w:color w:val="000000"/>
                <w:sz w:val="14"/>
                <w:szCs w:val="14"/>
                <w:lang w:eastAsia="hu-HU"/>
              </w:rPr>
            </w:pPr>
          </w:p>
        </w:tc>
        <w:tc>
          <w:tcPr>
            <w:tcW w:w="708" w:type="dxa"/>
            <w:tcBorders>
              <w:top w:val="nil"/>
              <w:left w:val="single" w:sz="4" w:space="0" w:color="auto"/>
              <w:bottom w:val="single" w:sz="4" w:space="0" w:color="auto"/>
              <w:right w:val="single" w:sz="4" w:space="0" w:color="auto"/>
            </w:tcBorders>
          </w:tcPr>
          <w:p w14:paraId="4C59615F" w14:textId="77777777" w:rsidR="000E5F59" w:rsidRPr="00094082" w:rsidRDefault="000E5F59" w:rsidP="00094082">
            <w:pPr>
              <w:keepNext/>
              <w:keepLines/>
              <w:spacing w:after="0" w:line="240" w:lineRule="auto"/>
              <w:ind w:left="-57" w:right="-57"/>
              <w:jc w:val="center"/>
              <w:rPr>
                <w:rFonts w:ascii="Arial" w:eastAsia="Times New Roman" w:hAnsi="Arial" w:cs="Arial"/>
                <w:color w:val="000000"/>
                <w:sz w:val="14"/>
                <w:szCs w:val="14"/>
                <w:lang w:eastAsia="hu-HU"/>
              </w:rPr>
            </w:pPr>
          </w:p>
        </w:tc>
        <w:tc>
          <w:tcPr>
            <w:tcW w:w="425" w:type="dxa"/>
            <w:tcBorders>
              <w:top w:val="nil"/>
              <w:left w:val="single" w:sz="4" w:space="0" w:color="auto"/>
              <w:bottom w:val="single" w:sz="4" w:space="0" w:color="auto"/>
              <w:right w:val="single" w:sz="18" w:space="0" w:color="auto"/>
            </w:tcBorders>
          </w:tcPr>
          <w:p w14:paraId="1BF94A96" w14:textId="77777777" w:rsidR="000E5F59" w:rsidRPr="00094082" w:rsidRDefault="000E5F59" w:rsidP="00094082">
            <w:pPr>
              <w:keepNext/>
              <w:keepLines/>
              <w:spacing w:after="0" w:line="240" w:lineRule="auto"/>
              <w:ind w:left="-57" w:right="-57"/>
              <w:jc w:val="center"/>
              <w:rPr>
                <w:rFonts w:ascii="Arial" w:eastAsia="Times New Roman" w:hAnsi="Arial" w:cs="Arial"/>
                <w:color w:val="000000"/>
                <w:sz w:val="14"/>
                <w:szCs w:val="14"/>
                <w:lang w:eastAsia="hu-HU"/>
              </w:rPr>
            </w:pPr>
          </w:p>
        </w:tc>
        <w:tc>
          <w:tcPr>
            <w:tcW w:w="426" w:type="dxa"/>
            <w:tcBorders>
              <w:top w:val="dashed" w:sz="4" w:space="0" w:color="auto"/>
              <w:left w:val="single" w:sz="18" w:space="0" w:color="auto"/>
              <w:bottom w:val="single" w:sz="4" w:space="0" w:color="auto"/>
              <w:right w:val="single" w:sz="4" w:space="0" w:color="auto"/>
            </w:tcBorders>
          </w:tcPr>
          <w:p w14:paraId="45AF2480" w14:textId="77777777" w:rsidR="000E5F59" w:rsidRPr="00094082" w:rsidRDefault="000E5F59" w:rsidP="00094082">
            <w:pPr>
              <w:keepNext/>
              <w:keepLines/>
              <w:spacing w:after="0" w:line="240" w:lineRule="auto"/>
              <w:ind w:left="-57" w:right="-57"/>
              <w:jc w:val="center"/>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1</w:t>
            </w:r>
          </w:p>
        </w:tc>
        <w:tc>
          <w:tcPr>
            <w:tcW w:w="425" w:type="dxa"/>
            <w:tcBorders>
              <w:top w:val="dashed" w:sz="4" w:space="0" w:color="auto"/>
              <w:left w:val="single" w:sz="4" w:space="0" w:color="auto"/>
              <w:bottom w:val="single" w:sz="4" w:space="0" w:color="auto"/>
              <w:right w:val="single" w:sz="4" w:space="0" w:color="auto"/>
            </w:tcBorders>
          </w:tcPr>
          <w:p w14:paraId="6B180B54" w14:textId="77777777" w:rsidR="000E5F59" w:rsidRPr="00094082" w:rsidDel="008A5256" w:rsidRDefault="000E5F59" w:rsidP="00094082">
            <w:pPr>
              <w:keepNext/>
              <w:keepLines/>
              <w:spacing w:after="0" w:line="240" w:lineRule="auto"/>
              <w:ind w:left="-57" w:right="-57"/>
              <w:jc w:val="center"/>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K</w:t>
            </w:r>
          </w:p>
        </w:tc>
        <w:tc>
          <w:tcPr>
            <w:tcW w:w="2127" w:type="dxa"/>
            <w:tcBorders>
              <w:top w:val="dashed" w:sz="4" w:space="0" w:color="auto"/>
              <w:left w:val="single" w:sz="4" w:space="0" w:color="auto"/>
              <w:bottom w:val="single" w:sz="4" w:space="0" w:color="auto"/>
              <w:right w:val="single" w:sz="18" w:space="0" w:color="auto"/>
            </w:tcBorders>
          </w:tcPr>
          <w:p w14:paraId="147784A3" w14:textId="77777777" w:rsidR="000E5F59" w:rsidRPr="00094082" w:rsidRDefault="000E5F59" w:rsidP="00094082">
            <w:pPr>
              <w:spacing w:after="0" w:line="240" w:lineRule="auto"/>
              <w:ind w:left="130" w:right="-40" w:hanging="170"/>
              <w:jc w:val="left"/>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FWA</w:t>
            </w:r>
          </w:p>
        </w:tc>
        <w:tc>
          <w:tcPr>
            <w:tcW w:w="1560" w:type="dxa"/>
            <w:tcBorders>
              <w:top w:val="dashed" w:sz="4" w:space="0" w:color="auto"/>
              <w:left w:val="single" w:sz="18" w:space="0" w:color="auto"/>
              <w:bottom w:val="single" w:sz="4" w:space="0" w:color="auto"/>
              <w:right w:val="single" w:sz="4" w:space="0" w:color="auto"/>
            </w:tcBorders>
          </w:tcPr>
          <w:p w14:paraId="48282314" w14:textId="77777777" w:rsidR="000E5F59" w:rsidRPr="00094082" w:rsidRDefault="000E5F59" w:rsidP="00094082">
            <w:pPr>
              <w:spacing w:after="0" w:line="240" w:lineRule="auto"/>
              <w:ind w:left="130" w:right="-40" w:hanging="170"/>
              <w:jc w:val="left"/>
              <w:rPr>
                <w:rFonts w:ascii="Arial" w:eastAsia="Times New Roman" w:hAnsi="Arial" w:cs="Arial"/>
                <w:color w:val="000000"/>
                <w:sz w:val="14"/>
                <w:szCs w:val="14"/>
                <w:lang w:eastAsia="hu-HU"/>
              </w:rPr>
            </w:pPr>
          </w:p>
        </w:tc>
        <w:tc>
          <w:tcPr>
            <w:tcW w:w="2410" w:type="dxa"/>
            <w:tcBorders>
              <w:top w:val="dashed" w:sz="4" w:space="0" w:color="auto"/>
              <w:left w:val="single" w:sz="4" w:space="0" w:color="auto"/>
              <w:bottom w:val="single" w:sz="4" w:space="0" w:color="auto"/>
              <w:right w:val="single" w:sz="18" w:space="0" w:color="auto"/>
            </w:tcBorders>
          </w:tcPr>
          <w:p w14:paraId="46D68324" w14:textId="77777777" w:rsidR="000E5F59" w:rsidRPr="00094082" w:rsidRDefault="000E5F59" w:rsidP="00094082">
            <w:pPr>
              <w:tabs>
                <w:tab w:val="left" w:pos="170"/>
              </w:tabs>
              <w:spacing w:after="0" w:line="240" w:lineRule="auto"/>
              <w:ind w:left="130" w:right="-40" w:hanging="170"/>
              <w:jc w:val="left"/>
              <w:rPr>
                <w:rFonts w:ascii="Arial" w:eastAsia="Times New Roman" w:hAnsi="Arial" w:cs="Arial"/>
                <w:color w:val="000000"/>
                <w:sz w:val="14"/>
                <w:szCs w:val="14"/>
                <w:lang w:eastAsia="hu-HU"/>
              </w:rPr>
            </w:pPr>
          </w:p>
        </w:tc>
      </w:tr>
      <w:tr w:rsidR="000E5F59" w:rsidRPr="00094082" w14:paraId="733BA43C" w14:textId="77777777" w:rsidTr="000E5F59">
        <w:trPr>
          <w:cantSplit/>
        </w:trPr>
        <w:tc>
          <w:tcPr>
            <w:tcW w:w="1700" w:type="dxa"/>
            <w:tcBorders>
              <w:top w:val="single" w:sz="4" w:space="0" w:color="auto"/>
              <w:left w:val="single" w:sz="18" w:space="0" w:color="auto"/>
              <w:bottom w:val="single" w:sz="18" w:space="0" w:color="auto"/>
              <w:right w:val="single" w:sz="4" w:space="0" w:color="auto"/>
            </w:tcBorders>
          </w:tcPr>
          <w:p w14:paraId="28A1F10D" w14:textId="77777777" w:rsidR="000E5F59" w:rsidRPr="00094082" w:rsidRDefault="000E5F59" w:rsidP="00094082">
            <w:pPr>
              <w:spacing w:after="0" w:line="240" w:lineRule="auto"/>
              <w:ind w:left="130" w:right="-57" w:hanging="170"/>
              <w:jc w:val="left"/>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RÁDIÓNAVIGÁCIÓ</w:t>
            </w:r>
          </w:p>
        </w:tc>
        <w:tc>
          <w:tcPr>
            <w:tcW w:w="708" w:type="dxa"/>
            <w:tcBorders>
              <w:top w:val="single" w:sz="4" w:space="0" w:color="auto"/>
              <w:left w:val="single" w:sz="4" w:space="0" w:color="auto"/>
              <w:bottom w:val="single" w:sz="18" w:space="0" w:color="auto"/>
              <w:right w:val="single" w:sz="4" w:space="0" w:color="auto"/>
            </w:tcBorders>
          </w:tcPr>
          <w:p w14:paraId="67A946E7" w14:textId="77777777" w:rsidR="000E5F59" w:rsidRPr="00094082" w:rsidRDefault="000E5F59" w:rsidP="00094082">
            <w:pPr>
              <w:keepNext/>
              <w:keepLines/>
              <w:spacing w:after="0" w:line="240" w:lineRule="auto"/>
              <w:ind w:left="-57" w:right="-57"/>
              <w:jc w:val="center"/>
              <w:rPr>
                <w:rFonts w:ascii="Arial" w:eastAsia="Times New Roman" w:hAnsi="Arial" w:cs="Arial"/>
                <w:color w:val="000000"/>
                <w:sz w:val="14"/>
                <w:szCs w:val="14"/>
                <w:lang w:eastAsia="hu-HU"/>
              </w:rPr>
            </w:pPr>
          </w:p>
        </w:tc>
        <w:tc>
          <w:tcPr>
            <w:tcW w:w="425" w:type="dxa"/>
            <w:tcBorders>
              <w:top w:val="single" w:sz="4" w:space="0" w:color="auto"/>
              <w:left w:val="single" w:sz="4" w:space="0" w:color="auto"/>
              <w:bottom w:val="single" w:sz="18" w:space="0" w:color="auto"/>
              <w:right w:val="single" w:sz="18" w:space="0" w:color="auto"/>
            </w:tcBorders>
          </w:tcPr>
          <w:p w14:paraId="6411FB2F" w14:textId="77777777" w:rsidR="000E5F59" w:rsidRPr="00094082" w:rsidRDefault="000E5F59" w:rsidP="00094082">
            <w:pPr>
              <w:keepNext/>
              <w:keepLines/>
              <w:spacing w:after="0" w:line="240" w:lineRule="auto"/>
              <w:ind w:left="-57" w:right="-57"/>
              <w:jc w:val="center"/>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E</w:t>
            </w:r>
          </w:p>
        </w:tc>
        <w:tc>
          <w:tcPr>
            <w:tcW w:w="426" w:type="dxa"/>
            <w:tcBorders>
              <w:top w:val="single" w:sz="4" w:space="0" w:color="auto"/>
              <w:left w:val="single" w:sz="18" w:space="0" w:color="auto"/>
              <w:bottom w:val="single" w:sz="18" w:space="0" w:color="auto"/>
              <w:right w:val="single" w:sz="4" w:space="0" w:color="auto"/>
            </w:tcBorders>
          </w:tcPr>
          <w:p w14:paraId="20DE302A" w14:textId="77777777" w:rsidR="000E5F59" w:rsidRPr="00094082" w:rsidRDefault="000E5F59" w:rsidP="00094082">
            <w:pPr>
              <w:keepNext/>
              <w:keepLines/>
              <w:spacing w:after="0" w:line="240" w:lineRule="auto"/>
              <w:ind w:left="-57" w:right="-57"/>
              <w:jc w:val="center"/>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1</w:t>
            </w:r>
          </w:p>
        </w:tc>
        <w:tc>
          <w:tcPr>
            <w:tcW w:w="425" w:type="dxa"/>
            <w:tcBorders>
              <w:top w:val="single" w:sz="4" w:space="0" w:color="auto"/>
              <w:left w:val="single" w:sz="4" w:space="0" w:color="auto"/>
              <w:bottom w:val="single" w:sz="18" w:space="0" w:color="auto"/>
              <w:right w:val="single" w:sz="4" w:space="0" w:color="auto"/>
            </w:tcBorders>
          </w:tcPr>
          <w:p w14:paraId="06EA78ED" w14:textId="77777777" w:rsidR="000E5F59" w:rsidRPr="00094082" w:rsidRDefault="000E5F59" w:rsidP="00094082">
            <w:pPr>
              <w:keepNext/>
              <w:keepLines/>
              <w:spacing w:after="0" w:line="240" w:lineRule="auto"/>
              <w:ind w:left="-57" w:right="-57"/>
              <w:jc w:val="center"/>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K</w:t>
            </w:r>
          </w:p>
        </w:tc>
        <w:tc>
          <w:tcPr>
            <w:tcW w:w="2127" w:type="dxa"/>
            <w:tcBorders>
              <w:top w:val="single" w:sz="4" w:space="0" w:color="auto"/>
              <w:left w:val="single" w:sz="4" w:space="0" w:color="auto"/>
              <w:bottom w:val="single" w:sz="18" w:space="0" w:color="auto"/>
              <w:right w:val="single" w:sz="18" w:space="0" w:color="auto"/>
            </w:tcBorders>
          </w:tcPr>
          <w:p w14:paraId="6C2DE261" w14:textId="77777777" w:rsidR="000E5F59" w:rsidRPr="00094082" w:rsidRDefault="000E5F59" w:rsidP="00094082">
            <w:pPr>
              <w:spacing w:after="0" w:line="240" w:lineRule="auto"/>
              <w:ind w:left="130" w:right="-40" w:hanging="170"/>
              <w:jc w:val="left"/>
              <w:rPr>
                <w:rFonts w:ascii="Arial" w:eastAsia="Times New Roman" w:hAnsi="Arial" w:cs="Arial"/>
                <w:color w:val="000000"/>
                <w:sz w:val="14"/>
                <w:szCs w:val="14"/>
                <w:lang w:eastAsia="hu-HU"/>
              </w:rPr>
            </w:pPr>
            <w:r w:rsidRPr="00094082">
              <w:rPr>
                <w:rFonts w:ascii="Arial" w:eastAsia="Times New Roman" w:hAnsi="Arial" w:cs="Arial"/>
                <w:color w:val="000000"/>
                <w:sz w:val="14"/>
                <w:szCs w:val="14"/>
                <w:lang w:eastAsia="hu-HU"/>
              </w:rPr>
              <w:t>Gurítóradarok</w:t>
            </w:r>
          </w:p>
        </w:tc>
        <w:tc>
          <w:tcPr>
            <w:tcW w:w="1560" w:type="dxa"/>
            <w:tcBorders>
              <w:top w:val="single" w:sz="4" w:space="0" w:color="auto"/>
              <w:left w:val="single" w:sz="18" w:space="0" w:color="auto"/>
              <w:bottom w:val="single" w:sz="18" w:space="0" w:color="auto"/>
              <w:right w:val="single" w:sz="4" w:space="0" w:color="auto"/>
            </w:tcBorders>
          </w:tcPr>
          <w:p w14:paraId="37528B9D" w14:textId="77777777" w:rsidR="000E5F59" w:rsidRPr="00094082" w:rsidRDefault="000E5F59" w:rsidP="00094082">
            <w:pPr>
              <w:spacing w:after="0" w:line="240" w:lineRule="auto"/>
              <w:ind w:left="130" w:right="-40" w:hanging="170"/>
              <w:jc w:val="left"/>
              <w:rPr>
                <w:rFonts w:ascii="Arial" w:eastAsia="Times New Roman" w:hAnsi="Arial" w:cs="Arial"/>
                <w:color w:val="000000"/>
                <w:sz w:val="14"/>
                <w:szCs w:val="14"/>
                <w:lang w:eastAsia="hu-HU"/>
              </w:rPr>
            </w:pPr>
          </w:p>
        </w:tc>
        <w:tc>
          <w:tcPr>
            <w:tcW w:w="2410" w:type="dxa"/>
            <w:tcBorders>
              <w:top w:val="single" w:sz="4" w:space="0" w:color="auto"/>
              <w:left w:val="single" w:sz="4" w:space="0" w:color="auto"/>
              <w:bottom w:val="single" w:sz="18" w:space="0" w:color="auto"/>
              <w:right w:val="single" w:sz="18" w:space="0" w:color="auto"/>
            </w:tcBorders>
          </w:tcPr>
          <w:p w14:paraId="74C2E0EC" w14:textId="77777777" w:rsidR="000E5F59" w:rsidRPr="00094082" w:rsidRDefault="000E5F59" w:rsidP="00094082">
            <w:pPr>
              <w:tabs>
                <w:tab w:val="left" w:pos="170"/>
              </w:tabs>
              <w:spacing w:after="0" w:line="240" w:lineRule="auto"/>
              <w:ind w:left="130" w:right="-40" w:hanging="170"/>
              <w:jc w:val="left"/>
              <w:rPr>
                <w:rFonts w:ascii="Arial" w:eastAsia="Times New Roman" w:hAnsi="Arial" w:cs="Arial"/>
                <w:color w:val="000000"/>
                <w:sz w:val="14"/>
                <w:szCs w:val="14"/>
                <w:lang w:eastAsia="hu-HU"/>
              </w:rPr>
            </w:pPr>
          </w:p>
        </w:tc>
      </w:tr>
    </w:tbl>
    <w:p w14:paraId="6EDE3170" w14:textId="77777777" w:rsidR="00094082" w:rsidRDefault="00094082" w:rsidP="00F54787">
      <w:pPr>
        <w:pStyle w:val="Behzottbekezdsnmhh"/>
      </w:pPr>
    </w:p>
    <w:p w14:paraId="476FA0D2" w14:textId="3EC1A1AD" w:rsidR="00F54787" w:rsidRDefault="00F54787" w:rsidP="00F54787">
      <w:pPr>
        <w:pStyle w:val="Behzottbekezdsnmhh"/>
      </w:pPr>
      <w:r>
        <w:t xml:space="preserve">A 31,8-33,4 GHz </w:t>
      </w:r>
      <w:r w:rsidR="00ED0F55">
        <w:t>frekvencia</w:t>
      </w:r>
      <w:r>
        <w:t>sáv együttes</w:t>
      </w:r>
      <w:r>
        <w:rPr>
          <w:rStyle w:val="Lbjegyzet-hivatkozs"/>
        </w:rPr>
        <w:footnoteReference w:id="12"/>
      </w:r>
      <w:r>
        <w:t xml:space="preserve"> használatú rádiónavigációs szolgálat keretében működő gurítóradarok számára kijelölt elsődleges jelleggel, de jelenleg tényleges használat nincs.</w:t>
      </w:r>
    </w:p>
    <w:p w14:paraId="20797C2C" w14:textId="231CA7A1" w:rsidR="00F54787" w:rsidRDefault="00F54787" w:rsidP="00F54787">
      <w:pPr>
        <w:pStyle w:val="Behzottbekezdsnmhh"/>
      </w:pPr>
      <w:r>
        <w:t xml:space="preserve">A </w:t>
      </w:r>
      <w:r w:rsidR="00E2152A">
        <w:t xml:space="preserve">31,8-33,4 GHz </w:t>
      </w:r>
      <w:r w:rsidR="00CB64C7">
        <w:t>frekvencia</w:t>
      </w:r>
      <w:r>
        <w:t xml:space="preserve">sáv </w:t>
      </w:r>
      <w:r w:rsidR="00640317">
        <w:t xml:space="preserve">továbbá </w:t>
      </w:r>
      <w:r>
        <w:t xml:space="preserve">polgári célú állandóhelyű digitális pont-többpont, valamint állandó telephelyű digitális pont-pont rendszerek számára </w:t>
      </w:r>
      <w:r w:rsidR="00640317">
        <w:t xml:space="preserve">is </w:t>
      </w:r>
      <w:r>
        <w:t xml:space="preserve">elsődleges jelleggel kijelölt. Az állandóhelyű szolgálati alkalmazásokra vonatkozó részletes műszaki szabályok és sávhasználati feltételek </w:t>
      </w:r>
      <w:r w:rsidRPr="00B4682B">
        <w:t>az NFFF 3. mellékletében találhatók.</w:t>
      </w:r>
      <w:r>
        <w:t xml:space="preserve"> A szabályozás a </w:t>
      </w:r>
      <w:r w:rsidR="00A76701">
        <w:t xml:space="preserve">sávelrendezésre és </w:t>
      </w:r>
      <w:r>
        <w:t xml:space="preserve">csatornaosztásra vonatkozó ERC/REC/(01)02 és a </w:t>
      </w:r>
      <w:r w:rsidR="00CB64C7">
        <w:t>blokk-</w:t>
      </w:r>
      <w:r w:rsidR="00C56362">
        <w:t xml:space="preserve">képzésre </w:t>
      </w:r>
      <w:r>
        <w:t xml:space="preserve">vonatkozó ECC/REC/(11)01 </w:t>
      </w:r>
      <w:r w:rsidR="00A2728D">
        <w:t>A</w:t>
      </w:r>
      <w:r>
        <w:t xml:space="preserve">jánlásokon, valamint a 26 GHz-es </w:t>
      </w:r>
      <w:r w:rsidR="00CB64C7">
        <w:t>frekvencia</w:t>
      </w:r>
      <w:r>
        <w:t>sávra vonatkozó specifikus szabályok</w:t>
      </w:r>
      <w:r w:rsidR="00C56362">
        <w:t xml:space="preserve">on alapszik. </w:t>
      </w:r>
      <w:r w:rsidR="00CB64C7">
        <w:t>A sáv</w:t>
      </w:r>
      <w:r>
        <w:t xml:space="preserve">elrendezés és alapblokkok meghatározásakor az ERC/REC/(01)02 </w:t>
      </w:r>
      <w:r w:rsidR="00A2728D">
        <w:t>A</w:t>
      </w:r>
      <w:r>
        <w:t xml:space="preserve">jánlásban megadott </w:t>
      </w:r>
      <w:r w:rsidR="00A76701">
        <w:t xml:space="preserve">sáv- és </w:t>
      </w:r>
      <w:r>
        <w:t xml:space="preserve">csatornaelrendezési sémák közül </w:t>
      </w:r>
      <w:r w:rsidR="00A2728D">
        <w:t xml:space="preserve">az NMHH </w:t>
      </w:r>
      <w:r>
        <w:t>az a) és b) esetet vett</w:t>
      </w:r>
      <w:r w:rsidR="00A2728D">
        <w:t>e</w:t>
      </w:r>
      <w:r>
        <w:t xml:space="preserve"> alapul, figyelembe véve a nagyobb sávszélességű csatornák has</w:t>
      </w:r>
      <w:r w:rsidR="00640317">
        <w:t>ználatának nagy valószínűségét.</w:t>
      </w:r>
    </w:p>
    <w:p w14:paraId="6F9D5C54" w14:textId="77777777" w:rsidR="00F54787" w:rsidRDefault="00F54787" w:rsidP="00F54787">
      <w:pPr>
        <w:pStyle w:val="Behzottbekezdsnmhh"/>
      </w:pPr>
      <w:r>
        <w:t xml:space="preserve">Ezen kívül a 31,8-32,3 GHz sávrész elsődleges jelleggel tervezett polgári célú űrkutatási rendszerek általi használatra (távoli űr, űr-Föld irány). </w:t>
      </w:r>
    </w:p>
    <w:p w14:paraId="65395DF5" w14:textId="247F9C1A" w:rsidR="00F54787" w:rsidRDefault="00F54787" w:rsidP="00F54787">
      <w:pPr>
        <w:pStyle w:val="Behzottbekezdsnmhh"/>
      </w:pPr>
      <w:r w:rsidRPr="00CB64C7">
        <w:t xml:space="preserve">A </w:t>
      </w:r>
      <w:r w:rsidR="00CB64C7" w:rsidRPr="00CB64C7">
        <w:t xml:space="preserve">teljes 31,8-33,4 GHz frekvenciasáv </w:t>
      </w:r>
      <w:r w:rsidRPr="00CB64C7">
        <w:t xml:space="preserve">jelenleg </w:t>
      </w:r>
      <w:r w:rsidR="00A2728D">
        <w:t xml:space="preserve">üres, </w:t>
      </w:r>
      <w:r w:rsidRPr="00CB64C7">
        <w:t xml:space="preserve">nincs semmilyen típusú alkalmazásra kiadott engedély. </w:t>
      </w:r>
    </w:p>
    <w:p w14:paraId="64D65FE9" w14:textId="77777777" w:rsidR="00F54787" w:rsidRDefault="00F54787" w:rsidP="00F54787">
      <w:pPr>
        <w:spacing w:after="200"/>
        <w:jc w:val="left"/>
        <w:rPr>
          <w:sz w:val="20"/>
          <w:szCs w:val="20"/>
        </w:rPr>
      </w:pPr>
      <w:r>
        <w:br w:type="page"/>
      </w:r>
    </w:p>
    <w:p w14:paraId="3861E69D" w14:textId="3190A204" w:rsidR="00C56362" w:rsidRPr="0069015A" w:rsidRDefault="006D5933" w:rsidP="00C56362">
      <w:pPr>
        <w:pStyle w:val="Cmsor1szmozottnmhh"/>
        <w:pageBreakBefore w:val="0"/>
        <w:ind w:left="431" w:hanging="431"/>
      </w:pPr>
      <w:bookmarkStart w:id="32" w:name="_Toc82171064"/>
      <w:bookmarkStart w:id="33" w:name="_Toc89185031"/>
      <w:bookmarkStart w:id="34" w:name="_Toc96075640"/>
      <w:r>
        <w:lastRenderedPageBreak/>
        <w:t xml:space="preserve">Nemzeti szabályozási tervek </w:t>
      </w:r>
      <w:r w:rsidR="00C56362" w:rsidRPr="0069015A">
        <w:t>a 32 GHz</w:t>
      </w:r>
      <w:r>
        <w:t>-es</w:t>
      </w:r>
      <w:r w:rsidR="00C56362" w:rsidRPr="0069015A">
        <w:t xml:space="preserve"> </w:t>
      </w:r>
      <w:r w:rsidR="00DF06F9">
        <w:t>frekvencia</w:t>
      </w:r>
      <w:r w:rsidR="00C56362" w:rsidRPr="0069015A">
        <w:t>sávban</w:t>
      </w:r>
      <w:bookmarkEnd w:id="32"/>
      <w:bookmarkEnd w:id="33"/>
      <w:bookmarkEnd w:id="34"/>
    </w:p>
    <w:p w14:paraId="1ED8D819" w14:textId="25C96C29" w:rsidR="00C56362" w:rsidRDefault="00C56362" w:rsidP="00C56362">
      <w:pPr>
        <w:pStyle w:val="Behzottbekezdsnmhh"/>
      </w:pPr>
      <w:r>
        <w:t xml:space="preserve">A 32 GHz-es </w:t>
      </w:r>
      <w:r w:rsidR="00E922D9">
        <w:t>frekvencia</w:t>
      </w:r>
      <w:r>
        <w:t xml:space="preserve">sáv állandóhelyű pont-pont és pont-többpont rendszerek számára az </w:t>
      </w:r>
      <w:r w:rsidRPr="0006796B">
        <w:t>ERC/REC/(01)02</w:t>
      </w:r>
      <w:r>
        <w:t xml:space="preserve"> </w:t>
      </w:r>
      <w:r w:rsidR="00B55DEA">
        <w:t>A</w:t>
      </w:r>
      <w:r>
        <w:t>jánlás alapján 2020-ban</w:t>
      </w:r>
      <w:r w:rsidR="00C673FF">
        <w:t xml:space="preserve"> lett kijelölt</w:t>
      </w:r>
      <w:r w:rsidR="00B55DEA">
        <w:t>,</w:t>
      </w:r>
      <w:r>
        <w:t xml:space="preserve"> </w:t>
      </w:r>
      <w:r w:rsidR="00B55DEA">
        <w:t>e</w:t>
      </w:r>
      <w:r>
        <w:t xml:space="preserve">lőtte tervezett alkalmazásként szerepelt az NFFF-ben. Már korábban is lehetőség lett volna a </w:t>
      </w:r>
      <w:r w:rsidR="00E922D9">
        <w:t>frekvencia</w:t>
      </w:r>
      <w:r>
        <w:t>sáv használatára, de piaci igény</w:t>
      </w:r>
      <w:r w:rsidR="00C673FF">
        <w:t xml:space="preserve"> hiányában</w:t>
      </w:r>
      <w:r>
        <w:t xml:space="preserve"> nem került kijelölésre. 2020</w:t>
      </w:r>
      <w:r w:rsidR="00C673FF">
        <w:t>-ban lett kijelölt</w:t>
      </w:r>
      <w:r>
        <w:t xml:space="preserve">, valamint </w:t>
      </w:r>
      <w:r w:rsidR="00625FA4">
        <w:t xml:space="preserve">ekkor került meghatározásra </w:t>
      </w:r>
      <w:r>
        <w:t xml:space="preserve">a </w:t>
      </w:r>
      <w:r w:rsidR="00C673FF">
        <w:t>rádióspektrum</w:t>
      </w:r>
      <w:r>
        <w:t xml:space="preserve">gazdálkodási </w:t>
      </w:r>
      <w:r w:rsidR="00731308">
        <w:t xml:space="preserve">követelmények </w:t>
      </w:r>
      <w:r>
        <w:t xml:space="preserve">és sávhasználati feltételek </w:t>
      </w:r>
      <w:r w:rsidR="00731308">
        <w:t xml:space="preserve">egy része is. A sávhasználattal kapcsolatos </w:t>
      </w:r>
      <w:r w:rsidR="000C188C">
        <w:t xml:space="preserve">további </w:t>
      </w:r>
      <w:r w:rsidR="00731308">
        <w:t xml:space="preserve">feltételek a </w:t>
      </w:r>
      <w:r w:rsidR="00005917">
        <w:rPr>
          <w:color w:val="000000"/>
          <w:shd w:val="clear" w:color="auto" w:fill="FFFFFF"/>
        </w:rPr>
        <w:t>műszaki notifikácós eljárás alatt levő NFFF módosítás tervezetében</w:t>
      </w:r>
      <w:r w:rsidR="00731308">
        <w:t xml:space="preserve"> szerepel</w:t>
      </w:r>
      <w:r w:rsidR="00570353">
        <w:t>nek</w:t>
      </w:r>
      <w:r w:rsidR="00731308">
        <w:t>, ami</w:t>
      </w:r>
      <w:r w:rsidR="00C673FF">
        <w:t xml:space="preserve"> </w:t>
      </w:r>
      <w:r w:rsidR="00FA6ABC">
        <w:t xml:space="preserve">a </w:t>
      </w:r>
      <w:r w:rsidR="00C673FF">
        <w:t xml:space="preserve">tervek szerint még 2022 tavaszán </w:t>
      </w:r>
      <w:r w:rsidR="00FA6ABC">
        <w:t>kerül kihirdetésre</w:t>
      </w:r>
      <w:r w:rsidR="00731308">
        <w:t>.</w:t>
      </w:r>
    </w:p>
    <w:p w14:paraId="0748C25A" w14:textId="0A0610AB" w:rsidR="006D5933" w:rsidRDefault="006D5933" w:rsidP="00005917">
      <w:pPr>
        <w:pStyle w:val="Cmsor2szmozottnmhh"/>
        <w:ind w:left="578" w:hanging="578"/>
      </w:pPr>
      <w:bookmarkStart w:id="35" w:name="_Toc96075641"/>
      <w:r>
        <w:t>Műszaki szabályozási megfontolások</w:t>
      </w:r>
      <w:bookmarkEnd w:id="35"/>
    </w:p>
    <w:p w14:paraId="7FE7005C" w14:textId="21EE274E" w:rsidR="00C56362" w:rsidRDefault="001A3BDC" w:rsidP="00005917">
      <w:pPr>
        <w:pStyle w:val="Cmsor3szmozottnmhh"/>
        <w:ind w:left="1287"/>
      </w:pPr>
      <w:bookmarkStart w:id="36" w:name="_Toc82171065"/>
      <w:bookmarkStart w:id="37" w:name="_Toc89185032"/>
      <w:bookmarkStart w:id="38" w:name="_Toc96075642"/>
      <w:r>
        <w:t>Sáv- és c</w:t>
      </w:r>
      <w:r w:rsidR="00C56362">
        <w:t>satornaelrendezés</w:t>
      </w:r>
      <w:bookmarkEnd w:id="36"/>
      <w:bookmarkEnd w:id="37"/>
      <w:bookmarkEnd w:id="38"/>
    </w:p>
    <w:p w14:paraId="5C05BBFC" w14:textId="426F8540" w:rsidR="00C56362" w:rsidRDefault="00C56362" w:rsidP="00C56362">
      <w:pPr>
        <w:pStyle w:val="Behzottbekezdsnmhh"/>
      </w:pPr>
      <w:r>
        <w:t xml:space="preserve">A CEPT </w:t>
      </w:r>
      <w:r w:rsidR="00C673FF">
        <w:t>által meghatározott</w:t>
      </w:r>
      <w:r w:rsidR="00345EC7">
        <w:t xml:space="preserve"> </w:t>
      </w:r>
      <w:r>
        <w:t>műszaki feltételeket</w:t>
      </w:r>
      <w:r w:rsidR="001A3BDC">
        <w:t>, valamint</w:t>
      </w:r>
      <w:r>
        <w:t xml:space="preserve"> </w:t>
      </w:r>
      <w:r w:rsidR="001A3BDC">
        <w:t xml:space="preserve">a sáv- </w:t>
      </w:r>
      <w:r>
        <w:t xml:space="preserve">és csatornaelrendezésre vonatkozó szabályok az ERC/REC/(01)02 </w:t>
      </w:r>
      <w:r w:rsidR="00ED61BE">
        <w:t>A</w:t>
      </w:r>
      <w:r>
        <w:t>jánlás</w:t>
      </w:r>
      <w:r w:rsidR="00A63D8C">
        <w:t>ban</w:t>
      </w:r>
      <w:r>
        <w:t xml:space="preserve"> </w:t>
      </w:r>
      <w:r w:rsidR="00A63D8C">
        <w:t>ismerhetők meg</w:t>
      </w:r>
      <w:r>
        <w:t xml:space="preserve">. Alapvetően </w:t>
      </w:r>
      <w:r w:rsidR="00A96019">
        <w:t xml:space="preserve">legalább </w:t>
      </w:r>
      <w:r>
        <w:t>28 MHz</w:t>
      </w:r>
      <w:r w:rsidR="00A96019">
        <w:t xml:space="preserve">-es, </w:t>
      </w:r>
      <w:r w:rsidR="00072109">
        <w:t>vagy e</w:t>
      </w:r>
      <w:r>
        <w:t>nn</w:t>
      </w:r>
      <w:r w:rsidR="00072109">
        <w:t>é</w:t>
      </w:r>
      <w:r>
        <w:t xml:space="preserve">l nagyobb sávszélességű csatornák használata </w:t>
      </w:r>
      <w:r w:rsidR="00A63D8C">
        <w:t>lehetséges</w:t>
      </w:r>
      <w:r>
        <w:t xml:space="preserve">, ezért a </w:t>
      </w:r>
      <w:r w:rsidR="00072109">
        <w:t xml:space="preserve">hazai </w:t>
      </w:r>
      <w:r w:rsidR="00A96019">
        <w:t xml:space="preserve">sávelrendezés </w:t>
      </w:r>
      <w:r w:rsidR="00072109">
        <w:t xml:space="preserve">kialakítása </w:t>
      </w:r>
      <w:r>
        <w:t>az 56 MHz és annál nagyobb</w:t>
      </w:r>
      <w:r w:rsidR="00345EC7">
        <w:t xml:space="preserve"> sávszélességű</w:t>
      </w:r>
      <w:r>
        <w:t xml:space="preserve"> csatornákra meghatározott </w:t>
      </w:r>
      <w:r w:rsidR="00A96019">
        <w:t>sávelrendezés</w:t>
      </w:r>
      <w:r w:rsidR="00072109">
        <w:t xml:space="preserve">en alapul, </w:t>
      </w:r>
      <w:r>
        <w:t>különös tekintettel arra</w:t>
      </w:r>
      <w:r w:rsidR="000C188C">
        <w:t xml:space="preserve"> is</w:t>
      </w:r>
      <w:r>
        <w:t xml:space="preserve">, hogy a kisebb sávszélességű csatornákra meghatározott elrendezés esetében túl keskeny az alsó és felső védősáv, valamint a duplex rés (lásd: 3.1.2.1. ábra c)-f) pontok). A mobilhálózatokban működő bázisállomások megnövekedett adatforgalma miatt nagykapacitású felhordóhálózati összeköttetések alkalmazása válik szükségessé. A 26 GHz-es </w:t>
      </w:r>
      <w:r w:rsidR="003E0C77">
        <w:t>frekvencia</w:t>
      </w:r>
      <w:r>
        <w:t xml:space="preserve">sávhoz hasonlóan a 32 GHz-es </w:t>
      </w:r>
      <w:r w:rsidR="003E0C77">
        <w:t>frekvencia</w:t>
      </w:r>
      <w:r>
        <w:t>sávban is nagyszámú felhordóhálózati összeköttetés létesítése várható. A megnövekedett adatforgalmi igények kielégítése céljára használt gigabites linkek esetén 112 MHz</w:t>
      </w:r>
      <w:r w:rsidR="00460F43">
        <w:t xml:space="preserve"> sávszélességű </w:t>
      </w:r>
      <w:r>
        <w:t xml:space="preserve">(4 alapblokknyi) csatornák használata várható. A 3.1.2.1. ábra c)-f) pontjában látható </w:t>
      </w:r>
      <w:r w:rsidR="00807C5F">
        <w:t xml:space="preserve">sáv- és </w:t>
      </w:r>
      <w:r>
        <w:t>csatornaelrendezés alkalmazása esetén a sávhatár közelében használt nagyobb sávszélességű csatornák használata</w:t>
      </w:r>
      <w:r w:rsidR="00D82DD2">
        <w:t>kor az</w:t>
      </w:r>
      <w:r>
        <w:t xml:space="preserve"> interferencia előfordulásának esélye megnövekszik a duplex rés nem elégséges mérete miatt, valamint a sávon kívüli sugárzás is </w:t>
      </w:r>
      <w:r w:rsidR="00D82DD2">
        <w:t>problémát</w:t>
      </w:r>
      <w:r>
        <w:t xml:space="preserve"> okozhat. </w:t>
      </w:r>
      <w:r w:rsidR="00DA5D72">
        <w:t>A fentiek alapján a hazai szabályozás kialakítása a</w:t>
      </w:r>
      <w:r>
        <w:t xml:space="preserve"> 3.1.2.1 ábra a) és b) pontjában látható elrendezés</w:t>
      </w:r>
      <w:r w:rsidR="00DA5D72">
        <w:t>en alapul</w:t>
      </w:r>
      <w:r w:rsidR="009108A6">
        <w:t>, a</w:t>
      </w:r>
      <w:r w:rsidR="00DA5D72">
        <w:t xml:space="preserve"> sávátrendezést szemléltető</w:t>
      </w:r>
      <w:r w:rsidR="009108A6">
        <w:t xml:space="preserve"> ábrát a </w:t>
      </w:r>
      <w:r w:rsidR="00CE5B7D">
        <w:t>Melléklet</w:t>
      </w:r>
      <w:r w:rsidR="009108A6">
        <w:t xml:space="preserve"> tartalmazza. </w:t>
      </w:r>
    </w:p>
    <w:p w14:paraId="6309A868" w14:textId="4B57B161" w:rsidR="00C56362" w:rsidRDefault="00C56362" w:rsidP="00C56362">
      <w:pPr>
        <w:pStyle w:val="Behzottbekezdsnmhh"/>
      </w:pPr>
      <w:r>
        <w:t xml:space="preserve">A jelenlegi nemzetközi szabályozás alapján lehetőség van 56 MHz </w:t>
      </w:r>
      <w:r w:rsidR="00460F43">
        <w:t xml:space="preserve">sávszélességű </w:t>
      </w:r>
      <w:r>
        <w:t xml:space="preserve">csatornákon kívül 112 MHz és 224 MHz </w:t>
      </w:r>
      <w:r w:rsidR="00460F43">
        <w:t xml:space="preserve">sávszélességű </w:t>
      </w:r>
      <w:r>
        <w:t>csatornák</w:t>
      </w:r>
      <w:r w:rsidR="009108A6">
        <w:t xml:space="preserve"> használatára </w:t>
      </w:r>
      <w:r>
        <w:t xml:space="preserve">(lásd: 3.1.2.2. ábrán). </w:t>
      </w:r>
      <w:r w:rsidR="00460F43">
        <w:t xml:space="preserve">Blokkgazdálkodás esetén figyelembe kell venni, hogy a frekvenciasávban rendelkezésre álló elosztható spektrum mennyisége </w:t>
      </w:r>
      <w:r w:rsidR="00C95B1A">
        <w:t xml:space="preserve">korlátos </w:t>
      </w:r>
      <w:r w:rsidR="00460F43">
        <w:t xml:space="preserve">és </w:t>
      </w:r>
      <w:r w:rsidR="00C95B1A">
        <w:t xml:space="preserve">a várható </w:t>
      </w:r>
      <w:r w:rsidR="00460F43">
        <w:t>szolgáltatói igények</w:t>
      </w:r>
      <w:r w:rsidR="00C95B1A">
        <w:t xml:space="preserve"> alapján meghatározott</w:t>
      </w:r>
      <w:r w:rsidR="00460F43">
        <w:t xml:space="preserve"> felhasználói blokkok méret</w:t>
      </w:r>
      <w:r w:rsidR="00C95B1A">
        <w:t xml:space="preserve">ének felső korlátja megszabja a használható csatornasávszélesség </w:t>
      </w:r>
      <w:r w:rsidR="00E779E6">
        <w:t>m</w:t>
      </w:r>
      <w:r w:rsidR="00C95B1A">
        <w:t>értékét. Emellett azt is érdemes figyelembe venni, hogy a frekvenciasávban megszerzett rádióspektrum-használati jogosultág területi kiterjedése alapvetően országos,</w:t>
      </w:r>
      <w:r>
        <w:t xml:space="preserve"> az átfedő </w:t>
      </w:r>
      <w:r w:rsidR="00460F43">
        <w:t xml:space="preserve">224 MHz sávszélességű </w:t>
      </w:r>
      <w:r>
        <w:t xml:space="preserve">csatornák </w:t>
      </w:r>
      <w:r w:rsidR="00C95B1A">
        <w:t xml:space="preserve">pedig adott esetben </w:t>
      </w:r>
      <w:r>
        <w:t xml:space="preserve">csak földrajzi </w:t>
      </w:r>
      <w:r w:rsidR="009074D9">
        <w:t xml:space="preserve">elkülönítés </w:t>
      </w:r>
      <w:r>
        <w:t>esetén használhatók</w:t>
      </w:r>
      <w:r w:rsidR="00066373">
        <w:t>, ezért a hazai szabályozás szerint</w:t>
      </w:r>
      <w:r>
        <w:t xml:space="preserve"> 112 MHz-es maximális </w:t>
      </w:r>
      <w:r w:rsidR="00460F43">
        <w:t>csatornasávszélesség</w:t>
      </w:r>
      <w:r w:rsidR="00DA5D72">
        <w:t xml:space="preserve"> alkalmazható (NFFF 3. mellékletének 2.5. pontja)</w:t>
      </w:r>
      <w:r>
        <w:t xml:space="preserve">. </w:t>
      </w:r>
    </w:p>
    <w:p w14:paraId="048E9346" w14:textId="5BF0B63F" w:rsidR="00C56362" w:rsidRDefault="00C56362" w:rsidP="00C95B1A">
      <w:pPr>
        <w:pStyle w:val="Cmsor3szmozottnmhh"/>
        <w:ind w:left="1287"/>
      </w:pPr>
      <w:bookmarkStart w:id="39" w:name="_Toc82171066"/>
      <w:bookmarkStart w:id="40" w:name="_Toc89185033"/>
      <w:bookmarkStart w:id="41" w:name="_Toc96075643"/>
      <w:r>
        <w:t>Felhasználói blokkokra és a szomszédblokkos interferencia kezelésére vonatkozó megfontolások</w:t>
      </w:r>
      <w:bookmarkEnd w:id="39"/>
      <w:bookmarkEnd w:id="40"/>
      <w:bookmarkEnd w:id="41"/>
    </w:p>
    <w:p w14:paraId="23AC4B5D" w14:textId="7F682568" w:rsidR="003E0C77" w:rsidRDefault="003E0C77" w:rsidP="003E0C77">
      <w:pPr>
        <w:pStyle w:val="Behzottbekezdsnmhh"/>
      </w:pPr>
      <w:r>
        <w:t xml:space="preserve">Az NFFF 3. mellékletének 2.13. </w:t>
      </w:r>
      <w:r w:rsidR="00AF67E4">
        <w:t>pontja tartalmazza</w:t>
      </w:r>
      <w:r w:rsidR="001F448D">
        <w:t xml:space="preserve"> </w:t>
      </w:r>
      <w:r>
        <w:t xml:space="preserve">a 32 GHz-es frekvenciasáv használatára vonatkozó műszaki és </w:t>
      </w:r>
      <w:r w:rsidR="001F448D">
        <w:t xml:space="preserve">frekvenciagazdálkodási </w:t>
      </w:r>
      <w:r>
        <w:t>feltételeket</w:t>
      </w:r>
      <w:r w:rsidR="00AF67E4">
        <w:t>.</w:t>
      </w:r>
    </w:p>
    <w:p w14:paraId="23D3E556" w14:textId="41E76626" w:rsidR="003E0C77" w:rsidRDefault="003E0C77" w:rsidP="003E0C77">
      <w:pPr>
        <w:pStyle w:val="Behzottbekezdsnmhh"/>
      </w:pPr>
      <w:r>
        <w:t xml:space="preserve">Az </w:t>
      </w:r>
      <w:r w:rsidR="00491185">
        <w:t xml:space="preserve">ECC/REC/(11)01 </w:t>
      </w:r>
      <w:r w:rsidR="00ED61BE">
        <w:t>A</w:t>
      </w:r>
      <w:r w:rsidRPr="002035CF">
        <w:t>jánlás</w:t>
      </w:r>
      <w:r>
        <w:t xml:space="preserve"> állandóhelyű vezeték nélküli pont-többpont rendszerekre vonatkozóan tartalmaz iránymutatást a felhasználói blokkok képzése és elhelyezése tekintetében és egyben rögzíti, </w:t>
      </w:r>
      <w:r>
        <w:lastRenderedPageBreak/>
        <w:t>hogy blokkgazdálkodás keretében történő rádióspektrum</w:t>
      </w:r>
      <w:r w:rsidR="009074D9">
        <w:t>-</w:t>
      </w:r>
      <w:r>
        <w:t>használat esetén milyen elveket érdemes figyelembe venni. E</w:t>
      </w:r>
      <w:r w:rsidR="00AF67E4">
        <w:t xml:space="preserve">nnek megfelelően </w:t>
      </w:r>
      <w:r>
        <w:t xml:space="preserve">az alapblokk méretét 28 MHz sávszélességűre célszerű választani, és </w:t>
      </w:r>
      <w:r w:rsidR="00AF67E4">
        <w:t xml:space="preserve">az alapblokk </w:t>
      </w:r>
      <w:r w:rsidR="00AF67E4" w:rsidRPr="00C95B1A">
        <w:t>egész számú</w:t>
      </w:r>
      <w:r w:rsidR="00AF67E4">
        <w:t xml:space="preserve"> </w:t>
      </w:r>
      <w:r>
        <w:t>többszörösei lehetnek a felhasználói blokk méretek</w:t>
      </w:r>
      <w:r w:rsidR="00AF67E4">
        <w:t>. A dokumentum ajánlást tartalmaz arra vonatkozóan is</w:t>
      </w:r>
      <w:r>
        <w:t xml:space="preserve">, hogy mekkorának kellene lennie a védő tartománynak (ilyen például a felhasználói blokkok között alkalmazott elválasztó sáv) a pont-többpont rendszerek használata esetén, azonos területen történő használatot feltételezve, ahhoz, hogy a zavarás elkerülhető legyen egyéb interferenciacsökkentő módszerek alkalmazása nélkül is. A hivatkozott ajánlás szerint minél nagyobb sávszélességű csatornát használnak, annál nagyobb védő tartományt célszerű alkalmazni a szomszédblokkos zavarás elkerülése céljából (ajánlott akkora védő tartomány alkalmazása, mint amekkora a szomszédos csatornák sávszélessége). </w:t>
      </w:r>
      <w:r w:rsidR="007F3AF1">
        <w:t xml:space="preserve">Ezek az ajánlások </w:t>
      </w:r>
      <w:r>
        <w:t>pont-többpont típusú rendszerek üzemeltetésére vonatkoz</w:t>
      </w:r>
      <w:r w:rsidR="00AF67E4">
        <w:t xml:space="preserve">nak. </w:t>
      </w:r>
      <w:r>
        <w:t xml:space="preserve"> </w:t>
      </w:r>
    </w:p>
    <w:p w14:paraId="1311D0B6" w14:textId="3277BB69" w:rsidR="003E0C77" w:rsidRDefault="003E0C77" w:rsidP="003E0C77">
      <w:pPr>
        <w:pStyle w:val="Behzottbekezdsnmhh"/>
      </w:pPr>
      <w:r>
        <w:t xml:space="preserve">Általánosságban elmondható, hogy amennyiben a pont-többpont rendszerek esetén a területi elválasztás nem biztosítható, akkor külső (felhasználói blokkokat elválasztó) vagy belső (felhasználói blokkon belüli blokkszéli) védősáv alkalmazása ajánlott az ECC/REC/(11)01 </w:t>
      </w:r>
      <w:r w:rsidR="009074D9">
        <w:t xml:space="preserve">Ajánlás </w:t>
      </w:r>
      <w:r>
        <w:t xml:space="preserve">szerint. Ez utóbbi esetben az elválasztás a megfelelő polarizáció megválasztásával történhet: a szomszéd blokkban használt polarizációval ellentétes polarizáció használatával. A polarizáció vertikális („V”) vagy horizontális („H”) lehet és alapesetben a felhasználói blokkon belül bármelyik használható. </w:t>
      </w:r>
    </w:p>
    <w:p w14:paraId="2D809FFF" w14:textId="47AF9E00" w:rsidR="003E0C77" w:rsidRDefault="003E0C77" w:rsidP="003E0C77">
      <w:pPr>
        <w:pStyle w:val="Behzottbekezdsnmhh"/>
      </w:pPr>
      <w:r>
        <w:t xml:space="preserve">A két különböző elválasztási megoldást </w:t>
      </w:r>
      <w:r w:rsidR="00AF67E4" w:rsidRPr="007F3AF1">
        <w:t>a 4.</w:t>
      </w:r>
      <w:r w:rsidR="007F3AF1" w:rsidRPr="007F3AF1">
        <w:t>1.</w:t>
      </w:r>
      <w:r w:rsidR="00AF67E4" w:rsidRPr="007F3AF1">
        <w:t>2.1. és 4.</w:t>
      </w:r>
      <w:r w:rsidR="007F3AF1">
        <w:t>1.</w:t>
      </w:r>
      <w:r w:rsidR="00AF67E4" w:rsidRPr="007F3AF1">
        <w:t>2.2. ábra</w:t>
      </w:r>
      <w:r w:rsidR="00AF67E4">
        <w:t xml:space="preserve"> </w:t>
      </w:r>
      <w:r>
        <w:t>szemlélteti</w:t>
      </w:r>
      <w:r w:rsidR="00AF67E4">
        <w:t>.</w:t>
      </w:r>
      <w:r>
        <w:t xml:space="preserve"> Külső védősáv használata esetén (4.</w:t>
      </w:r>
      <w:r w:rsidR="007F3AF1">
        <w:t>1.</w:t>
      </w:r>
      <w:r>
        <w:t>2.1. ábra) egy alapblokknyi védősáv választja el a mindkét polarizáció („C” jelölés) használatára alkalmas felhasználói blokkokat egymástól. Felhasználói blokkon belüli védősáv esetén (4.</w:t>
      </w:r>
      <w:r w:rsidR="007F3AF1">
        <w:t>1.</w:t>
      </w:r>
      <w:r>
        <w:t>2.2. ábra) a felhasználói blokk szélén lévő alapblokkban a szomszédos felhasználói blokk szélén lévő alapblokkban („E” jelölés) használt polarizációval ellentétes polarizáció használható csak; a felhasználói blokk belső részén viszont mindkét polarizáció („C” jelölés) használható. Ez utóbbi esetben a szomszédos operátoroknak egyeztetniük kell egymással a szélső alapblokk használatát illetően, a használt polarizáció tekintetében.</w:t>
      </w:r>
    </w:p>
    <w:p w14:paraId="634DB31E" w14:textId="77777777" w:rsidR="003E0C77" w:rsidRDefault="003E0C77" w:rsidP="00C56362">
      <w:pPr>
        <w:pStyle w:val="Behzottbekezdsnmhh"/>
      </w:pPr>
    </w:p>
    <w:p w14:paraId="320AD1A8" w14:textId="77777777" w:rsidR="00C20E17" w:rsidRDefault="00C20E17" w:rsidP="00983E9F">
      <w:pPr>
        <w:pStyle w:val="Behzottbekezdsnmhh"/>
        <w:keepNext/>
        <w:jc w:val="center"/>
      </w:pPr>
      <w:r w:rsidRPr="00C20E17">
        <w:rPr>
          <w:noProof/>
          <w:lang w:eastAsia="hu-HU"/>
        </w:rPr>
        <w:drawing>
          <wp:inline distT="0" distB="0" distL="0" distR="0" wp14:anchorId="77FFFD96" wp14:editId="32B06BA3">
            <wp:extent cx="2556148" cy="1033337"/>
            <wp:effectExtent l="0" t="0" r="0" b="0"/>
            <wp:docPr id="4"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ép 11"/>
                    <pic:cNvPicPr>
                      <a:picLocks noChangeAspect="1"/>
                    </pic:cNvPicPr>
                  </pic:nvPicPr>
                  <pic:blipFill>
                    <a:blip r:embed="rId17"/>
                    <a:stretch>
                      <a:fillRect/>
                    </a:stretch>
                  </pic:blipFill>
                  <pic:spPr>
                    <a:xfrm>
                      <a:off x="0" y="0"/>
                      <a:ext cx="2556148" cy="1033337"/>
                    </a:xfrm>
                    <a:prstGeom prst="rect">
                      <a:avLst/>
                    </a:prstGeom>
                  </pic:spPr>
                </pic:pic>
              </a:graphicData>
            </a:graphic>
          </wp:inline>
        </w:drawing>
      </w:r>
    </w:p>
    <w:p w14:paraId="3FDBC0A5" w14:textId="4CDA7796" w:rsidR="00C20E17" w:rsidRDefault="00C20E17" w:rsidP="00983E9F">
      <w:pPr>
        <w:pStyle w:val="Kpalrs"/>
        <w:jc w:val="center"/>
      </w:pPr>
      <w:r>
        <w:t>4.</w:t>
      </w:r>
      <w:r w:rsidR="007F3AF1">
        <w:t>1.</w:t>
      </w:r>
      <w:r>
        <w:t>2.</w:t>
      </w:r>
      <w:r w:rsidR="003E0C77">
        <w:t>1</w:t>
      </w:r>
      <w:r>
        <w:t>. ábra</w:t>
      </w:r>
      <w:r w:rsidR="0019052D">
        <w:t xml:space="preserve"> Külső védősáv alkalmazása felhasználói blokkok elválasztására</w:t>
      </w:r>
      <w:r w:rsidR="003E0C77">
        <w:t xml:space="preserve"> [</w:t>
      </w:r>
      <w:r w:rsidR="009074D9">
        <w:t xml:space="preserve">Forrás: </w:t>
      </w:r>
      <w:r w:rsidR="003E0C77">
        <w:t>ECC/REC/(11)01]</w:t>
      </w:r>
    </w:p>
    <w:p w14:paraId="79533E76" w14:textId="31E26530" w:rsidR="00C20E17" w:rsidRDefault="00C20E17" w:rsidP="00C56362">
      <w:pPr>
        <w:pStyle w:val="Behzottbekezdsnmhh"/>
      </w:pPr>
    </w:p>
    <w:p w14:paraId="2CC28247" w14:textId="77777777" w:rsidR="00C20E17" w:rsidRDefault="00C20E17" w:rsidP="00983E9F">
      <w:pPr>
        <w:pStyle w:val="Behzottbekezdsnmhh"/>
        <w:keepNext/>
        <w:jc w:val="center"/>
      </w:pPr>
      <w:r w:rsidRPr="00C20E17">
        <w:rPr>
          <w:noProof/>
          <w:lang w:eastAsia="hu-HU"/>
        </w:rPr>
        <w:drawing>
          <wp:inline distT="0" distB="0" distL="0" distR="0" wp14:anchorId="5CB7FA05" wp14:editId="18FF7014">
            <wp:extent cx="3765340" cy="1189767"/>
            <wp:effectExtent l="0" t="0" r="6985" b="0"/>
            <wp:docPr id="13"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ép 12"/>
                    <pic:cNvPicPr>
                      <a:picLocks noChangeAspect="1"/>
                    </pic:cNvPicPr>
                  </pic:nvPicPr>
                  <pic:blipFill>
                    <a:blip r:embed="rId18"/>
                    <a:stretch>
                      <a:fillRect/>
                    </a:stretch>
                  </pic:blipFill>
                  <pic:spPr>
                    <a:xfrm>
                      <a:off x="0" y="0"/>
                      <a:ext cx="3765340" cy="1189767"/>
                    </a:xfrm>
                    <a:prstGeom prst="rect">
                      <a:avLst/>
                    </a:prstGeom>
                  </pic:spPr>
                </pic:pic>
              </a:graphicData>
            </a:graphic>
          </wp:inline>
        </w:drawing>
      </w:r>
    </w:p>
    <w:p w14:paraId="55509F21" w14:textId="17859FFA" w:rsidR="00C20E17" w:rsidRDefault="00C20E17" w:rsidP="00C20E17">
      <w:pPr>
        <w:pStyle w:val="Kpalrs"/>
        <w:jc w:val="center"/>
      </w:pPr>
      <w:r>
        <w:t>4.</w:t>
      </w:r>
      <w:r w:rsidR="007F3AF1">
        <w:t>1.</w:t>
      </w:r>
      <w:r>
        <w:t>2.</w:t>
      </w:r>
      <w:r w:rsidR="003E0C77">
        <w:t>2</w:t>
      </w:r>
      <w:r>
        <w:t>. ábra</w:t>
      </w:r>
      <w:r w:rsidR="0019052D">
        <w:t xml:space="preserve"> Belső védősáv alkalmazása felhasználói blokkok elválasztására</w:t>
      </w:r>
      <w:r w:rsidR="003E0C77">
        <w:t xml:space="preserve"> [</w:t>
      </w:r>
      <w:r w:rsidR="009074D9" w:rsidRPr="009074D9">
        <w:t xml:space="preserve">Forrás: </w:t>
      </w:r>
      <w:r w:rsidR="003E0C77">
        <w:t>ECC/REC/(11)01]</w:t>
      </w:r>
    </w:p>
    <w:p w14:paraId="4DE11040" w14:textId="77777777" w:rsidR="00992927" w:rsidRDefault="00992927" w:rsidP="00C56362">
      <w:pPr>
        <w:pStyle w:val="Behzottbekezdsnmhh"/>
      </w:pPr>
    </w:p>
    <w:p w14:paraId="66207D5E" w14:textId="315E3774" w:rsidR="00C56362" w:rsidRDefault="00C56362" w:rsidP="00C56362">
      <w:pPr>
        <w:pStyle w:val="Behzottbekezdsnmhh"/>
      </w:pPr>
      <w:r>
        <w:t xml:space="preserve">A felhasználói blokkok közti </w:t>
      </w:r>
      <w:r w:rsidR="009F433D">
        <w:t>elválasztó sáv</w:t>
      </w:r>
      <w:r>
        <w:t xml:space="preserve"> alkalmazása </w:t>
      </w:r>
      <w:r w:rsidR="00992927">
        <w:t xml:space="preserve">tehát </w:t>
      </w:r>
      <w:r>
        <w:t xml:space="preserve">pont-többpont rendszerek üzemeltetése esetén kap </w:t>
      </w:r>
      <w:r w:rsidR="009F433D">
        <w:t>kiemelt</w:t>
      </w:r>
      <w:r>
        <w:t xml:space="preserve"> szerepet, ahol szektoriális sugárzók alkalmazása jellemző (pont-pont rendszerek esetén kicsi az interferencia előfordulásának esélye a koncentrált vonalsugárzás miatt).</w:t>
      </w:r>
      <w:r w:rsidR="009F433D">
        <w:t xml:space="preserve"> </w:t>
      </w:r>
      <w:r>
        <w:lastRenderedPageBreak/>
        <w:t>Amikor az ajánlás készült, még jellemzően 28 MHz-es volt a legnagyobb sávszélességű csatorna, a</w:t>
      </w:r>
      <w:r w:rsidR="0019052D">
        <w:t>mit a szolgáltatók használtak, e</w:t>
      </w:r>
      <w:r>
        <w:t xml:space="preserve">miatt elegendő volt a felhasználói blokkok között 28 MHz-es </w:t>
      </w:r>
      <w:r w:rsidR="003C7C94">
        <w:t>elválasztó sávot</w:t>
      </w:r>
      <w:r>
        <w:t xml:space="preserve"> használni. </w:t>
      </w:r>
      <w:r w:rsidR="005C6925">
        <w:t xml:space="preserve">Ezeket </w:t>
      </w:r>
      <w:r w:rsidR="00CD3CCB">
        <w:t>az elvek</w:t>
      </w:r>
      <w:r w:rsidR="005C6925">
        <w:t>et</w:t>
      </w:r>
      <w:r w:rsidR="00CD3CCB">
        <w:t xml:space="preserve"> alkalmaz</w:t>
      </w:r>
      <w:r w:rsidR="005C6925">
        <w:t>t</w:t>
      </w:r>
      <w:r w:rsidR="004A0EE5">
        <w:t>a az NMHH</w:t>
      </w:r>
      <w:r w:rsidR="00CD3CCB">
        <w:t xml:space="preserve"> a 26 GHz </w:t>
      </w:r>
      <w:r w:rsidR="005C6925">
        <w:t>frekvenciasáv</w:t>
      </w:r>
      <w:r w:rsidR="00CD3CCB">
        <w:t xml:space="preserve"> </w:t>
      </w:r>
      <w:r w:rsidR="005C6925">
        <w:t>szabályozásakor</w:t>
      </w:r>
      <w:r w:rsidR="00CD3CCB">
        <w:t xml:space="preserve"> </w:t>
      </w:r>
      <w:r w:rsidR="005C6925">
        <w:rPr>
          <w:color w:val="000000"/>
          <w:shd w:val="clear" w:color="auto" w:fill="FFFFFF"/>
        </w:rPr>
        <w:t xml:space="preserve">– </w:t>
      </w:r>
      <w:r w:rsidR="00CD3CCB">
        <w:t xml:space="preserve">ennek megfelelően az NFFF 28 MHz-es elválasztó sávot írt elő </w:t>
      </w:r>
      <w:r>
        <w:t xml:space="preserve">a 26 GHz-es </w:t>
      </w:r>
      <w:r w:rsidR="00CD3CCB">
        <w:t xml:space="preserve">állandóhelyű </w:t>
      </w:r>
      <w:r w:rsidR="005C6925">
        <w:t xml:space="preserve">alkalmazások </w:t>
      </w:r>
      <w:r w:rsidR="00CD3CCB">
        <w:t>eseté</w:t>
      </w:r>
      <w:r w:rsidR="005C6925">
        <w:t>re</w:t>
      </w:r>
      <w:r w:rsidR="00EF036F">
        <w:t xml:space="preserve">, ahol egy alapblokknyi nem elosztható fix (külső) védősávot </w:t>
      </w:r>
      <w:r w:rsidR="00CD3CCB">
        <w:t xml:space="preserve">kell alkalmazni </w:t>
      </w:r>
      <w:r w:rsidR="00EF036F">
        <w:t>meg a felhasználói blokkok elválasztására</w:t>
      </w:r>
      <w:r>
        <w:t xml:space="preserve">. Egyes szolgáltatók </w:t>
      </w:r>
      <w:r w:rsidR="005C6925">
        <w:t xml:space="preserve">a 28 MHz-es és keskenyebb sávszélességű csatornák mellett </w:t>
      </w:r>
      <w:r>
        <w:t xml:space="preserve">56 MHz </w:t>
      </w:r>
      <w:r w:rsidR="005C6925">
        <w:t xml:space="preserve">sávszélességű </w:t>
      </w:r>
      <w:r>
        <w:t>csatornák</w:t>
      </w:r>
      <w:r w:rsidR="005C6925">
        <w:t>at is</w:t>
      </w:r>
      <w:r w:rsidR="00CD3CCB">
        <w:t xml:space="preserve"> </w:t>
      </w:r>
      <w:r w:rsidR="005C6925">
        <w:t xml:space="preserve">elkezdtek </w:t>
      </w:r>
      <w:r>
        <w:t xml:space="preserve">használni, de ez jellemzően még nem okozott különösebb problémát </w:t>
      </w:r>
      <w:r w:rsidR="003E0C77">
        <w:t xml:space="preserve">(bár elszigetelt esetek előfordultak) </w:t>
      </w:r>
      <w:r>
        <w:t xml:space="preserve">a sáv használata során, </w:t>
      </w:r>
      <w:r w:rsidR="000C188C">
        <w:t>ez elsősorban abból adódik,</w:t>
      </w:r>
      <w:r>
        <w:t xml:space="preserve"> hogy </w:t>
      </w:r>
      <w:r w:rsidR="00CD3CCB">
        <w:t xml:space="preserve">az </w:t>
      </w:r>
      <w:r>
        <w:t>üzemeltett rendszerek jelentős többsége pont-pont típusú.</w:t>
      </w:r>
    </w:p>
    <w:p w14:paraId="64011F68" w14:textId="14AA3B32" w:rsidR="00C56362" w:rsidRDefault="003E0C77" w:rsidP="00C56362">
      <w:pPr>
        <w:pStyle w:val="Behzottbekezdsnmhh"/>
      </w:pPr>
      <w:r>
        <w:t>A</w:t>
      </w:r>
      <w:r w:rsidR="00C56362">
        <w:t xml:space="preserve"> csatornasávszélesség </w:t>
      </w:r>
      <w:r w:rsidR="00A126A6">
        <w:t>növelésével nő a szomszédblokkos</w:t>
      </w:r>
      <w:r w:rsidR="00C56362">
        <w:t xml:space="preserve"> </w:t>
      </w:r>
      <w:r w:rsidR="004A0EE5">
        <w:t xml:space="preserve">zavarás </w:t>
      </w:r>
      <w:r w:rsidR="00C56362">
        <w:t>előfordulási valószínűsége</w:t>
      </w:r>
      <w:r w:rsidR="00B615DF">
        <w:t>.</w:t>
      </w:r>
      <w:r>
        <w:t xml:space="preserve"> </w:t>
      </w:r>
      <w:r w:rsidR="00C56362">
        <w:t xml:space="preserve">A 26 GHz-es </w:t>
      </w:r>
      <w:r>
        <w:t>frekvencia</w:t>
      </w:r>
      <w:r w:rsidR="00C56362">
        <w:t xml:space="preserve">sávra vonatkozó szabályozás alapján annak a </w:t>
      </w:r>
      <w:r w:rsidR="0094468A">
        <w:t>rádióspektrum-</w:t>
      </w:r>
      <w:r w:rsidR="00C56362">
        <w:t xml:space="preserve">használati jogosultnak van intézkedési kötelezettsége szomszédblokkos zavarás esetén, aki 28 MHz-nél nagyobb sávszélességű csatornát használ a </w:t>
      </w:r>
      <w:r w:rsidR="0094468A">
        <w:t xml:space="preserve">felhasználói </w:t>
      </w:r>
      <w:r w:rsidR="00C56362">
        <w:t xml:space="preserve">blokk szélén (vagy a blokk szélétől olyan frekvencia távolságban, ami zavart okozhat a szomszédos blokkban üzemelő állomásnak). </w:t>
      </w:r>
      <w:r w:rsidR="00F104C0">
        <w:t>A</w:t>
      </w:r>
      <w:r w:rsidR="00C56362">
        <w:t xml:space="preserve"> 32 GHz-es </w:t>
      </w:r>
      <w:r w:rsidR="00927519">
        <w:t>frekvencia</w:t>
      </w:r>
      <w:r w:rsidR="00C56362">
        <w:t>sáv esetén a</w:t>
      </w:r>
      <w:r w:rsidR="00345EC7">
        <w:t xml:space="preserve"> </w:t>
      </w:r>
      <w:r w:rsidR="00C56362">
        <w:t>nagyobb kapacitású összeköttetések igénye miatt az átvitelre használt csatornák sávszélessége várhatóan 28 MHz többszöröse lesz</w:t>
      </w:r>
      <w:r w:rsidR="0094468A">
        <w:t xml:space="preserve"> (jellemzően 56 és 112 MHz </w:t>
      </w:r>
      <w:r w:rsidR="00927519">
        <w:t xml:space="preserve">sávszélességű </w:t>
      </w:r>
      <w:r w:rsidR="0094468A">
        <w:t>csatornák használata várható)</w:t>
      </w:r>
      <w:r w:rsidR="00345EC7">
        <w:t xml:space="preserve">, ezért </w:t>
      </w:r>
      <w:r w:rsidR="00AB3578">
        <w:t xml:space="preserve">új műszaki </w:t>
      </w:r>
      <w:r w:rsidR="005266EC">
        <w:t xml:space="preserve">és frekvenciagazdálkodási </w:t>
      </w:r>
      <w:r w:rsidR="00AB3578">
        <w:t xml:space="preserve">megfontolásokra van szükség. Zavarás </w:t>
      </w:r>
      <w:r w:rsidR="00C56362">
        <w:t xml:space="preserve">esetén a 28 MHz-es és annál kisebb sávszélességű csatornák priorizálása nem </w:t>
      </w:r>
      <w:r w:rsidR="005266EC">
        <w:t xml:space="preserve">jelent megfelelő megoldást, </w:t>
      </w:r>
      <w:r w:rsidR="00C56362">
        <w:t xml:space="preserve">és ugyanígy a felhasználói blokkok között alkalmazott 28 MHz-es </w:t>
      </w:r>
      <w:r w:rsidR="00A126A6">
        <w:t>elválasztó sáv</w:t>
      </w:r>
      <w:r w:rsidR="00C56362">
        <w:t xml:space="preserve"> alkalmazása sem </w:t>
      </w:r>
      <w:r w:rsidR="00DA53A4">
        <w:t xml:space="preserve">minden esetben </w:t>
      </w:r>
      <w:r w:rsidR="00C56362">
        <w:t xml:space="preserve">elegendő ahhoz, hogy a szomszédblokkos interferencia </w:t>
      </w:r>
      <w:r w:rsidR="008D5F59">
        <w:t>kiküszöbölhető legyen</w:t>
      </w:r>
      <w:r w:rsidR="00C56362">
        <w:t xml:space="preserve">. </w:t>
      </w:r>
      <w:r w:rsidR="00B216E8">
        <w:t>Figyelembe véve a fenti megfontolásokat, továbbá</w:t>
      </w:r>
      <w:r w:rsidR="00E779E6">
        <w:t xml:space="preserve"> a várható felhasználás jellegét (elsősorban pont-pont összeköttetések)</w:t>
      </w:r>
      <w:r w:rsidR="00B216E8">
        <w:t xml:space="preserve"> a</w:t>
      </w:r>
      <w:r w:rsidR="00F104C0">
        <w:t xml:space="preserve"> </w:t>
      </w:r>
      <w:r w:rsidR="00927519">
        <w:rPr>
          <w:color w:val="000000"/>
          <w:shd w:val="clear" w:color="auto" w:fill="FFFFFF"/>
        </w:rPr>
        <w:t>műszaki notifikác</w:t>
      </w:r>
      <w:r w:rsidR="00206E63">
        <w:rPr>
          <w:color w:val="000000"/>
          <w:shd w:val="clear" w:color="auto" w:fill="FFFFFF"/>
        </w:rPr>
        <w:t>i</w:t>
      </w:r>
      <w:r w:rsidR="00927519">
        <w:rPr>
          <w:color w:val="000000"/>
          <w:shd w:val="clear" w:color="auto" w:fill="FFFFFF"/>
        </w:rPr>
        <w:t>ós eljárás alatt levő NFFF módosítás tervezetében</w:t>
      </w:r>
      <w:r w:rsidR="00B216E8">
        <w:rPr>
          <w:color w:val="000000"/>
          <w:shd w:val="clear" w:color="auto" w:fill="FFFFFF"/>
        </w:rPr>
        <w:t xml:space="preserve"> (</w:t>
      </w:r>
      <w:r w:rsidR="00B216E8">
        <w:t>NFFF 3. melléklet 2.3.11. pont)</w:t>
      </w:r>
      <w:r w:rsidR="00927519" w:rsidDel="00927519">
        <w:t xml:space="preserve"> </w:t>
      </w:r>
      <w:r w:rsidR="00DA416E">
        <w:t xml:space="preserve">nincs rögzítve jogszabályi szinten </w:t>
      </w:r>
      <w:r w:rsidR="00927519">
        <w:t xml:space="preserve">a </w:t>
      </w:r>
      <w:r w:rsidR="00C56362">
        <w:t>32 GHz-es sáv</w:t>
      </w:r>
      <w:r w:rsidR="00B216E8">
        <w:t>ra</w:t>
      </w:r>
      <w:r w:rsidR="00C56362">
        <w:t xml:space="preserve"> </w:t>
      </w:r>
      <w:r w:rsidR="005266EC">
        <w:t>az</w:t>
      </w:r>
      <w:r w:rsidR="00C56362">
        <w:t xml:space="preserve"> </w:t>
      </w:r>
      <w:r w:rsidR="00A126A6">
        <w:t>elválasztó sáv</w:t>
      </w:r>
      <w:r w:rsidR="005266EC">
        <w:t xml:space="preserve"> mérték</w:t>
      </w:r>
      <w:r w:rsidR="00B216E8">
        <w:t>e</w:t>
      </w:r>
      <w:r w:rsidR="00C56362">
        <w:t xml:space="preserve"> a felhasználói blokkok között</w:t>
      </w:r>
      <w:r w:rsidR="00581FC8">
        <w:t>.</w:t>
      </w:r>
      <w:r w:rsidR="0094468A">
        <w:t xml:space="preserve"> </w:t>
      </w:r>
      <w:r w:rsidR="00581FC8">
        <w:t>E</w:t>
      </w:r>
      <w:r w:rsidR="00B216E8">
        <w:t>rre vonatkozó előírás</w:t>
      </w:r>
      <w:r w:rsidR="00581FC8">
        <w:t>t</w:t>
      </w:r>
      <w:r w:rsidR="00B216E8">
        <w:t xml:space="preserve"> a</w:t>
      </w:r>
      <w:r w:rsidR="00581FC8">
        <w:t xml:space="preserve"> tervezett versenyezetetési eljárás</w:t>
      </w:r>
      <w:r w:rsidR="00B216E8">
        <w:t xml:space="preserve"> Kiírási dokumentáció</w:t>
      </w:r>
      <w:r w:rsidR="00581FC8">
        <w:t>já</w:t>
      </w:r>
      <w:r w:rsidR="00B216E8">
        <w:t>ban</w:t>
      </w:r>
      <w:r w:rsidR="00DE34C2">
        <w:t xml:space="preserve"> </w:t>
      </w:r>
      <w:r w:rsidR="00581FC8">
        <w:t xml:space="preserve">ír elő majd </w:t>
      </w:r>
      <w:r w:rsidR="00B216E8">
        <w:t>az NMHH</w:t>
      </w:r>
      <w:r w:rsidR="00A126A6">
        <w:t xml:space="preserve">. </w:t>
      </w:r>
    </w:p>
    <w:p w14:paraId="280A802D" w14:textId="2EB2D088" w:rsidR="00C56362" w:rsidRDefault="00C56362" w:rsidP="00C56362">
      <w:pPr>
        <w:pStyle w:val="Behzottbekezdsnmhh"/>
      </w:pPr>
      <w:r>
        <w:t>A</w:t>
      </w:r>
      <w:r w:rsidR="00A126A6">
        <w:t xml:space="preserve">z azonos földrajzi helyen telepített állomások </w:t>
      </w:r>
      <w:r w:rsidR="00A03DF1">
        <w:t xml:space="preserve">között </w:t>
      </w:r>
      <w:r w:rsidR="00EE7682">
        <w:t xml:space="preserve">bizonyos esetekben szükséges lehet </w:t>
      </w:r>
      <w:r w:rsidR="00A03DF1">
        <w:t>a koordináció</w:t>
      </w:r>
      <w:r w:rsidR="00EE7682">
        <w:t xml:space="preserve"> (</w:t>
      </w:r>
      <w:r w:rsidR="00581FC8">
        <w:t xml:space="preserve">egyéb </w:t>
      </w:r>
      <w:r w:rsidR="00EE7682">
        <w:t>zavarcsökkent</w:t>
      </w:r>
      <w:r w:rsidR="00581FC8">
        <w:t>ési</w:t>
      </w:r>
      <w:r w:rsidR="00EE7682">
        <w:t xml:space="preserve"> technikák alkalmazása</w:t>
      </w:r>
      <w:r w:rsidR="00581FC8">
        <w:t xml:space="preserve"> érdekében</w:t>
      </w:r>
      <w:r>
        <w:t>), hogy szomszédos csatornák használata esetén ne okozzanak zavart egymásnak</w:t>
      </w:r>
      <w:r w:rsidR="00096F05">
        <w:t>.</w:t>
      </w:r>
    </w:p>
    <w:p w14:paraId="57282E90" w14:textId="0A39DF39" w:rsidR="00C56362" w:rsidRPr="0002366A" w:rsidRDefault="00C56362" w:rsidP="007F3AF1">
      <w:pPr>
        <w:pStyle w:val="Cmsor3szmozottnmhh"/>
        <w:ind w:left="1287"/>
      </w:pPr>
      <w:bookmarkStart w:id="42" w:name="_Toc89185034"/>
      <w:bookmarkStart w:id="43" w:name="_Toc96075644"/>
      <w:r w:rsidRPr="0002366A">
        <w:t>Berendezések</w:t>
      </w:r>
      <w:bookmarkEnd w:id="42"/>
      <w:r w:rsidRPr="0002366A">
        <w:t xml:space="preserve"> hangolási tartományával összefüggő szempontok</w:t>
      </w:r>
      <w:bookmarkEnd w:id="43"/>
    </w:p>
    <w:p w14:paraId="3678D26D" w14:textId="3FC0E583" w:rsidR="00C56362" w:rsidRDefault="00C56362" w:rsidP="00C56362">
      <w:pPr>
        <w:pStyle w:val="Behzottbekezdsnmhh"/>
      </w:pPr>
      <w:r>
        <w:t>A frekvencia</w:t>
      </w:r>
      <w:r w:rsidR="00581FC8">
        <w:t>sáv</w:t>
      </w:r>
      <w:r>
        <w:t xml:space="preserve"> használ</w:t>
      </w:r>
      <w:r w:rsidR="00581FC8">
        <w:t>atát</w:t>
      </w:r>
      <w:r>
        <w:t xml:space="preserve"> illetően felmerülhet az a kérdés, hogy a berendezések hangolási tartománya lefedi-e a teljes sávot, vagy csak szűkebb tartományban használható adott berendezéstípus. Az elérhető berendezések hangolási tartománya abból a szempontból lehet érdekes, hogy előfordulhat, hogy valamelyik nyertesnek a felhasználói blokkja a sáv közepére kerül olyan módon, hogy a töréspontot is magába foglalja. Szerencsétlen esetben ez akár azt is jelentheti, hogy nem tud nagyobb sávszélességű csatornát (pl. 112 MHz) használni a jogosult, annak ellenére, hogy a felhasználói blokk mérete ezt megengedné, mert adott típusú berendezés hangolási tartományának frekvenciahatára bekorlátozza a használatot. A 26 GHz-es </w:t>
      </w:r>
      <w:r w:rsidR="00F7688F">
        <w:t>frekvencia</w:t>
      </w:r>
      <w:r>
        <w:t>sávban is vannak töréspontok, de ott kevéssé volt kritikus ez a fajta probléma, mert az összeköttetések döntő többsége 28 MHz, illetve 56 MHz csatornasávszélességű.</w:t>
      </w:r>
    </w:p>
    <w:p w14:paraId="369E2507" w14:textId="3FBCF17F" w:rsidR="007F3AF1" w:rsidRDefault="007F3AF1">
      <w:pPr>
        <w:spacing w:after="200"/>
        <w:jc w:val="left"/>
        <w:rPr>
          <w:sz w:val="20"/>
          <w:szCs w:val="20"/>
        </w:rPr>
      </w:pPr>
      <w:r>
        <w:rPr>
          <w:sz w:val="20"/>
          <w:szCs w:val="20"/>
        </w:rPr>
        <w:br w:type="page"/>
      </w:r>
    </w:p>
    <w:p w14:paraId="3FFF8A27" w14:textId="327ACF7A" w:rsidR="00DA53A4" w:rsidRDefault="00DA53A4" w:rsidP="007F3AF1">
      <w:pPr>
        <w:pStyle w:val="Cmsor2szmozottnmhh"/>
      </w:pPr>
      <w:bookmarkStart w:id="44" w:name="_Toc96075645"/>
      <w:r>
        <w:lastRenderedPageBreak/>
        <w:t>A</w:t>
      </w:r>
      <w:r w:rsidR="00072109">
        <w:t xml:space="preserve"> 32 GHz-es frekvenciasáv jövőbeni használatára vonatkozó</w:t>
      </w:r>
      <w:r>
        <w:t xml:space="preserve"> NFFF szerinti </w:t>
      </w:r>
      <w:r w:rsidR="00343F9F">
        <w:t>szabályozás</w:t>
      </w:r>
      <w:bookmarkEnd w:id="44"/>
    </w:p>
    <w:p w14:paraId="6BFF4BEA" w14:textId="3AADF597" w:rsidR="003F13C8" w:rsidRDefault="003F13C8" w:rsidP="003F13C8">
      <w:pPr>
        <w:pStyle w:val="Cmsor3szmozottnmhh"/>
        <w:numPr>
          <w:ilvl w:val="2"/>
          <w:numId w:val="87"/>
        </w:numPr>
      </w:pPr>
      <w:bookmarkStart w:id="45" w:name="_Toc96075646"/>
      <w:r>
        <w:t>Rádióspektrum</w:t>
      </w:r>
      <w:r w:rsidR="008627B8">
        <w:t>gazdálkodási követelmények</w:t>
      </w:r>
      <w:bookmarkEnd w:id="45"/>
    </w:p>
    <w:p w14:paraId="08C3F497" w14:textId="0A9FA007" w:rsidR="00343F9F" w:rsidRDefault="003F13C8" w:rsidP="003F13C8">
      <w:pPr>
        <w:pStyle w:val="Behzottbekezdsnmhh"/>
      </w:pPr>
      <w:r>
        <w:t>A</w:t>
      </w:r>
      <w:r w:rsidR="00DA53A4">
        <w:t xml:space="preserve"> 32 GHz-es frekvenciasáv</w:t>
      </w:r>
      <w:r w:rsidR="00927519">
        <w:t xml:space="preserve"> </w:t>
      </w:r>
      <w:r w:rsidR="00343F9F">
        <w:t xml:space="preserve">jövőbeni </w:t>
      </w:r>
      <w:r w:rsidR="00DA53A4">
        <w:t xml:space="preserve">használatára vonatkozó műszaki és </w:t>
      </w:r>
      <w:r w:rsidR="00581FC8">
        <w:t>rádió</w:t>
      </w:r>
      <w:r w:rsidR="00DA53A4">
        <w:t xml:space="preserve">spektrumgazdálkodási előírásokat a jelenleg </w:t>
      </w:r>
      <w:r w:rsidR="00927519">
        <w:t xml:space="preserve">hatályos NFFF 3. </w:t>
      </w:r>
      <w:r w:rsidR="00927519" w:rsidRPr="00F57D56">
        <w:t xml:space="preserve">mellékletének </w:t>
      </w:r>
      <w:r w:rsidR="00072109">
        <w:t>2.5</w:t>
      </w:r>
      <w:r w:rsidR="00DE34C2">
        <w:t>.</w:t>
      </w:r>
      <w:r w:rsidR="00072109">
        <w:t xml:space="preserve"> és </w:t>
      </w:r>
      <w:r w:rsidR="00927519" w:rsidRPr="00F57D56">
        <w:t>2.13. pontj</w:t>
      </w:r>
      <w:r w:rsidR="00927519">
        <w:t>a</w:t>
      </w:r>
      <w:r w:rsidR="00072109">
        <w:t xml:space="preserve">, valamint </w:t>
      </w:r>
      <w:r w:rsidR="00927519">
        <w:t xml:space="preserve">a </w:t>
      </w:r>
      <w:r w:rsidR="000A2DD9">
        <w:t xml:space="preserve">jelenleg EU </w:t>
      </w:r>
      <w:r w:rsidR="00927519">
        <w:rPr>
          <w:color w:val="000000"/>
          <w:shd w:val="clear" w:color="auto" w:fill="FFFFFF"/>
        </w:rPr>
        <w:t>műszaki notifikác</w:t>
      </w:r>
      <w:r w:rsidR="000A2DD9">
        <w:rPr>
          <w:color w:val="000000"/>
          <w:shd w:val="clear" w:color="auto" w:fill="FFFFFF"/>
        </w:rPr>
        <w:t>i</w:t>
      </w:r>
      <w:r w:rsidR="00927519">
        <w:rPr>
          <w:color w:val="000000"/>
          <w:shd w:val="clear" w:color="auto" w:fill="FFFFFF"/>
        </w:rPr>
        <w:t>ós eljárás alatt levő NFFF módosítás tervezet</w:t>
      </w:r>
      <w:r w:rsidR="00927519">
        <w:t xml:space="preserve"> </w:t>
      </w:r>
      <w:r w:rsidR="00D1041B">
        <w:t>erre a pontra vonatkozó módosításai</w:t>
      </w:r>
      <w:r w:rsidR="000A2DD9">
        <w:t xml:space="preserve"> </w:t>
      </w:r>
      <w:r w:rsidR="00343F9F">
        <w:t>tartalmazz</w:t>
      </w:r>
      <w:r w:rsidR="00D1041B">
        <w:t>ák</w:t>
      </w:r>
      <w:r w:rsidR="00343F9F">
        <w:t xml:space="preserve">. </w:t>
      </w:r>
    </w:p>
    <w:p w14:paraId="1B3A7546" w14:textId="16CD0174" w:rsidR="00343F9F" w:rsidRPr="00D1041B" w:rsidRDefault="008627B8" w:rsidP="00D1041B">
      <w:pPr>
        <w:pStyle w:val="Behzottbekezdsnmhh"/>
      </w:pPr>
      <w:r w:rsidRPr="00D1041B">
        <w:t xml:space="preserve">A 32 GHz-es sávban kizárólag FDD </w:t>
      </w:r>
      <w:r w:rsidR="0037475E" w:rsidRPr="00D1041B">
        <w:t xml:space="preserve">hozzáférésű pont-pont és pont-többpont </w:t>
      </w:r>
      <w:r w:rsidRPr="00D1041B">
        <w:t>rendszerek helyezhetők üzembe.</w:t>
      </w:r>
      <w:r w:rsidR="0037475E" w:rsidRPr="00D1041B">
        <w:t xml:space="preserve"> A duplex távolság 812 MHz.</w:t>
      </w:r>
      <w:r w:rsidRPr="00D1041B">
        <w:t xml:space="preserve"> </w:t>
      </w:r>
      <w:r w:rsidR="00343F9F" w:rsidRPr="00D1041B">
        <w:t>A frekvenciasávsáv részsávokra osztás</w:t>
      </w:r>
      <w:r w:rsidRPr="00D1041B">
        <w:t xml:space="preserve">át a </w:t>
      </w:r>
      <w:r w:rsidR="00085A59">
        <w:t>4.2.1.1.</w:t>
      </w:r>
      <w:r w:rsidR="00085A59" w:rsidRPr="00D1041B">
        <w:t xml:space="preserve"> </w:t>
      </w:r>
      <w:r w:rsidRPr="00D1041B">
        <w:t>táblázat tartalmazza:</w:t>
      </w:r>
    </w:p>
    <w:p w14:paraId="2CB1C889" w14:textId="77777777" w:rsidR="00343F9F" w:rsidRPr="00D1041B" w:rsidRDefault="00343F9F" w:rsidP="00D1041B">
      <w:pPr>
        <w:pStyle w:val="Behzottbekezdsnmhh"/>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268"/>
        <w:gridCol w:w="3265"/>
      </w:tblGrid>
      <w:tr w:rsidR="00D1041B" w14:paraId="37BA3CF5" w14:textId="77777777" w:rsidTr="00D1041B">
        <w:trPr>
          <w:cantSplit/>
          <w:trHeight w:val="23"/>
          <w:jc w:val="center"/>
        </w:trPr>
        <w:tc>
          <w:tcPr>
            <w:tcW w:w="2268" w:type="dxa"/>
            <w:tcBorders>
              <w:top w:val="single" w:sz="18" w:space="0" w:color="auto"/>
              <w:left w:val="single" w:sz="18" w:space="0" w:color="auto"/>
              <w:bottom w:val="single" w:sz="18" w:space="0" w:color="auto"/>
            </w:tcBorders>
            <w:vAlign w:val="center"/>
          </w:tcPr>
          <w:p w14:paraId="464C4A33" w14:textId="77777777" w:rsidR="00D1041B" w:rsidRDefault="00D1041B" w:rsidP="00CB7A92">
            <w:pPr>
              <w:keepNext/>
              <w:jc w:val="center"/>
              <w:rPr>
                <w:rFonts w:cs="Arial"/>
                <w:b/>
                <w:color w:val="000000"/>
                <w:sz w:val="18"/>
                <w:szCs w:val="18"/>
              </w:rPr>
            </w:pPr>
            <w:r>
              <w:rPr>
                <w:rFonts w:cs="Arial"/>
                <w:b/>
                <w:color w:val="000000"/>
                <w:sz w:val="18"/>
                <w:szCs w:val="18"/>
              </w:rPr>
              <w:t>Részsáv [MHz]</w:t>
            </w:r>
          </w:p>
        </w:tc>
        <w:tc>
          <w:tcPr>
            <w:tcW w:w="3265" w:type="dxa"/>
            <w:tcBorders>
              <w:top w:val="single" w:sz="18" w:space="0" w:color="auto"/>
              <w:bottom w:val="single" w:sz="18" w:space="0" w:color="auto"/>
              <w:right w:val="single" w:sz="18" w:space="0" w:color="auto"/>
            </w:tcBorders>
            <w:vAlign w:val="center"/>
          </w:tcPr>
          <w:p w14:paraId="77C766A8" w14:textId="77777777" w:rsidR="00D1041B" w:rsidRDefault="00D1041B" w:rsidP="00CB7A92">
            <w:pPr>
              <w:keepNext/>
              <w:jc w:val="center"/>
              <w:rPr>
                <w:rFonts w:cs="Arial"/>
                <w:b/>
                <w:color w:val="000000"/>
                <w:sz w:val="18"/>
                <w:szCs w:val="18"/>
              </w:rPr>
            </w:pPr>
            <w:r>
              <w:rPr>
                <w:rFonts w:cs="Arial"/>
                <w:b/>
                <w:color w:val="000000"/>
                <w:sz w:val="18"/>
                <w:szCs w:val="18"/>
              </w:rPr>
              <w:t>Részsáv megnevezése</w:t>
            </w:r>
          </w:p>
        </w:tc>
      </w:tr>
      <w:tr w:rsidR="00D1041B" w14:paraId="51C58851" w14:textId="77777777" w:rsidTr="00D1041B">
        <w:trPr>
          <w:cantSplit/>
          <w:trHeight w:val="23"/>
          <w:jc w:val="center"/>
        </w:trPr>
        <w:tc>
          <w:tcPr>
            <w:tcW w:w="2268" w:type="dxa"/>
            <w:tcBorders>
              <w:top w:val="single" w:sz="18" w:space="0" w:color="auto"/>
              <w:left w:val="single" w:sz="18" w:space="0" w:color="auto"/>
            </w:tcBorders>
            <w:vAlign w:val="center"/>
          </w:tcPr>
          <w:p w14:paraId="5AE59E35" w14:textId="77777777" w:rsidR="00D1041B" w:rsidRDefault="00D1041B" w:rsidP="00CB7A92">
            <w:pPr>
              <w:keepNext/>
              <w:jc w:val="center"/>
              <w:rPr>
                <w:rFonts w:cs="Arial"/>
                <w:color w:val="000000"/>
                <w:sz w:val="18"/>
                <w:szCs w:val="18"/>
              </w:rPr>
            </w:pPr>
            <w:r>
              <w:rPr>
                <w:rFonts w:cs="Arial"/>
                <w:color w:val="000000"/>
                <w:position w:val="-3"/>
                <w:sz w:val="18"/>
                <w:szCs w:val="18"/>
              </w:rPr>
              <w:t>31 800–31 871</w:t>
            </w:r>
          </w:p>
        </w:tc>
        <w:tc>
          <w:tcPr>
            <w:tcW w:w="3265" w:type="dxa"/>
            <w:tcBorders>
              <w:top w:val="single" w:sz="18" w:space="0" w:color="auto"/>
              <w:right w:val="single" w:sz="18" w:space="0" w:color="auto"/>
            </w:tcBorders>
            <w:vAlign w:val="center"/>
          </w:tcPr>
          <w:p w14:paraId="35F34C5E" w14:textId="77777777" w:rsidR="00D1041B" w:rsidRDefault="00D1041B" w:rsidP="00CB7A92">
            <w:pPr>
              <w:keepNext/>
              <w:jc w:val="center"/>
              <w:rPr>
                <w:rFonts w:cs="Arial"/>
                <w:color w:val="000000"/>
                <w:sz w:val="18"/>
                <w:szCs w:val="18"/>
              </w:rPr>
            </w:pPr>
            <w:r>
              <w:rPr>
                <w:rFonts w:cs="Arial"/>
                <w:color w:val="000000"/>
                <w:position w:val="-3"/>
                <w:sz w:val="18"/>
                <w:szCs w:val="18"/>
              </w:rPr>
              <w:t>alsó védősáv</w:t>
            </w:r>
          </w:p>
        </w:tc>
      </w:tr>
      <w:tr w:rsidR="00D1041B" w14:paraId="4F452A2B" w14:textId="77777777" w:rsidTr="00D1041B">
        <w:trPr>
          <w:cantSplit/>
          <w:trHeight w:val="23"/>
          <w:jc w:val="center"/>
        </w:trPr>
        <w:tc>
          <w:tcPr>
            <w:tcW w:w="2268" w:type="dxa"/>
            <w:tcBorders>
              <w:left w:val="single" w:sz="18" w:space="0" w:color="auto"/>
            </w:tcBorders>
            <w:vAlign w:val="center"/>
          </w:tcPr>
          <w:p w14:paraId="2991FAE1" w14:textId="77777777" w:rsidR="00D1041B" w:rsidRDefault="00D1041B" w:rsidP="00CB7A92">
            <w:pPr>
              <w:keepNext/>
              <w:jc w:val="center"/>
              <w:rPr>
                <w:rFonts w:cs="Arial"/>
                <w:color w:val="000000"/>
                <w:sz w:val="18"/>
                <w:szCs w:val="18"/>
              </w:rPr>
            </w:pPr>
            <w:r>
              <w:rPr>
                <w:rFonts w:cs="Arial"/>
                <w:color w:val="000000"/>
                <w:position w:val="-3"/>
                <w:sz w:val="18"/>
                <w:szCs w:val="18"/>
              </w:rPr>
              <w:t>31 871–32 543</w:t>
            </w:r>
          </w:p>
        </w:tc>
        <w:tc>
          <w:tcPr>
            <w:tcW w:w="3265" w:type="dxa"/>
            <w:tcBorders>
              <w:right w:val="single" w:sz="18" w:space="0" w:color="auto"/>
            </w:tcBorders>
            <w:vAlign w:val="center"/>
          </w:tcPr>
          <w:p w14:paraId="6052459B" w14:textId="77777777" w:rsidR="00D1041B" w:rsidRDefault="00D1041B" w:rsidP="00CB7A92">
            <w:pPr>
              <w:keepNext/>
              <w:jc w:val="center"/>
              <w:rPr>
                <w:rFonts w:cs="Arial"/>
                <w:color w:val="000000"/>
                <w:sz w:val="18"/>
                <w:szCs w:val="18"/>
              </w:rPr>
            </w:pPr>
            <w:r>
              <w:rPr>
                <w:rFonts w:cs="Arial"/>
                <w:color w:val="000000"/>
                <w:position w:val="-3"/>
                <w:sz w:val="18"/>
                <w:szCs w:val="18"/>
              </w:rPr>
              <w:t>alsó blokksáv</w:t>
            </w:r>
          </w:p>
        </w:tc>
      </w:tr>
      <w:tr w:rsidR="00D1041B" w14:paraId="2D924A85" w14:textId="77777777" w:rsidTr="00D1041B">
        <w:trPr>
          <w:cantSplit/>
          <w:trHeight w:val="23"/>
          <w:jc w:val="center"/>
        </w:trPr>
        <w:tc>
          <w:tcPr>
            <w:tcW w:w="2268" w:type="dxa"/>
            <w:tcBorders>
              <w:left w:val="single" w:sz="18" w:space="0" w:color="auto"/>
            </w:tcBorders>
            <w:vAlign w:val="center"/>
          </w:tcPr>
          <w:p w14:paraId="71537C62" w14:textId="77777777" w:rsidR="00D1041B" w:rsidRDefault="00D1041B" w:rsidP="00CB7A92">
            <w:pPr>
              <w:keepNext/>
              <w:jc w:val="center"/>
              <w:rPr>
                <w:rFonts w:cs="Arial"/>
                <w:color w:val="000000"/>
                <w:sz w:val="18"/>
                <w:szCs w:val="18"/>
              </w:rPr>
            </w:pPr>
            <w:r>
              <w:rPr>
                <w:rFonts w:cs="Arial"/>
                <w:color w:val="000000"/>
                <w:position w:val="-3"/>
                <w:sz w:val="18"/>
                <w:szCs w:val="18"/>
              </w:rPr>
              <w:t>32 543–32 683</w:t>
            </w:r>
          </w:p>
        </w:tc>
        <w:tc>
          <w:tcPr>
            <w:tcW w:w="3265" w:type="dxa"/>
            <w:tcBorders>
              <w:right w:val="single" w:sz="18" w:space="0" w:color="auto"/>
            </w:tcBorders>
            <w:vAlign w:val="center"/>
          </w:tcPr>
          <w:p w14:paraId="2AD7A2EE" w14:textId="77777777" w:rsidR="00D1041B" w:rsidRDefault="00D1041B" w:rsidP="00CB7A92">
            <w:pPr>
              <w:keepNext/>
              <w:jc w:val="center"/>
              <w:rPr>
                <w:rFonts w:cs="Arial"/>
                <w:color w:val="000000"/>
                <w:sz w:val="18"/>
                <w:szCs w:val="18"/>
              </w:rPr>
            </w:pPr>
            <w:r>
              <w:rPr>
                <w:rFonts w:cs="Arial"/>
                <w:color w:val="000000"/>
                <w:position w:val="-3"/>
                <w:sz w:val="18"/>
                <w:szCs w:val="18"/>
              </w:rPr>
              <w:t>középső védősáv</w:t>
            </w:r>
          </w:p>
        </w:tc>
      </w:tr>
      <w:tr w:rsidR="00D1041B" w14:paraId="0B062D26" w14:textId="77777777" w:rsidTr="00D1041B">
        <w:trPr>
          <w:cantSplit/>
          <w:trHeight w:val="23"/>
          <w:jc w:val="center"/>
        </w:trPr>
        <w:tc>
          <w:tcPr>
            <w:tcW w:w="2268" w:type="dxa"/>
            <w:tcBorders>
              <w:left w:val="single" w:sz="18" w:space="0" w:color="auto"/>
            </w:tcBorders>
            <w:vAlign w:val="center"/>
          </w:tcPr>
          <w:p w14:paraId="51353D32" w14:textId="77777777" w:rsidR="00D1041B" w:rsidRDefault="00D1041B" w:rsidP="00CB7A92">
            <w:pPr>
              <w:keepNext/>
              <w:jc w:val="center"/>
              <w:rPr>
                <w:rFonts w:cs="Arial"/>
                <w:color w:val="000000"/>
                <w:sz w:val="18"/>
                <w:szCs w:val="18"/>
              </w:rPr>
            </w:pPr>
            <w:r>
              <w:rPr>
                <w:rFonts w:cs="Arial"/>
                <w:color w:val="000000"/>
                <w:position w:val="-3"/>
                <w:sz w:val="18"/>
                <w:szCs w:val="18"/>
              </w:rPr>
              <w:t>32 683–33 355</w:t>
            </w:r>
          </w:p>
        </w:tc>
        <w:tc>
          <w:tcPr>
            <w:tcW w:w="3265" w:type="dxa"/>
            <w:tcBorders>
              <w:right w:val="single" w:sz="18" w:space="0" w:color="auto"/>
            </w:tcBorders>
            <w:vAlign w:val="center"/>
          </w:tcPr>
          <w:p w14:paraId="02798594" w14:textId="77777777" w:rsidR="00D1041B" w:rsidRDefault="00D1041B" w:rsidP="00CB7A92">
            <w:pPr>
              <w:keepNext/>
              <w:jc w:val="center"/>
              <w:rPr>
                <w:rFonts w:cs="Arial"/>
                <w:color w:val="000000"/>
                <w:sz w:val="18"/>
                <w:szCs w:val="18"/>
              </w:rPr>
            </w:pPr>
            <w:r>
              <w:rPr>
                <w:rFonts w:cs="Arial"/>
                <w:color w:val="000000"/>
                <w:position w:val="-3"/>
                <w:sz w:val="18"/>
                <w:szCs w:val="18"/>
              </w:rPr>
              <w:t>felső blokksáv</w:t>
            </w:r>
          </w:p>
        </w:tc>
      </w:tr>
      <w:tr w:rsidR="00D1041B" w14:paraId="43493F6E" w14:textId="77777777" w:rsidTr="00D1041B">
        <w:trPr>
          <w:cantSplit/>
          <w:trHeight w:val="23"/>
          <w:jc w:val="center"/>
        </w:trPr>
        <w:tc>
          <w:tcPr>
            <w:tcW w:w="2268" w:type="dxa"/>
            <w:tcBorders>
              <w:left w:val="single" w:sz="18" w:space="0" w:color="auto"/>
              <w:bottom w:val="single" w:sz="18" w:space="0" w:color="auto"/>
            </w:tcBorders>
            <w:vAlign w:val="center"/>
          </w:tcPr>
          <w:p w14:paraId="7857BBFB" w14:textId="77777777" w:rsidR="00D1041B" w:rsidRDefault="00D1041B" w:rsidP="00CB7A92">
            <w:pPr>
              <w:keepNext/>
              <w:jc w:val="center"/>
              <w:rPr>
                <w:rFonts w:cs="Arial"/>
                <w:color w:val="000000"/>
                <w:sz w:val="18"/>
                <w:szCs w:val="18"/>
              </w:rPr>
            </w:pPr>
            <w:r>
              <w:rPr>
                <w:rFonts w:cs="Arial"/>
                <w:color w:val="000000"/>
                <w:position w:val="-3"/>
                <w:sz w:val="18"/>
                <w:szCs w:val="18"/>
              </w:rPr>
              <w:t>33 355–33 400</w:t>
            </w:r>
          </w:p>
        </w:tc>
        <w:tc>
          <w:tcPr>
            <w:tcW w:w="3265" w:type="dxa"/>
            <w:tcBorders>
              <w:bottom w:val="single" w:sz="18" w:space="0" w:color="auto"/>
              <w:right w:val="single" w:sz="18" w:space="0" w:color="auto"/>
            </w:tcBorders>
            <w:vAlign w:val="center"/>
          </w:tcPr>
          <w:p w14:paraId="58D37556" w14:textId="77777777" w:rsidR="00D1041B" w:rsidRDefault="00D1041B" w:rsidP="00D1041B">
            <w:pPr>
              <w:keepNext/>
              <w:jc w:val="center"/>
              <w:rPr>
                <w:rFonts w:cs="Arial"/>
                <w:color w:val="000000"/>
                <w:sz w:val="18"/>
                <w:szCs w:val="18"/>
              </w:rPr>
            </w:pPr>
            <w:r>
              <w:rPr>
                <w:rFonts w:cs="Arial"/>
                <w:color w:val="000000"/>
                <w:position w:val="-3"/>
                <w:sz w:val="18"/>
                <w:szCs w:val="18"/>
              </w:rPr>
              <w:t>felső védősáv</w:t>
            </w:r>
          </w:p>
        </w:tc>
      </w:tr>
    </w:tbl>
    <w:p w14:paraId="23772651" w14:textId="35937E24" w:rsidR="00343F9F" w:rsidRPr="00D1041B" w:rsidRDefault="00D1041B" w:rsidP="00D1041B">
      <w:pPr>
        <w:pStyle w:val="Kpalrs"/>
        <w:jc w:val="center"/>
        <w:rPr>
          <w:color w:val="auto"/>
        </w:rPr>
      </w:pPr>
      <w:r>
        <w:t>4.2.1.</w:t>
      </w:r>
      <w:fldSimple w:instr=" SEQ Figure \* ARABIC ">
        <w:r>
          <w:rPr>
            <w:noProof/>
          </w:rPr>
          <w:t>1</w:t>
        </w:r>
      </w:fldSimple>
      <w:r>
        <w:t>. táblázat 32 GHz frekvenciasáv részsávokra osztása</w:t>
      </w:r>
    </w:p>
    <w:p w14:paraId="5FFADC10" w14:textId="19D65377" w:rsidR="00CB7A92" w:rsidRPr="00D1041B" w:rsidRDefault="00343F9F" w:rsidP="00D1041B">
      <w:pPr>
        <w:pStyle w:val="Behzottbekezdsnmhh"/>
      </w:pPr>
      <w:r w:rsidRPr="00D1041B">
        <w:t>A védősávok nem eloszthatók.</w:t>
      </w:r>
      <w:r w:rsidR="008627B8" w:rsidRPr="00D1041B">
        <w:t xml:space="preserve"> </w:t>
      </w:r>
      <w:r w:rsidR="00CB7A92" w:rsidRPr="00D1041B">
        <w:t xml:space="preserve">Az alsó és a felső blokksáv </w:t>
      </w:r>
      <w:r w:rsidR="008627B8" w:rsidRPr="00D1041B">
        <w:t xml:space="preserve">24x28 MHz </w:t>
      </w:r>
      <w:r w:rsidR="00CB7A92" w:rsidRPr="00D1041B">
        <w:t xml:space="preserve">alapblokkokra </w:t>
      </w:r>
      <w:r w:rsidR="008627B8" w:rsidRPr="00D1041B">
        <w:t>van felosztva</w:t>
      </w:r>
      <w:r w:rsidR="00581FC8">
        <w:t>.</w:t>
      </w:r>
      <w:r w:rsidR="008627B8" w:rsidRPr="00D1041B">
        <w:t xml:space="preserve"> </w:t>
      </w:r>
      <w:r w:rsidR="00581FC8">
        <w:t>E</w:t>
      </w:r>
      <w:r w:rsidR="008627B8" w:rsidRPr="00D1041B">
        <w:t>gy felhasználói blokk egész számú alapblokkból állhat.</w:t>
      </w:r>
    </w:p>
    <w:p w14:paraId="526FFF2B" w14:textId="2C764CB5" w:rsidR="0037475E" w:rsidRPr="00D1041B" w:rsidRDefault="0037475E" w:rsidP="00D1041B">
      <w:pPr>
        <w:pStyle w:val="Behzottbekezdsnmhh"/>
      </w:pPr>
      <w:r w:rsidRPr="00D1041B">
        <w:t xml:space="preserve">Pont-többpont </w:t>
      </w:r>
      <w:r w:rsidR="00D1041B" w:rsidRPr="00D1041B">
        <w:t>rendszerek</w:t>
      </w:r>
      <w:r w:rsidR="00D1041B">
        <w:t>re vonatkozóan</w:t>
      </w:r>
      <w:r w:rsidR="00D1041B" w:rsidRPr="00D1041B">
        <w:t xml:space="preserve"> </w:t>
      </w:r>
      <w:r w:rsidRPr="00D1041B">
        <w:t>az átviteli jelutak frekvenciasávjai</w:t>
      </w:r>
      <w:r w:rsidR="00085A59">
        <w:t>t a 4.2.1.2. táblázat tartalmazza</w:t>
      </w:r>
      <w:r w:rsidRPr="00D1041B">
        <w:t>:</w:t>
      </w:r>
    </w:p>
    <w:p w14:paraId="2D9D0444" w14:textId="77777777" w:rsidR="0037475E" w:rsidRPr="00D1041B" w:rsidRDefault="0037475E" w:rsidP="00D1041B">
      <w:pPr>
        <w:pStyle w:val="Behzottbekezdsnmhh"/>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765"/>
        <w:gridCol w:w="2268"/>
      </w:tblGrid>
      <w:tr w:rsidR="00D1041B" w14:paraId="698F83E0" w14:textId="77777777" w:rsidTr="00D1041B">
        <w:trPr>
          <w:cantSplit/>
          <w:trHeight w:val="23"/>
          <w:jc w:val="center"/>
        </w:trPr>
        <w:tc>
          <w:tcPr>
            <w:tcW w:w="3765" w:type="dxa"/>
            <w:tcBorders>
              <w:top w:val="single" w:sz="18" w:space="0" w:color="auto"/>
              <w:left w:val="single" w:sz="18" w:space="0" w:color="auto"/>
              <w:bottom w:val="single" w:sz="18" w:space="0" w:color="auto"/>
            </w:tcBorders>
          </w:tcPr>
          <w:p w14:paraId="75CA9EB7" w14:textId="77777777" w:rsidR="00D1041B" w:rsidRDefault="00D1041B" w:rsidP="00C71B70">
            <w:pPr>
              <w:keepNext/>
              <w:jc w:val="center"/>
              <w:rPr>
                <w:rFonts w:cs="Arial"/>
                <w:b/>
                <w:bCs/>
                <w:color w:val="000000"/>
                <w:sz w:val="18"/>
                <w:szCs w:val="18"/>
              </w:rPr>
            </w:pPr>
            <w:r>
              <w:rPr>
                <w:rFonts w:cs="Arial"/>
                <w:b/>
                <w:bCs/>
                <w:color w:val="000000"/>
                <w:sz w:val="18"/>
                <w:szCs w:val="18"/>
              </w:rPr>
              <w:t>Jelút</w:t>
            </w:r>
          </w:p>
        </w:tc>
        <w:tc>
          <w:tcPr>
            <w:tcW w:w="2268" w:type="dxa"/>
            <w:tcBorders>
              <w:top w:val="single" w:sz="18" w:space="0" w:color="auto"/>
              <w:bottom w:val="single" w:sz="18" w:space="0" w:color="auto"/>
              <w:right w:val="single" w:sz="18" w:space="0" w:color="auto"/>
            </w:tcBorders>
            <w:vAlign w:val="center"/>
          </w:tcPr>
          <w:p w14:paraId="7937B7B5" w14:textId="77777777" w:rsidR="00D1041B" w:rsidRDefault="00D1041B" w:rsidP="00C71B70">
            <w:pPr>
              <w:keepNext/>
              <w:jc w:val="center"/>
              <w:rPr>
                <w:rFonts w:cs="Arial"/>
                <w:b/>
                <w:bCs/>
                <w:color w:val="000000"/>
                <w:sz w:val="18"/>
                <w:szCs w:val="18"/>
              </w:rPr>
            </w:pPr>
            <w:r>
              <w:rPr>
                <w:rFonts w:cs="Arial"/>
                <w:b/>
                <w:bCs/>
                <w:color w:val="000000"/>
                <w:sz w:val="18"/>
                <w:szCs w:val="18"/>
              </w:rPr>
              <w:t>Blokksáv</w:t>
            </w:r>
          </w:p>
        </w:tc>
      </w:tr>
      <w:tr w:rsidR="00D1041B" w14:paraId="70D39657" w14:textId="77777777" w:rsidTr="00D1041B">
        <w:trPr>
          <w:cantSplit/>
          <w:trHeight w:val="23"/>
          <w:jc w:val="center"/>
        </w:trPr>
        <w:tc>
          <w:tcPr>
            <w:tcW w:w="3765" w:type="dxa"/>
            <w:tcBorders>
              <w:top w:val="single" w:sz="18" w:space="0" w:color="auto"/>
              <w:left w:val="single" w:sz="18" w:space="0" w:color="auto"/>
            </w:tcBorders>
          </w:tcPr>
          <w:p w14:paraId="761291C8" w14:textId="77777777" w:rsidR="00D1041B" w:rsidRDefault="00D1041B" w:rsidP="00C71B70">
            <w:pPr>
              <w:keepNext/>
              <w:rPr>
                <w:rFonts w:cs="Arial"/>
                <w:bCs/>
                <w:color w:val="000000"/>
                <w:sz w:val="18"/>
                <w:szCs w:val="18"/>
              </w:rPr>
            </w:pPr>
            <w:r>
              <w:rPr>
                <w:rFonts w:cs="Arial"/>
                <w:bCs/>
                <w:color w:val="000000"/>
                <w:sz w:val="18"/>
                <w:szCs w:val="18"/>
              </w:rPr>
              <w:t>felhasználói állomás – központi állomás</w:t>
            </w:r>
          </w:p>
        </w:tc>
        <w:tc>
          <w:tcPr>
            <w:tcW w:w="2268" w:type="dxa"/>
            <w:vMerge w:val="restart"/>
            <w:tcBorders>
              <w:top w:val="single" w:sz="18" w:space="0" w:color="auto"/>
              <w:right w:val="single" w:sz="18" w:space="0" w:color="auto"/>
            </w:tcBorders>
            <w:vAlign w:val="center"/>
          </w:tcPr>
          <w:p w14:paraId="416F95D3" w14:textId="77777777" w:rsidR="00D1041B" w:rsidRDefault="00D1041B" w:rsidP="00C71B70">
            <w:pPr>
              <w:keepNext/>
              <w:jc w:val="center"/>
              <w:rPr>
                <w:rFonts w:cs="Arial"/>
                <w:bCs/>
                <w:color w:val="000000"/>
                <w:sz w:val="18"/>
                <w:szCs w:val="18"/>
              </w:rPr>
            </w:pPr>
            <w:r>
              <w:rPr>
                <w:rFonts w:cs="Arial"/>
                <w:bCs/>
                <w:color w:val="000000"/>
                <w:sz w:val="18"/>
                <w:szCs w:val="18"/>
              </w:rPr>
              <w:t>felső</w:t>
            </w:r>
          </w:p>
        </w:tc>
      </w:tr>
      <w:tr w:rsidR="00D1041B" w14:paraId="08330973" w14:textId="77777777" w:rsidTr="00D1041B">
        <w:trPr>
          <w:cantSplit/>
          <w:trHeight w:val="23"/>
          <w:jc w:val="center"/>
        </w:trPr>
        <w:tc>
          <w:tcPr>
            <w:tcW w:w="3765" w:type="dxa"/>
            <w:tcBorders>
              <w:left w:val="single" w:sz="18" w:space="0" w:color="auto"/>
            </w:tcBorders>
          </w:tcPr>
          <w:p w14:paraId="07BEB766" w14:textId="77777777" w:rsidR="00D1041B" w:rsidRDefault="00D1041B" w:rsidP="00C71B70">
            <w:pPr>
              <w:keepNext/>
              <w:rPr>
                <w:rFonts w:cs="Arial"/>
                <w:bCs/>
                <w:color w:val="000000"/>
                <w:sz w:val="18"/>
                <w:szCs w:val="18"/>
              </w:rPr>
            </w:pPr>
            <w:r>
              <w:rPr>
                <w:rFonts w:cs="Arial"/>
                <w:bCs/>
                <w:color w:val="000000"/>
                <w:sz w:val="18"/>
                <w:szCs w:val="18"/>
              </w:rPr>
              <w:t>felhasználói állomás – átjátszóállomás</w:t>
            </w:r>
          </w:p>
        </w:tc>
        <w:tc>
          <w:tcPr>
            <w:tcW w:w="2268" w:type="dxa"/>
            <w:vMerge/>
            <w:tcBorders>
              <w:right w:val="single" w:sz="18" w:space="0" w:color="auto"/>
            </w:tcBorders>
            <w:vAlign w:val="center"/>
          </w:tcPr>
          <w:p w14:paraId="3A8E828C" w14:textId="77777777" w:rsidR="00D1041B" w:rsidRDefault="00D1041B" w:rsidP="00C71B70">
            <w:pPr>
              <w:keepNext/>
              <w:jc w:val="center"/>
              <w:rPr>
                <w:rFonts w:cs="Arial"/>
                <w:bCs/>
                <w:color w:val="000000"/>
                <w:sz w:val="18"/>
                <w:szCs w:val="18"/>
              </w:rPr>
            </w:pPr>
          </w:p>
        </w:tc>
      </w:tr>
      <w:tr w:rsidR="00D1041B" w14:paraId="32C1B702" w14:textId="77777777" w:rsidTr="00D1041B">
        <w:trPr>
          <w:cantSplit/>
          <w:trHeight w:val="23"/>
          <w:jc w:val="center"/>
        </w:trPr>
        <w:tc>
          <w:tcPr>
            <w:tcW w:w="3765" w:type="dxa"/>
            <w:tcBorders>
              <w:left w:val="single" w:sz="18" w:space="0" w:color="auto"/>
            </w:tcBorders>
          </w:tcPr>
          <w:p w14:paraId="394768E2" w14:textId="77777777" w:rsidR="00D1041B" w:rsidRDefault="00D1041B" w:rsidP="00C71B70">
            <w:pPr>
              <w:keepNext/>
              <w:rPr>
                <w:rFonts w:cs="Arial"/>
                <w:bCs/>
                <w:color w:val="000000"/>
                <w:sz w:val="18"/>
                <w:szCs w:val="18"/>
              </w:rPr>
            </w:pPr>
            <w:r>
              <w:rPr>
                <w:rFonts w:cs="Arial"/>
                <w:bCs/>
                <w:color w:val="000000"/>
                <w:sz w:val="18"/>
                <w:szCs w:val="18"/>
              </w:rPr>
              <w:t>átjátszóállomás – központi állomás</w:t>
            </w:r>
          </w:p>
        </w:tc>
        <w:tc>
          <w:tcPr>
            <w:tcW w:w="2268" w:type="dxa"/>
            <w:vMerge/>
            <w:tcBorders>
              <w:right w:val="single" w:sz="18" w:space="0" w:color="auto"/>
            </w:tcBorders>
            <w:vAlign w:val="center"/>
          </w:tcPr>
          <w:p w14:paraId="038F7D2C" w14:textId="77777777" w:rsidR="00D1041B" w:rsidRDefault="00D1041B" w:rsidP="00C71B70">
            <w:pPr>
              <w:keepNext/>
              <w:jc w:val="center"/>
              <w:rPr>
                <w:rFonts w:cs="Arial"/>
                <w:bCs/>
                <w:color w:val="000000"/>
                <w:sz w:val="18"/>
                <w:szCs w:val="18"/>
              </w:rPr>
            </w:pPr>
          </w:p>
        </w:tc>
      </w:tr>
      <w:tr w:rsidR="00D1041B" w14:paraId="3B30B795" w14:textId="77777777" w:rsidTr="00D1041B">
        <w:trPr>
          <w:cantSplit/>
          <w:trHeight w:val="23"/>
          <w:jc w:val="center"/>
        </w:trPr>
        <w:tc>
          <w:tcPr>
            <w:tcW w:w="3765" w:type="dxa"/>
            <w:tcBorders>
              <w:left w:val="single" w:sz="18" w:space="0" w:color="auto"/>
            </w:tcBorders>
          </w:tcPr>
          <w:p w14:paraId="498A6BCE" w14:textId="77777777" w:rsidR="00D1041B" w:rsidRDefault="00D1041B" w:rsidP="00C71B70">
            <w:pPr>
              <w:keepNext/>
              <w:rPr>
                <w:rFonts w:cs="Arial"/>
                <w:bCs/>
                <w:color w:val="000000"/>
                <w:sz w:val="18"/>
                <w:szCs w:val="18"/>
              </w:rPr>
            </w:pPr>
            <w:r>
              <w:rPr>
                <w:rFonts w:cs="Arial"/>
                <w:bCs/>
                <w:color w:val="000000"/>
                <w:sz w:val="18"/>
                <w:szCs w:val="18"/>
              </w:rPr>
              <w:t>központi állomás – felhasználói állomás</w:t>
            </w:r>
          </w:p>
        </w:tc>
        <w:tc>
          <w:tcPr>
            <w:tcW w:w="2268" w:type="dxa"/>
            <w:vMerge w:val="restart"/>
            <w:tcBorders>
              <w:right w:val="single" w:sz="18" w:space="0" w:color="auto"/>
            </w:tcBorders>
            <w:vAlign w:val="center"/>
          </w:tcPr>
          <w:p w14:paraId="5E5698CC" w14:textId="77777777" w:rsidR="00D1041B" w:rsidRDefault="00D1041B" w:rsidP="00C71B70">
            <w:pPr>
              <w:keepNext/>
              <w:jc w:val="center"/>
              <w:rPr>
                <w:rFonts w:cs="Arial"/>
                <w:bCs/>
                <w:color w:val="000000"/>
                <w:sz w:val="18"/>
                <w:szCs w:val="18"/>
              </w:rPr>
            </w:pPr>
            <w:r>
              <w:rPr>
                <w:rFonts w:cs="Arial"/>
                <w:bCs/>
                <w:color w:val="000000"/>
                <w:sz w:val="18"/>
                <w:szCs w:val="18"/>
              </w:rPr>
              <w:t>alsó</w:t>
            </w:r>
          </w:p>
        </w:tc>
      </w:tr>
      <w:tr w:rsidR="00D1041B" w14:paraId="0D7D57C4" w14:textId="77777777" w:rsidTr="00D1041B">
        <w:trPr>
          <w:cantSplit/>
          <w:trHeight w:val="23"/>
          <w:jc w:val="center"/>
        </w:trPr>
        <w:tc>
          <w:tcPr>
            <w:tcW w:w="3765" w:type="dxa"/>
            <w:tcBorders>
              <w:left w:val="single" w:sz="18" w:space="0" w:color="auto"/>
            </w:tcBorders>
          </w:tcPr>
          <w:p w14:paraId="256D0D06" w14:textId="77777777" w:rsidR="00D1041B" w:rsidRDefault="00D1041B" w:rsidP="00C71B70">
            <w:pPr>
              <w:keepNext/>
              <w:rPr>
                <w:rFonts w:cs="Arial"/>
                <w:bCs/>
                <w:color w:val="000000"/>
                <w:sz w:val="18"/>
                <w:szCs w:val="18"/>
              </w:rPr>
            </w:pPr>
            <w:r>
              <w:rPr>
                <w:rFonts w:cs="Arial"/>
                <w:bCs/>
                <w:color w:val="000000"/>
                <w:sz w:val="18"/>
                <w:szCs w:val="18"/>
              </w:rPr>
              <w:t>központi állomás – átjátszóállomás</w:t>
            </w:r>
          </w:p>
        </w:tc>
        <w:tc>
          <w:tcPr>
            <w:tcW w:w="2268" w:type="dxa"/>
            <w:vMerge/>
            <w:tcBorders>
              <w:right w:val="single" w:sz="18" w:space="0" w:color="auto"/>
            </w:tcBorders>
          </w:tcPr>
          <w:p w14:paraId="63995C78" w14:textId="77777777" w:rsidR="00D1041B" w:rsidRDefault="00D1041B" w:rsidP="00C71B70">
            <w:pPr>
              <w:keepNext/>
              <w:jc w:val="center"/>
              <w:rPr>
                <w:rFonts w:cs="Arial"/>
                <w:bCs/>
                <w:color w:val="000000"/>
                <w:sz w:val="18"/>
                <w:szCs w:val="18"/>
              </w:rPr>
            </w:pPr>
          </w:p>
        </w:tc>
      </w:tr>
      <w:tr w:rsidR="00D1041B" w14:paraId="0D851748" w14:textId="77777777" w:rsidTr="00D1041B">
        <w:trPr>
          <w:cantSplit/>
          <w:trHeight w:val="23"/>
          <w:jc w:val="center"/>
        </w:trPr>
        <w:tc>
          <w:tcPr>
            <w:tcW w:w="3765" w:type="dxa"/>
            <w:tcBorders>
              <w:left w:val="single" w:sz="18" w:space="0" w:color="auto"/>
              <w:bottom w:val="single" w:sz="18" w:space="0" w:color="auto"/>
            </w:tcBorders>
          </w:tcPr>
          <w:p w14:paraId="41442372" w14:textId="77777777" w:rsidR="00D1041B" w:rsidRDefault="00D1041B" w:rsidP="00C71B70">
            <w:pPr>
              <w:rPr>
                <w:rFonts w:cs="Arial"/>
                <w:bCs/>
                <w:color w:val="000000"/>
                <w:sz w:val="18"/>
                <w:szCs w:val="18"/>
              </w:rPr>
            </w:pPr>
            <w:r>
              <w:rPr>
                <w:rFonts w:cs="Arial"/>
                <w:bCs/>
                <w:color w:val="000000"/>
                <w:sz w:val="18"/>
                <w:szCs w:val="18"/>
              </w:rPr>
              <w:t>átjátszóállomás – felhasználói állomás</w:t>
            </w:r>
          </w:p>
        </w:tc>
        <w:tc>
          <w:tcPr>
            <w:tcW w:w="2268" w:type="dxa"/>
            <w:vMerge/>
            <w:tcBorders>
              <w:bottom w:val="single" w:sz="18" w:space="0" w:color="auto"/>
              <w:right w:val="single" w:sz="18" w:space="0" w:color="auto"/>
            </w:tcBorders>
          </w:tcPr>
          <w:p w14:paraId="6E109731" w14:textId="77777777" w:rsidR="00D1041B" w:rsidRDefault="00D1041B" w:rsidP="00D1041B">
            <w:pPr>
              <w:keepNext/>
              <w:jc w:val="center"/>
              <w:rPr>
                <w:rFonts w:cs="Arial"/>
                <w:bCs/>
                <w:color w:val="000000"/>
                <w:sz w:val="18"/>
                <w:szCs w:val="18"/>
              </w:rPr>
            </w:pPr>
          </w:p>
        </w:tc>
      </w:tr>
    </w:tbl>
    <w:p w14:paraId="45DAEEF6" w14:textId="2C4BFAC6" w:rsidR="0037475E" w:rsidRDefault="00D1041B" w:rsidP="00D1041B">
      <w:pPr>
        <w:pStyle w:val="Kpalrs"/>
        <w:jc w:val="center"/>
      </w:pPr>
      <w:r w:rsidRPr="00D1041B">
        <w:t>4.2.1.2</w:t>
      </w:r>
      <w:r>
        <w:t>. táblázat Átviteli jelutak frekvenciasávjai a 32 GHz frekvenciasávban</w:t>
      </w:r>
    </w:p>
    <w:p w14:paraId="79E03BBE" w14:textId="273D1AB1" w:rsidR="00085A59" w:rsidRDefault="00085A59">
      <w:pPr>
        <w:spacing w:after="200"/>
        <w:jc w:val="left"/>
      </w:pPr>
      <w:r>
        <w:br w:type="page"/>
      </w:r>
    </w:p>
    <w:p w14:paraId="182EB5FD" w14:textId="4F1F1331" w:rsidR="00CB7A92" w:rsidRPr="00D1041B" w:rsidRDefault="00CB7A92" w:rsidP="0037475E">
      <w:pPr>
        <w:pStyle w:val="Cmsor3szmozottnmhh"/>
        <w:numPr>
          <w:ilvl w:val="2"/>
          <w:numId w:val="87"/>
        </w:numPr>
      </w:pPr>
      <w:bookmarkStart w:id="46" w:name="_Toc96075647"/>
      <w:r w:rsidRPr="00D1041B">
        <w:lastRenderedPageBreak/>
        <w:t>A rádióspektrum-használati jog szerzésén</w:t>
      </w:r>
      <w:r w:rsidR="00085A59">
        <w:t>ek és a sávhasználat feltételei</w:t>
      </w:r>
      <w:bookmarkEnd w:id="46"/>
    </w:p>
    <w:tbl>
      <w:tblPr>
        <w:tblW w:w="9334"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955"/>
        <w:gridCol w:w="6379"/>
      </w:tblGrid>
      <w:tr w:rsidR="00D1041B" w:rsidRPr="003F6E7F" w14:paraId="0F5E2143" w14:textId="77777777" w:rsidTr="00D1041B">
        <w:trPr>
          <w:cantSplit/>
          <w:trHeight w:val="55"/>
          <w:tblHeader/>
        </w:trPr>
        <w:tc>
          <w:tcPr>
            <w:tcW w:w="2955" w:type="dxa"/>
            <w:tcBorders>
              <w:top w:val="single" w:sz="18" w:space="0" w:color="auto"/>
              <w:left w:val="single" w:sz="18" w:space="0" w:color="auto"/>
              <w:bottom w:val="single" w:sz="18" w:space="0" w:color="auto"/>
            </w:tcBorders>
            <w:vAlign w:val="center"/>
          </w:tcPr>
          <w:p w14:paraId="09E1E605" w14:textId="77777777" w:rsidR="00D1041B" w:rsidRPr="003F6E7F" w:rsidRDefault="00D1041B" w:rsidP="00CB7A92">
            <w:pPr>
              <w:keepNext/>
              <w:jc w:val="center"/>
              <w:rPr>
                <w:rFonts w:cs="Arial"/>
                <w:color w:val="000000"/>
                <w:sz w:val="18"/>
                <w:szCs w:val="18"/>
              </w:rPr>
            </w:pPr>
            <w:r w:rsidRPr="003F6E7F">
              <w:rPr>
                <w:b/>
                <w:color w:val="000000"/>
                <w:sz w:val="18"/>
              </w:rPr>
              <w:t>Feltétel tárgya</w:t>
            </w:r>
          </w:p>
        </w:tc>
        <w:tc>
          <w:tcPr>
            <w:tcW w:w="6379" w:type="dxa"/>
            <w:tcBorders>
              <w:top w:val="single" w:sz="18" w:space="0" w:color="auto"/>
              <w:bottom w:val="single" w:sz="18" w:space="0" w:color="auto"/>
              <w:right w:val="single" w:sz="18" w:space="0" w:color="auto"/>
            </w:tcBorders>
            <w:vAlign w:val="center"/>
          </w:tcPr>
          <w:p w14:paraId="3A41F4EE" w14:textId="77777777" w:rsidR="00D1041B" w:rsidRPr="003F6E7F" w:rsidRDefault="00D1041B" w:rsidP="00CB7A92">
            <w:pPr>
              <w:keepNext/>
              <w:tabs>
                <w:tab w:val="left" w:pos="-1440"/>
                <w:tab w:val="left" w:pos="-720"/>
              </w:tabs>
              <w:spacing w:line="240" w:lineRule="exact"/>
              <w:jc w:val="center"/>
              <w:outlineLvl w:val="3"/>
              <w:rPr>
                <w:rFonts w:cs="Arial"/>
                <w:color w:val="000000"/>
                <w:sz w:val="18"/>
                <w:szCs w:val="18"/>
              </w:rPr>
            </w:pPr>
            <w:r w:rsidRPr="003F6E7F">
              <w:rPr>
                <w:b/>
                <w:color w:val="000000"/>
                <w:sz w:val="18"/>
              </w:rPr>
              <w:t>Előírás</w:t>
            </w:r>
          </w:p>
        </w:tc>
      </w:tr>
      <w:tr w:rsidR="00D1041B" w:rsidRPr="003F6E7F" w14:paraId="077B1C07" w14:textId="77777777" w:rsidTr="00D1041B">
        <w:trPr>
          <w:cantSplit/>
          <w:trHeight w:val="23"/>
        </w:trPr>
        <w:tc>
          <w:tcPr>
            <w:tcW w:w="2955" w:type="dxa"/>
            <w:tcBorders>
              <w:top w:val="single" w:sz="18" w:space="0" w:color="auto"/>
              <w:left w:val="single" w:sz="18" w:space="0" w:color="auto"/>
              <w:bottom w:val="single" w:sz="4" w:space="0" w:color="auto"/>
            </w:tcBorders>
          </w:tcPr>
          <w:p w14:paraId="7F1B289B" w14:textId="77777777" w:rsidR="00D1041B" w:rsidRPr="003F6E7F" w:rsidRDefault="00D1041B" w:rsidP="00CB7A92">
            <w:pPr>
              <w:keepNext/>
              <w:keepLines/>
              <w:jc w:val="left"/>
              <w:rPr>
                <w:rFonts w:cs="Arial"/>
                <w:color w:val="000000"/>
                <w:sz w:val="18"/>
                <w:szCs w:val="18"/>
              </w:rPr>
            </w:pPr>
            <w:r w:rsidRPr="003F6E7F">
              <w:rPr>
                <w:rFonts w:cs="Arial"/>
                <w:color w:val="000000"/>
                <w:sz w:val="18"/>
                <w:szCs w:val="18"/>
              </w:rPr>
              <w:t>Használat célja</w:t>
            </w:r>
          </w:p>
        </w:tc>
        <w:tc>
          <w:tcPr>
            <w:tcW w:w="6379" w:type="dxa"/>
            <w:tcBorders>
              <w:top w:val="single" w:sz="18" w:space="0" w:color="auto"/>
              <w:bottom w:val="single" w:sz="4" w:space="0" w:color="auto"/>
              <w:right w:val="single" w:sz="18" w:space="0" w:color="auto"/>
            </w:tcBorders>
          </w:tcPr>
          <w:p w14:paraId="4FF1BA0B" w14:textId="77777777" w:rsidR="00D1041B" w:rsidRPr="003F6E7F" w:rsidRDefault="00D1041B" w:rsidP="00CB7A92">
            <w:pPr>
              <w:keepNext/>
              <w:keepLines/>
              <w:ind w:left="198" w:hanging="198"/>
              <w:jc w:val="left"/>
              <w:rPr>
                <w:rFonts w:cs="Arial"/>
                <w:color w:val="000000"/>
                <w:sz w:val="18"/>
                <w:szCs w:val="18"/>
              </w:rPr>
            </w:pPr>
            <w:r w:rsidRPr="003F6E7F">
              <w:rPr>
                <w:rFonts w:eastAsia="PTSansRegular" w:cs="Arial"/>
                <w:color w:val="000000"/>
                <w:sz w:val="18"/>
                <w:szCs w:val="18"/>
              </w:rPr>
              <w:t>elektronikus hírközlési szolgáltatás nyújtása, elektronikus hírközlési üzemvitel</w:t>
            </w:r>
          </w:p>
        </w:tc>
      </w:tr>
      <w:tr w:rsidR="00D1041B" w:rsidRPr="003F6E7F" w14:paraId="7B2D6297" w14:textId="77777777" w:rsidTr="00D1041B">
        <w:trPr>
          <w:cantSplit/>
          <w:trHeight w:val="23"/>
        </w:trPr>
        <w:tc>
          <w:tcPr>
            <w:tcW w:w="2955" w:type="dxa"/>
            <w:tcBorders>
              <w:top w:val="single" w:sz="4" w:space="0" w:color="auto"/>
              <w:left w:val="single" w:sz="18" w:space="0" w:color="auto"/>
              <w:bottom w:val="single" w:sz="4" w:space="0" w:color="auto"/>
            </w:tcBorders>
          </w:tcPr>
          <w:p w14:paraId="23B2CD08" w14:textId="77777777" w:rsidR="00D1041B" w:rsidRPr="003F6E7F" w:rsidRDefault="00D1041B" w:rsidP="00CB7A92">
            <w:pPr>
              <w:keepNext/>
              <w:keepLines/>
              <w:jc w:val="left"/>
              <w:rPr>
                <w:rFonts w:cs="Arial"/>
                <w:color w:val="000000"/>
                <w:sz w:val="18"/>
                <w:szCs w:val="18"/>
              </w:rPr>
            </w:pPr>
            <w:r w:rsidRPr="003F6E7F">
              <w:rPr>
                <w:rFonts w:cs="Arial"/>
                <w:color w:val="000000"/>
                <w:sz w:val="18"/>
                <w:szCs w:val="18"/>
              </w:rPr>
              <w:t>Frekvenciaelosztás módja</w:t>
            </w:r>
          </w:p>
        </w:tc>
        <w:tc>
          <w:tcPr>
            <w:tcW w:w="6379" w:type="dxa"/>
            <w:tcBorders>
              <w:top w:val="single" w:sz="4" w:space="0" w:color="auto"/>
              <w:bottom w:val="single" w:sz="4" w:space="0" w:color="auto"/>
              <w:right w:val="single" w:sz="18" w:space="0" w:color="auto"/>
            </w:tcBorders>
          </w:tcPr>
          <w:p w14:paraId="1D70605C" w14:textId="77777777" w:rsidR="00D1041B" w:rsidRPr="003F6E7F" w:rsidRDefault="00D1041B" w:rsidP="00CB7A92">
            <w:pPr>
              <w:keepNext/>
              <w:keepLines/>
              <w:ind w:left="198" w:hanging="198"/>
              <w:jc w:val="left"/>
              <w:rPr>
                <w:rFonts w:cs="Arial"/>
                <w:color w:val="000000"/>
                <w:sz w:val="18"/>
                <w:szCs w:val="18"/>
              </w:rPr>
            </w:pPr>
            <w:r w:rsidRPr="003F6E7F">
              <w:rPr>
                <w:rFonts w:eastAsia="PTSansRegular" w:cs="Arial"/>
                <w:color w:val="000000"/>
                <w:sz w:val="18"/>
                <w:szCs w:val="18"/>
              </w:rPr>
              <w:t>versenyeztetési eljárás</w:t>
            </w:r>
          </w:p>
        </w:tc>
      </w:tr>
      <w:tr w:rsidR="00D1041B" w:rsidRPr="003F6E7F" w14:paraId="45DC5B3B" w14:textId="77777777" w:rsidTr="00D1041B">
        <w:trPr>
          <w:cantSplit/>
          <w:trHeight w:val="23"/>
        </w:trPr>
        <w:tc>
          <w:tcPr>
            <w:tcW w:w="2955" w:type="dxa"/>
            <w:tcBorders>
              <w:top w:val="single" w:sz="4" w:space="0" w:color="auto"/>
              <w:left w:val="single" w:sz="18" w:space="0" w:color="auto"/>
              <w:bottom w:val="single" w:sz="4" w:space="0" w:color="auto"/>
            </w:tcBorders>
          </w:tcPr>
          <w:p w14:paraId="1489BB4E" w14:textId="77777777" w:rsidR="00D1041B" w:rsidRPr="003F6E7F" w:rsidRDefault="00D1041B" w:rsidP="00CB7A92">
            <w:pPr>
              <w:keepNext/>
              <w:keepLines/>
              <w:jc w:val="left"/>
              <w:rPr>
                <w:rFonts w:cs="Arial"/>
                <w:color w:val="000000"/>
                <w:sz w:val="18"/>
                <w:szCs w:val="18"/>
              </w:rPr>
            </w:pPr>
            <w:r>
              <w:rPr>
                <w:rFonts w:cs="Arial"/>
                <w:color w:val="000000"/>
                <w:sz w:val="18"/>
                <w:szCs w:val="18"/>
              </w:rPr>
              <w:t>Frekvenciatartomány-mennyiség maximuma</w:t>
            </w:r>
          </w:p>
        </w:tc>
        <w:tc>
          <w:tcPr>
            <w:tcW w:w="6379" w:type="dxa"/>
            <w:tcBorders>
              <w:top w:val="single" w:sz="4" w:space="0" w:color="auto"/>
              <w:bottom w:val="single" w:sz="4" w:space="0" w:color="auto"/>
              <w:right w:val="single" w:sz="18" w:space="0" w:color="auto"/>
            </w:tcBorders>
          </w:tcPr>
          <w:p w14:paraId="02E34B3F" w14:textId="77777777" w:rsidR="00D1041B" w:rsidRDefault="00D1041B" w:rsidP="00CB7A92">
            <w:pPr>
              <w:keepNext/>
              <w:keepLines/>
              <w:ind w:left="198" w:hanging="198"/>
              <w:jc w:val="left"/>
              <w:rPr>
                <w:rFonts w:eastAsia="PTSansRegular" w:cs="Arial"/>
                <w:color w:val="000000"/>
                <w:sz w:val="18"/>
                <w:szCs w:val="18"/>
              </w:rPr>
            </w:pPr>
            <w:r>
              <w:rPr>
                <w:rFonts w:eastAsia="PTSansRegular" w:cs="Arial"/>
                <w:color w:val="000000"/>
                <w:sz w:val="18"/>
                <w:szCs w:val="18"/>
              </w:rPr>
              <w:t>egy rádióspektrum-használati jogosult a rádióspektrum-használati jogosultság területi kiterjedésén belül legfeljebb hat alapblokk rádióspektrum-használati jogosultságával, jogával rendelkezhet;</w:t>
            </w:r>
          </w:p>
          <w:p w14:paraId="64CA744B" w14:textId="77777777" w:rsidR="00D1041B" w:rsidRPr="003F6E7F" w:rsidRDefault="00D1041B" w:rsidP="00CB7A92">
            <w:pPr>
              <w:keepNext/>
              <w:keepLines/>
              <w:ind w:left="198" w:hanging="198"/>
              <w:jc w:val="left"/>
              <w:rPr>
                <w:rFonts w:eastAsia="PTSansRegular" w:cs="Arial"/>
                <w:color w:val="000000"/>
                <w:sz w:val="18"/>
                <w:szCs w:val="18"/>
              </w:rPr>
            </w:pPr>
            <w:r>
              <w:rPr>
                <w:rFonts w:eastAsia="PTSansRegular" w:cs="Arial"/>
                <w:color w:val="000000"/>
                <w:sz w:val="18"/>
                <w:szCs w:val="18"/>
              </w:rPr>
              <w:t>egy vállalkozáscsoportba tartozó rádióspektrum-használati jogosultak a rádióspektrum-használati jogosultság területi kiterjedésén belül együttesen legfeljebb hat alapblokk rádióspektrum-használati jogosultságával, jogával rendelkezhetnek</w:t>
            </w:r>
          </w:p>
        </w:tc>
      </w:tr>
      <w:tr w:rsidR="00D1041B" w:rsidRPr="003F6E7F" w14:paraId="52B37D35" w14:textId="77777777" w:rsidTr="00D1041B">
        <w:trPr>
          <w:cantSplit/>
          <w:trHeight w:val="23"/>
        </w:trPr>
        <w:tc>
          <w:tcPr>
            <w:tcW w:w="2955" w:type="dxa"/>
            <w:tcBorders>
              <w:top w:val="single" w:sz="4" w:space="0" w:color="auto"/>
              <w:left w:val="single" w:sz="18" w:space="0" w:color="auto"/>
              <w:bottom w:val="single" w:sz="4" w:space="0" w:color="auto"/>
            </w:tcBorders>
          </w:tcPr>
          <w:p w14:paraId="1A3A1A8B" w14:textId="77777777" w:rsidR="00D1041B" w:rsidRPr="003F6E7F" w:rsidRDefault="00D1041B" w:rsidP="00CB7A92">
            <w:pPr>
              <w:keepNext/>
              <w:keepLines/>
              <w:jc w:val="left"/>
              <w:rPr>
                <w:rFonts w:cs="Arial"/>
                <w:color w:val="000000"/>
                <w:sz w:val="18"/>
                <w:szCs w:val="18"/>
              </w:rPr>
            </w:pPr>
          </w:p>
        </w:tc>
        <w:tc>
          <w:tcPr>
            <w:tcW w:w="6379" w:type="dxa"/>
            <w:tcBorders>
              <w:top w:val="single" w:sz="4" w:space="0" w:color="auto"/>
              <w:bottom w:val="single" w:sz="4" w:space="0" w:color="auto"/>
              <w:right w:val="single" w:sz="18" w:space="0" w:color="auto"/>
            </w:tcBorders>
          </w:tcPr>
          <w:p w14:paraId="4218F673" w14:textId="77777777" w:rsidR="00D1041B" w:rsidRPr="003F6E7F" w:rsidRDefault="00D1041B" w:rsidP="00CB7A92">
            <w:pPr>
              <w:keepNext/>
              <w:keepLines/>
              <w:ind w:left="198" w:hanging="198"/>
              <w:jc w:val="left"/>
              <w:rPr>
                <w:rFonts w:eastAsia="PTSansRegular" w:cs="Arial"/>
                <w:color w:val="000000"/>
                <w:sz w:val="18"/>
                <w:szCs w:val="18"/>
              </w:rPr>
            </w:pPr>
            <w:r>
              <w:rPr>
                <w:rFonts w:eastAsia="PTSansRegular" w:cs="Arial"/>
                <w:color w:val="000000"/>
                <w:sz w:val="18"/>
                <w:szCs w:val="18"/>
              </w:rPr>
              <w:t>ha versenyeztetési eljárás lezárultát követően valamely rádióspektrum-használati jogosult vagy egy vállalkozáscsoportba tartozó rádióspektrum-használati jogosultak a frekvenciatartomány-mennyiség maximumát túllépik, a túllépéstől számított 1 éven belül kötelesek a rendelkezésükre álló frekvenciatartomány-mennyiséget legalább a frekvenciatartomány-mennyiség maximumának értékéig csökkenteni</w:t>
            </w:r>
          </w:p>
        </w:tc>
      </w:tr>
      <w:tr w:rsidR="00D1041B" w:rsidRPr="003F6E7F" w14:paraId="3B85F3EC" w14:textId="77777777" w:rsidTr="00D1041B">
        <w:trPr>
          <w:cantSplit/>
          <w:trHeight w:val="23"/>
        </w:trPr>
        <w:tc>
          <w:tcPr>
            <w:tcW w:w="2955" w:type="dxa"/>
            <w:tcBorders>
              <w:top w:val="single" w:sz="4" w:space="0" w:color="auto"/>
              <w:left w:val="single" w:sz="18" w:space="0" w:color="auto"/>
              <w:bottom w:val="single" w:sz="4" w:space="0" w:color="auto"/>
            </w:tcBorders>
          </w:tcPr>
          <w:p w14:paraId="3D2CEBEF" w14:textId="77777777" w:rsidR="00D1041B" w:rsidRPr="003F6E7F" w:rsidRDefault="00D1041B" w:rsidP="00CB7A92">
            <w:pPr>
              <w:keepNext/>
              <w:keepLines/>
              <w:jc w:val="left"/>
              <w:rPr>
                <w:rFonts w:cs="Arial"/>
                <w:color w:val="000000"/>
                <w:sz w:val="18"/>
                <w:szCs w:val="18"/>
              </w:rPr>
            </w:pPr>
            <w:r>
              <w:rPr>
                <w:rFonts w:cs="Arial"/>
                <w:color w:val="000000"/>
                <w:sz w:val="18"/>
                <w:szCs w:val="18"/>
              </w:rPr>
              <w:t>Frekvenciatartomány-mennyiség minimuma</w:t>
            </w:r>
          </w:p>
        </w:tc>
        <w:tc>
          <w:tcPr>
            <w:tcW w:w="6379" w:type="dxa"/>
            <w:tcBorders>
              <w:top w:val="single" w:sz="4" w:space="0" w:color="auto"/>
              <w:bottom w:val="single" w:sz="4" w:space="0" w:color="auto"/>
              <w:right w:val="single" w:sz="18" w:space="0" w:color="auto"/>
            </w:tcBorders>
          </w:tcPr>
          <w:p w14:paraId="7F6407A3" w14:textId="77777777" w:rsidR="00D1041B" w:rsidRDefault="00D1041B" w:rsidP="00CB7A92">
            <w:pPr>
              <w:keepNext/>
              <w:keepLines/>
              <w:ind w:left="198" w:hanging="198"/>
              <w:jc w:val="left"/>
              <w:rPr>
                <w:rFonts w:eastAsia="PTSansRegular" w:cs="Arial"/>
                <w:color w:val="000000"/>
                <w:sz w:val="18"/>
                <w:szCs w:val="18"/>
              </w:rPr>
            </w:pPr>
            <w:r>
              <w:rPr>
                <w:rFonts w:eastAsia="PTSansRegular" w:cs="Arial"/>
                <w:color w:val="000000"/>
                <w:sz w:val="18"/>
                <w:szCs w:val="18"/>
              </w:rPr>
              <w:t>egy rádióspektrum-használati jogosultnak legalább két alapblokk rádióspektrum-használati jogosultságával, jogával kell rendelkeznie</w:t>
            </w:r>
          </w:p>
        </w:tc>
      </w:tr>
      <w:tr w:rsidR="00D1041B" w:rsidRPr="003F6E7F" w14:paraId="6021011D" w14:textId="77777777" w:rsidTr="00D1041B">
        <w:trPr>
          <w:cantSplit/>
          <w:trHeight w:val="23"/>
        </w:trPr>
        <w:tc>
          <w:tcPr>
            <w:tcW w:w="2955" w:type="dxa"/>
            <w:tcBorders>
              <w:top w:val="single" w:sz="4" w:space="0" w:color="auto"/>
              <w:left w:val="single" w:sz="18" w:space="0" w:color="auto"/>
              <w:bottom w:val="single" w:sz="4" w:space="0" w:color="auto"/>
            </w:tcBorders>
          </w:tcPr>
          <w:p w14:paraId="10C2A652" w14:textId="77777777" w:rsidR="00D1041B" w:rsidRPr="003F6E7F" w:rsidRDefault="00D1041B" w:rsidP="00CB7A92">
            <w:pPr>
              <w:keepNext/>
              <w:keepLines/>
              <w:jc w:val="left"/>
              <w:rPr>
                <w:rFonts w:cs="Arial"/>
                <w:color w:val="000000"/>
                <w:sz w:val="18"/>
                <w:szCs w:val="18"/>
              </w:rPr>
            </w:pPr>
          </w:p>
        </w:tc>
        <w:tc>
          <w:tcPr>
            <w:tcW w:w="6379" w:type="dxa"/>
            <w:tcBorders>
              <w:top w:val="single" w:sz="4" w:space="0" w:color="auto"/>
              <w:bottom w:val="single" w:sz="4" w:space="0" w:color="auto"/>
              <w:right w:val="single" w:sz="18" w:space="0" w:color="auto"/>
            </w:tcBorders>
          </w:tcPr>
          <w:p w14:paraId="16734B6B" w14:textId="77777777" w:rsidR="00D1041B" w:rsidRDefault="00D1041B" w:rsidP="00CB7A92">
            <w:pPr>
              <w:keepNext/>
              <w:keepLines/>
              <w:ind w:left="198" w:hanging="198"/>
              <w:jc w:val="left"/>
              <w:rPr>
                <w:rFonts w:eastAsia="PTSansRegular" w:cs="Arial"/>
                <w:color w:val="000000"/>
                <w:sz w:val="18"/>
                <w:szCs w:val="18"/>
              </w:rPr>
            </w:pPr>
            <w:r>
              <w:rPr>
                <w:rFonts w:eastAsia="PTSansRegular" w:cs="Arial"/>
                <w:color w:val="000000"/>
                <w:sz w:val="18"/>
                <w:szCs w:val="18"/>
              </w:rPr>
              <w:t>ha valamely rádióspektrum-használati jogosult nem rendelkezik legalább két alapblokk rádióspektrum-használati jogosultságával, jogával, a frekvenciatartomány-mennyiség minimumának el nem érésétől számított 1 éven belül köteles legalább a frekvenciatartomány-mennyiség minimumát elérni</w:t>
            </w:r>
          </w:p>
        </w:tc>
      </w:tr>
      <w:tr w:rsidR="00D1041B" w:rsidRPr="003F6E7F" w14:paraId="2746F5FA" w14:textId="77777777" w:rsidTr="00D1041B">
        <w:trPr>
          <w:cantSplit/>
          <w:trHeight w:val="23"/>
        </w:trPr>
        <w:tc>
          <w:tcPr>
            <w:tcW w:w="2955" w:type="dxa"/>
            <w:tcBorders>
              <w:top w:val="single" w:sz="4" w:space="0" w:color="auto"/>
              <w:left w:val="single" w:sz="18" w:space="0" w:color="auto"/>
              <w:bottom w:val="single" w:sz="4" w:space="0" w:color="auto"/>
            </w:tcBorders>
          </w:tcPr>
          <w:p w14:paraId="18DF7456" w14:textId="77777777" w:rsidR="00D1041B" w:rsidRPr="003F6E7F" w:rsidRDefault="00D1041B" w:rsidP="00CB7A92">
            <w:pPr>
              <w:keepNext/>
              <w:keepLines/>
              <w:jc w:val="left"/>
              <w:rPr>
                <w:rFonts w:cs="Arial"/>
                <w:color w:val="000000"/>
                <w:sz w:val="18"/>
                <w:szCs w:val="18"/>
              </w:rPr>
            </w:pPr>
            <w:r w:rsidRPr="003F6E7F">
              <w:rPr>
                <w:rFonts w:cs="Arial"/>
                <w:color w:val="000000"/>
                <w:sz w:val="18"/>
                <w:szCs w:val="18"/>
              </w:rPr>
              <w:t>Rádióspektrum-használati jogosultság területi kiterjedése</w:t>
            </w:r>
          </w:p>
        </w:tc>
        <w:tc>
          <w:tcPr>
            <w:tcW w:w="6379" w:type="dxa"/>
            <w:tcBorders>
              <w:top w:val="single" w:sz="4" w:space="0" w:color="auto"/>
              <w:bottom w:val="single" w:sz="4" w:space="0" w:color="auto"/>
              <w:right w:val="single" w:sz="18" w:space="0" w:color="auto"/>
            </w:tcBorders>
          </w:tcPr>
          <w:p w14:paraId="4E68D883" w14:textId="1076C910" w:rsidR="00D1041B" w:rsidRPr="003F6E7F" w:rsidRDefault="00D1041B" w:rsidP="00CB7A92">
            <w:pPr>
              <w:keepNext/>
              <w:keepLines/>
              <w:ind w:left="198" w:hanging="198"/>
              <w:jc w:val="left"/>
              <w:rPr>
                <w:rFonts w:cs="Arial"/>
                <w:color w:val="000000"/>
                <w:sz w:val="18"/>
                <w:szCs w:val="18"/>
              </w:rPr>
            </w:pPr>
            <w:r>
              <w:rPr>
                <w:rFonts w:eastAsia="PTSansRegular" w:cs="Arial"/>
                <w:color w:val="000000"/>
                <w:sz w:val="18"/>
                <w:szCs w:val="18"/>
              </w:rPr>
              <w:t>a rádióspektrum-használati jogosultság versenyeztetési eljárás eredményeként történő megszerzése esetén országos, átruházás útján történő megszerzése esetén kisebb földrajzi egység is megengedett</w:t>
            </w:r>
          </w:p>
        </w:tc>
      </w:tr>
      <w:tr w:rsidR="00D1041B" w:rsidRPr="003F6E7F" w14:paraId="134EE834" w14:textId="77777777" w:rsidTr="00D1041B">
        <w:trPr>
          <w:cantSplit/>
          <w:trHeight w:val="23"/>
        </w:trPr>
        <w:tc>
          <w:tcPr>
            <w:tcW w:w="2955" w:type="dxa"/>
            <w:tcBorders>
              <w:top w:val="single" w:sz="4" w:space="0" w:color="auto"/>
              <w:left w:val="single" w:sz="18" w:space="0" w:color="auto"/>
              <w:bottom w:val="single" w:sz="4" w:space="0" w:color="auto"/>
            </w:tcBorders>
          </w:tcPr>
          <w:p w14:paraId="78ADF485" w14:textId="77777777" w:rsidR="00D1041B" w:rsidRPr="003F6E7F" w:rsidRDefault="00D1041B" w:rsidP="00CB7A92">
            <w:pPr>
              <w:jc w:val="left"/>
              <w:rPr>
                <w:rFonts w:cs="Arial"/>
                <w:color w:val="000000"/>
                <w:sz w:val="18"/>
                <w:szCs w:val="18"/>
              </w:rPr>
            </w:pPr>
            <w:r w:rsidRPr="003F6E7F">
              <w:rPr>
                <w:rFonts w:cs="Arial"/>
                <w:color w:val="000000"/>
                <w:sz w:val="18"/>
                <w:szCs w:val="18"/>
              </w:rPr>
              <w:t>Gazdálkodás módja</w:t>
            </w:r>
          </w:p>
        </w:tc>
        <w:tc>
          <w:tcPr>
            <w:tcW w:w="6379" w:type="dxa"/>
            <w:tcBorders>
              <w:top w:val="single" w:sz="4" w:space="0" w:color="auto"/>
              <w:bottom w:val="single" w:sz="4" w:space="0" w:color="auto"/>
              <w:right w:val="single" w:sz="18" w:space="0" w:color="auto"/>
            </w:tcBorders>
          </w:tcPr>
          <w:p w14:paraId="448A93A5" w14:textId="77777777" w:rsidR="00D1041B" w:rsidRPr="003F6E7F" w:rsidRDefault="00D1041B" w:rsidP="00CB7A92">
            <w:pPr>
              <w:ind w:left="198" w:hanging="198"/>
              <w:jc w:val="left"/>
              <w:rPr>
                <w:rFonts w:cs="Arial"/>
                <w:color w:val="000000"/>
                <w:sz w:val="18"/>
                <w:szCs w:val="18"/>
              </w:rPr>
            </w:pPr>
            <w:r w:rsidRPr="003F6E7F">
              <w:rPr>
                <w:rFonts w:eastAsia="PTSansRegular" w:cs="Arial"/>
                <w:color w:val="000000"/>
                <w:sz w:val="18"/>
                <w:szCs w:val="18"/>
              </w:rPr>
              <w:t>blokkgazdálkodás</w:t>
            </w:r>
          </w:p>
        </w:tc>
      </w:tr>
      <w:tr w:rsidR="00D1041B" w:rsidRPr="003F6E7F" w14:paraId="3BE4E078" w14:textId="77777777" w:rsidTr="00D1041B">
        <w:trPr>
          <w:cantSplit/>
          <w:trHeight w:val="23"/>
        </w:trPr>
        <w:tc>
          <w:tcPr>
            <w:tcW w:w="2955" w:type="dxa"/>
            <w:tcBorders>
              <w:top w:val="single" w:sz="4" w:space="0" w:color="auto"/>
              <w:left w:val="single" w:sz="18" w:space="0" w:color="auto"/>
              <w:bottom w:val="single" w:sz="6" w:space="0" w:color="auto"/>
            </w:tcBorders>
          </w:tcPr>
          <w:p w14:paraId="7CFE8704" w14:textId="77777777" w:rsidR="00D1041B" w:rsidRPr="003F6E7F" w:rsidRDefault="00D1041B" w:rsidP="00CB7A92">
            <w:pPr>
              <w:jc w:val="left"/>
              <w:rPr>
                <w:rFonts w:cs="Arial"/>
                <w:color w:val="000000"/>
                <w:sz w:val="18"/>
                <w:szCs w:val="18"/>
              </w:rPr>
            </w:pPr>
            <w:r>
              <w:rPr>
                <w:rFonts w:cs="Arial"/>
                <w:color w:val="000000"/>
                <w:sz w:val="18"/>
                <w:szCs w:val="18"/>
              </w:rPr>
              <w:t>Sávátrendezés</w:t>
            </w:r>
          </w:p>
        </w:tc>
        <w:tc>
          <w:tcPr>
            <w:tcW w:w="6379" w:type="dxa"/>
            <w:tcBorders>
              <w:top w:val="single" w:sz="4" w:space="0" w:color="auto"/>
              <w:bottom w:val="single" w:sz="6" w:space="0" w:color="auto"/>
              <w:right w:val="single" w:sz="18" w:space="0" w:color="auto"/>
            </w:tcBorders>
          </w:tcPr>
          <w:p w14:paraId="4B8EAF38" w14:textId="77777777" w:rsidR="00D1041B" w:rsidRPr="003F6E7F" w:rsidRDefault="00D1041B" w:rsidP="00CB7A92">
            <w:pPr>
              <w:ind w:left="198" w:hanging="198"/>
              <w:jc w:val="left"/>
              <w:rPr>
                <w:rFonts w:eastAsia="PTSansRegular" w:cs="Arial"/>
                <w:color w:val="000000"/>
                <w:sz w:val="18"/>
                <w:szCs w:val="18"/>
              </w:rPr>
            </w:pPr>
            <w:r>
              <w:rPr>
                <w:rFonts w:eastAsia="PTSansRegular" w:cs="Arial"/>
                <w:color w:val="000000"/>
                <w:sz w:val="18"/>
                <w:szCs w:val="18"/>
              </w:rPr>
              <w:t>megengedett</w:t>
            </w:r>
          </w:p>
        </w:tc>
      </w:tr>
      <w:tr w:rsidR="00D1041B" w:rsidRPr="003F6E7F" w14:paraId="03D89E59" w14:textId="77777777" w:rsidTr="00D1041B">
        <w:trPr>
          <w:cantSplit/>
          <w:trHeight w:val="23"/>
        </w:trPr>
        <w:tc>
          <w:tcPr>
            <w:tcW w:w="2955" w:type="dxa"/>
            <w:tcBorders>
              <w:top w:val="single" w:sz="6" w:space="0" w:color="auto"/>
              <w:left w:val="single" w:sz="18" w:space="0" w:color="auto"/>
              <w:bottom w:val="single" w:sz="18" w:space="0" w:color="auto"/>
            </w:tcBorders>
          </w:tcPr>
          <w:p w14:paraId="2819DF79" w14:textId="77777777" w:rsidR="00D1041B" w:rsidRPr="003F6E7F" w:rsidRDefault="00D1041B" w:rsidP="00CB7A92">
            <w:pPr>
              <w:jc w:val="left"/>
              <w:rPr>
                <w:rFonts w:cs="Arial"/>
                <w:color w:val="000000"/>
                <w:sz w:val="18"/>
                <w:szCs w:val="18"/>
              </w:rPr>
            </w:pPr>
            <w:r>
              <w:rPr>
                <w:rFonts w:cs="Arial"/>
                <w:color w:val="000000"/>
                <w:sz w:val="18"/>
                <w:szCs w:val="18"/>
              </w:rPr>
              <w:t>Másodlagos kereskedelem</w:t>
            </w:r>
          </w:p>
        </w:tc>
        <w:tc>
          <w:tcPr>
            <w:tcW w:w="6379" w:type="dxa"/>
            <w:tcBorders>
              <w:top w:val="single" w:sz="6" w:space="0" w:color="auto"/>
              <w:bottom w:val="single" w:sz="18" w:space="0" w:color="auto"/>
              <w:right w:val="single" w:sz="18" w:space="0" w:color="auto"/>
            </w:tcBorders>
          </w:tcPr>
          <w:p w14:paraId="039EF2E3" w14:textId="77777777" w:rsidR="00D1041B" w:rsidRPr="003F6E7F" w:rsidRDefault="00D1041B" w:rsidP="00CB7A92">
            <w:pPr>
              <w:ind w:left="198" w:hanging="198"/>
              <w:jc w:val="left"/>
              <w:rPr>
                <w:rFonts w:eastAsia="PTSansRegular" w:cs="Arial"/>
                <w:color w:val="000000"/>
                <w:sz w:val="18"/>
                <w:szCs w:val="18"/>
              </w:rPr>
            </w:pPr>
            <w:r>
              <w:rPr>
                <w:rFonts w:eastAsia="PTSansRegular" w:cs="Arial"/>
                <w:color w:val="000000"/>
                <w:sz w:val="18"/>
                <w:szCs w:val="18"/>
              </w:rPr>
              <w:t>a rádióspektrum-használati jogosultság, jog részben és egészben is átruházható, haszonbérbe adható; frekvencia vonatkozásában történő részbeni átruházás, haszonbérlet alapblokkonként történhet</w:t>
            </w:r>
          </w:p>
        </w:tc>
      </w:tr>
    </w:tbl>
    <w:p w14:paraId="7029B5FC" w14:textId="15B673D0" w:rsidR="00085A59" w:rsidRPr="00D1041B" w:rsidRDefault="00085A59" w:rsidP="00085A59">
      <w:pPr>
        <w:pStyle w:val="Kpalrs"/>
        <w:jc w:val="center"/>
        <w:rPr>
          <w:color w:val="auto"/>
        </w:rPr>
      </w:pPr>
      <w:r>
        <w:t>4.2.2. táblázat</w:t>
      </w:r>
      <w:r w:rsidR="000A2DD9">
        <w:t>:</w:t>
      </w:r>
      <w:r>
        <w:t xml:space="preserve"> Rádióspektrum-használati jog szerzésének és </w:t>
      </w:r>
      <w:r w:rsidR="000A2DD9">
        <w:t xml:space="preserve">a </w:t>
      </w:r>
      <w:r>
        <w:t>sávhasználat feltételei a 32 GHz frekvenciasáv</w:t>
      </w:r>
      <w:r w:rsidR="000A2DD9">
        <w:t>ban</w:t>
      </w:r>
    </w:p>
    <w:p w14:paraId="283F726F" w14:textId="77777777" w:rsidR="00CB7A92" w:rsidRDefault="00CB7A92" w:rsidP="00CB7A92">
      <w:pPr>
        <w:rPr>
          <w:color w:val="000000"/>
        </w:rPr>
      </w:pPr>
    </w:p>
    <w:p w14:paraId="6DDC04AB" w14:textId="21BAEDDB" w:rsidR="00CB7A92" w:rsidRPr="0037475E" w:rsidRDefault="00CB7A92" w:rsidP="0037475E">
      <w:pPr>
        <w:pStyle w:val="Cmsor3szmozottnmhh"/>
        <w:numPr>
          <w:ilvl w:val="2"/>
          <w:numId w:val="87"/>
        </w:numPr>
      </w:pPr>
      <w:bookmarkStart w:id="47" w:name="_Toc96075648"/>
      <w:r w:rsidRPr="0037475E">
        <w:t>Felhasználói blokkok együttélésére vonatkozó szabályok</w:t>
      </w:r>
      <w:bookmarkEnd w:id="47"/>
    </w:p>
    <w:p w14:paraId="543B3082" w14:textId="27987D39" w:rsidR="006B4322" w:rsidRDefault="00CB7A92" w:rsidP="00085A59">
      <w:pPr>
        <w:pStyle w:val="Behzottbekezdsnmhh"/>
      </w:pPr>
      <w:r w:rsidRPr="00085A59">
        <w:t xml:space="preserve">Az egyes felhasználói blokkok közötti elválasztó sávokra (így különösen szükségessége, mértéke, közös használat lehetősége), valamint a frekvenciában legközelebbi felhasználói blokkok közötti zavarás elkerülésére és kezelésére vonatkozó szabályokat </w:t>
      </w:r>
      <w:r w:rsidRPr="00E801D8">
        <w:t>a versenyeztetési eljárás kiírási dokumentáció</w:t>
      </w:r>
      <w:r w:rsidR="00D51062">
        <w:t>ja</w:t>
      </w:r>
      <w:r w:rsidR="00D51062" w:rsidRPr="00D51062">
        <w:t xml:space="preserve">, a rádióspektrum-használati jogosultságot megállapító határozat vagy a hatósági szerződés </w:t>
      </w:r>
      <w:r w:rsidRPr="00E801D8">
        <w:t>határozza meg.</w:t>
      </w:r>
      <w:r w:rsidR="006B4322">
        <w:br w:type="page"/>
      </w:r>
    </w:p>
    <w:p w14:paraId="33472F68" w14:textId="3EB6418B" w:rsidR="007B55E4" w:rsidRPr="0069015A" w:rsidRDefault="007B55E4" w:rsidP="007B55E4">
      <w:pPr>
        <w:pStyle w:val="Cmsor1szmozottnmhh"/>
        <w:pageBreakBefore w:val="0"/>
        <w:ind w:left="431" w:hanging="431"/>
      </w:pPr>
      <w:bookmarkStart w:id="48" w:name="_Toc82171071"/>
      <w:bookmarkStart w:id="49" w:name="_Toc89185040"/>
      <w:bookmarkStart w:id="50" w:name="_Toc96075649"/>
      <w:r>
        <w:lastRenderedPageBreak/>
        <w:t>A</w:t>
      </w:r>
      <w:r w:rsidR="005E39C2">
        <w:t xml:space="preserve"> 26 GHz-es</w:t>
      </w:r>
      <w:r>
        <w:t xml:space="preserve"> </w:t>
      </w:r>
      <w:r w:rsidR="005E39C2">
        <w:t>frekvencia</w:t>
      </w:r>
      <w:r>
        <w:t>sávban lévő állandóhelyű rendszerek</w:t>
      </w:r>
      <w:r w:rsidDel="00EB7655">
        <w:t xml:space="preserve"> </w:t>
      </w:r>
      <w:r>
        <w:t>migrációjával kapcsolatos kérdések</w:t>
      </w:r>
      <w:bookmarkEnd w:id="48"/>
      <w:bookmarkEnd w:id="49"/>
      <w:bookmarkEnd w:id="50"/>
    </w:p>
    <w:p w14:paraId="306A385E" w14:textId="28426676" w:rsidR="00EF036F" w:rsidRDefault="00581FC8" w:rsidP="007B55E4">
      <w:pPr>
        <w:pStyle w:val="Behzottbekezdsnmhh"/>
      </w:pPr>
      <w:r>
        <w:t>A 26 GHz-es frekvenciasávban jelenleg üzemelő</w:t>
      </w:r>
      <w:r w:rsidR="007B55E4">
        <w:t xml:space="preserve"> rendszerek számára biztosítani kell </w:t>
      </w:r>
      <w:r>
        <w:t xml:space="preserve">megfelelő mennyiségű </w:t>
      </w:r>
      <w:r w:rsidR="00274D87">
        <w:t>rádió</w:t>
      </w:r>
      <w:r w:rsidR="007B55E4">
        <w:t xml:space="preserve">spektrumot, ahol a 26 GHz-es </w:t>
      </w:r>
      <w:r w:rsidR="00274D87">
        <w:t>frekvencia</w:t>
      </w:r>
      <w:r w:rsidR="007B55E4">
        <w:t xml:space="preserve">sáv helyett hatékonyan üzemeltethetők állandóhelyű rendszerek. A 32 GHz-es </w:t>
      </w:r>
      <w:r w:rsidR="00274D87">
        <w:t>frekvencia</w:t>
      </w:r>
      <w:r w:rsidR="007B55E4">
        <w:t xml:space="preserve">sáv kijelölésre került ilyen típusú alkalmazások számára. </w:t>
      </w:r>
    </w:p>
    <w:p w14:paraId="4DD57E74" w14:textId="0D7555FD" w:rsidR="007B55E4" w:rsidRDefault="007B55E4" w:rsidP="007B55E4">
      <w:pPr>
        <w:pStyle w:val="Behzottbekezdsnmhh"/>
      </w:pPr>
      <w:r>
        <w:t xml:space="preserve">A jelenlegi </w:t>
      </w:r>
      <w:r w:rsidR="00274D87">
        <w:t>rádióspektrum-</w:t>
      </w:r>
      <w:r>
        <w:t>használati jogosultságok alapján tehát az alábbi spektrummennyiségek állnak rendelkezésre jogosultakra lebontva:</w:t>
      </w:r>
    </w:p>
    <w:p w14:paraId="12610ECC" w14:textId="0AC3F2B3" w:rsidR="007B55E4" w:rsidRPr="0015072A" w:rsidRDefault="00274D87" w:rsidP="007B55E4">
      <w:pPr>
        <w:pStyle w:val="Listaszerbekezds"/>
        <w:numPr>
          <w:ilvl w:val="0"/>
          <w:numId w:val="36"/>
        </w:numPr>
        <w:spacing w:line="240" w:lineRule="auto"/>
        <w:rPr>
          <w:sz w:val="20"/>
          <w:szCs w:val="20"/>
        </w:rPr>
      </w:pPr>
      <w:r>
        <w:rPr>
          <w:sz w:val="20"/>
          <w:szCs w:val="20"/>
        </w:rPr>
        <w:t>Magyarország Telekom Nyrt.</w:t>
      </w:r>
      <w:r w:rsidR="007B55E4">
        <w:rPr>
          <w:sz w:val="20"/>
          <w:szCs w:val="20"/>
        </w:rPr>
        <w:t>: 2×168 MHz összesen, amiből</w:t>
      </w:r>
      <w:r w:rsidR="007B55E4" w:rsidRPr="0015072A">
        <w:rPr>
          <w:sz w:val="20"/>
          <w:szCs w:val="20"/>
        </w:rPr>
        <w:t xml:space="preserve"> 2×84</w:t>
      </w:r>
      <w:r w:rsidR="007B55E4">
        <w:rPr>
          <w:sz w:val="20"/>
          <w:szCs w:val="20"/>
        </w:rPr>
        <w:t xml:space="preserve"> MHz jogosultság 2024-ben lejár</w:t>
      </w:r>
    </w:p>
    <w:p w14:paraId="308155BE" w14:textId="5A079887" w:rsidR="007B55E4" w:rsidRPr="003F137A" w:rsidRDefault="007B55E4" w:rsidP="007B55E4">
      <w:pPr>
        <w:pStyle w:val="Listaszerbekezds"/>
        <w:numPr>
          <w:ilvl w:val="0"/>
          <w:numId w:val="36"/>
        </w:numPr>
        <w:spacing w:line="240" w:lineRule="auto"/>
        <w:rPr>
          <w:sz w:val="20"/>
          <w:szCs w:val="20"/>
        </w:rPr>
      </w:pPr>
      <w:r w:rsidRPr="003F137A">
        <w:rPr>
          <w:sz w:val="20"/>
          <w:szCs w:val="20"/>
        </w:rPr>
        <w:t>Telenor</w:t>
      </w:r>
      <w:r w:rsidR="00274D87">
        <w:rPr>
          <w:sz w:val="20"/>
          <w:szCs w:val="20"/>
        </w:rPr>
        <w:t xml:space="preserve"> Magyarország Zrt.</w:t>
      </w:r>
      <w:r w:rsidRPr="003F137A">
        <w:rPr>
          <w:sz w:val="20"/>
          <w:szCs w:val="20"/>
        </w:rPr>
        <w:t>: 2×112 MHz</w:t>
      </w:r>
    </w:p>
    <w:p w14:paraId="6CC32540" w14:textId="2B4823C4" w:rsidR="007B55E4" w:rsidRPr="003F137A" w:rsidRDefault="007B55E4" w:rsidP="007B55E4">
      <w:pPr>
        <w:pStyle w:val="Listaszerbekezds"/>
        <w:numPr>
          <w:ilvl w:val="0"/>
          <w:numId w:val="36"/>
        </w:numPr>
        <w:spacing w:line="240" w:lineRule="auto"/>
        <w:rPr>
          <w:sz w:val="20"/>
          <w:szCs w:val="20"/>
        </w:rPr>
      </w:pPr>
      <w:r w:rsidRPr="003F137A">
        <w:rPr>
          <w:sz w:val="20"/>
          <w:szCs w:val="20"/>
        </w:rPr>
        <w:t>Vodafone</w:t>
      </w:r>
      <w:r w:rsidR="00274D87">
        <w:rPr>
          <w:sz w:val="20"/>
          <w:szCs w:val="20"/>
        </w:rPr>
        <w:t xml:space="preserve"> Magyarország Zrt.</w:t>
      </w:r>
      <w:r w:rsidRPr="003F137A">
        <w:rPr>
          <w:sz w:val="20"/>
          <w:szCs w:val="20"/>
        </w:rPr>
        <w:t>: 2×168 MHz</w:t>
      </w:r>
    </w:p>
    <w:p w14:paraId="1578F02E" w14:textId="45000C27" w:rsidR="007B55E4" w:rsidRPr="003F137A" w:rsidRDefault="007B55E4" w:rsidP="007B55E4">
      <w:pPr>
        <w:pStyle w:val="Listaszerbekezds"/>
        <w:numPr>
          <w:ilvl w:val="0"/>
          <w:numId w:val="36"/>
        </w:numPr>
        <w:spacing w:line="240" w:lineRule="auto"/>
        <w:rPr>
          <w:sz w:val="20"/>
          <w:szCs w:val="20"/>
        </w:rPr>
      </w:pPr>
      <w:r>
        <w:rPr>
          <w:sz w:val="20"/>
          <w:szCs w:val="20"/>
        </w:rPr>
        <w:t>Antenna Hungária</w:t>
      </w:r>
      <w:r w:rsidR="00274D87">
        <w:rPr>
          <w:sz w:val="20"/>
          <w:szCs w:val="20"/>
        </w:rPr>
        <w:t xml:space="preserve"> Zrt.</w:t>
      </w:r>
      <w:r w:rsidRPr="003F137A">
        <w:rPr>
          <w:sz w:val="20"/>
          <w:szCs w:val="20"/>
        </w:rPr>
        <w:t>: 2×112 MHz</w:t>
      </w:r>
    </w:p>
    <w:p w14:paraId="5BA2C5CA" w14:textId="32010AA8" w:rsidR="007B55E4" w:rsidRDefault="007B55E4" w:rsidP="007B55E4">
      <w:pPr>
        <w:pStyle w:val="Listaszerbekezds"/>
        <w:numPr>
          <w:ilvl w:val="0"/>
          <w:numId w:val="36"/>
        </w:numPr>
        <w:spacing w:line="240" w:lineRule="auto"/>
        <w:rPr>
          <w:sz w:val="20"/>
          <w:szCs w:val="20"/>
        </w:rPr>
      </w:pPr>
      <w:r w:rsidRPr="003F137A">
        <w:rPr>
          <w:sz w:val="20"/>
          <w:szCs w:val="20"/>
        </w:rPr>
        <w:t>Digi</w:t>
      </w:r>
      <w:r w:rsidR="00274D87">
        <w:rPr>
          <w:sz w:val="20"/>
          <w:szCs w:val="20"/>
        </w:rPr>
        <w:t xml:space="preserve"> Kft.</w:t>
      </w:r>
      <w:r w:rsidRPr="003F137A">
        <w:rPr>
          <w:sz w:val="20"/>
          <w:szCs w:val="20"/>
        </w:rPr>
        <w:t>: 2×56 MHz</w:t>
      </w:r>
    </w:p>
    <w:p w14:paraId="0E8AAF40" w14:textId="136B0102" w:rsidR="007B55E4" w:rsidRDefault="007B55E4" w:rsidP="007B55E4">
      <w:pPr>
        <w:pStyle w:val="Listaszerbekezds"/>
        <w:spacing w:line="240" w:lineRule="auto"/>
        <w:rPr>
          <w:sz w:val="20"/>
          <w:szCs w:val="20"/>
        </w:rPr>
      </w:pPr>
    </w:p>
    <w:p w14:paraId="49B7801A" w14:textId="77777777" w:rsidR="00716E69" w:rsidRPr="00716E69" w:rsidRDefault="00CB7A92" w:rsidP="00570353">
      <w:pPr>
        <w:pStyle w:val="Behzottbekezdsnmhh"/>
      </w:pPr>
      <w:r w:rsidRPr="00716E69">
        <w:t>A 26 GHz-es sávban összesen</w:t>
      </w:r>
      <w:r w:rsidR="007B55E4" w:rsidRPr="00716E69">
        <w:t xml:space="preserve"> 2×616 MHz </w:t>
      </w:r>
      <w:r w:rsidR="00242E39" w:rsidRPr="00716E69">
        <w:t>rádió</w:t>
      </w:r>
      <w:r w:rsidR="007B55E4" w:rsidRPr="00716E69">
        <w:t>spektrum került elosztásra</w:t>
      </w:r>
      <w:r w:rsidR="00716E69" w:rsidRPr="00716E69">
        <w:t>, jelenleg</w:t>
      </w:r>
      <w:r w:rsidR="007B55E4" w:rsidRPr="00716E69">
        <w:t xml:space="preserve"> 5 szolgáltató részére</w:t>
      </w:r>
      <w:r w:rsidR="00716E69" w:rsidRPr="00716E69">
        <w:t>.</w:t>
      </w:r>
    </w:p>
    <w:p w14:paraId="22C69E0D" w14:textId="0C20120C" w:rsidR="007B55E4" w:rsidRDefault="00242E39" w:rsidP="00570353">
      <w:pPr>
        <w:pStyle w:val="Behzottbekezdsnmhh"/>
      </w:pPr>
      <w:r>
        <w:t>A</w:t>
      </w:r>
      <w:r w:rsidR="007B55E4">
        <w:t xml:space="preserve"> felhasználói blokkok elválasztó</w:t>
      </w:r>
      <w:r w:rsidR="00793636">
        <w:t xml:space="preserve"> </w:t>
      </w:r>
      <w:r w:rsidR="007B55E4">
        <w:t xml:space="preserve">sáv nélküli elhelyezése </w:t>
      </w:r>
      <w:r>
        <w:t xml:space="preserve">esetén a 32 GHz frekvenciasávban </w:t>
      </w:r>
      <w:r w:rsidR="007B55E4">
        <w:t xml:space="preserve">2×672 MHz </w:t>
      </w:r>
      <w:r>
        <w:t>elosztható rádió</w:t>
      </w:r>
      <w:r w:rsidR="007B55E4">
        <w:t>spektrum áll rendelkezésre a</w:t>
      </w:r>
      <w:r>
        <w:t xml:space="preserve"> megadott sávelrendezés mellett</w:t>
      </w:r>
      <w:r w:rsidR="008627B8" w:rsidRPr="00543C8C">
        <w:t>. Elválasztósáv alkalmazásával ez a mennyiség csökken</w:t>
      </w:r>
      <w:r w:rsidR="00581FC8">
        <w:t>.</w:t>
      </w:r>
      <w:r w:rsidR="008627B8" w:rsidRPr="00543C8C">
        <w:t xml:space="preserve"> </w:t>
      </w:r>
      <w:r w:rsidR="00581FC8">
        <w:t>A</w:t>
      </w:r>
      <w:r w:rsidR="008627B8" w:rsidRPr="00543C8C">
        <w:t xml:space="preserve"> 26 GHz-es sávban alkalmazott 28 MHz elválasztó blokk esetén a</w:t>
      </w:r>
      <w:r w:rsidR="00581FC8">
        <w:t>z</w:t>
      </w:r>
      <w:r w:rsidR="008627B8" w:rsidRPr="00543C8C">
        <w:t xml:space="preserve"> </w:t>
      </w:r>
      <w:r w:rsidR="00543C8C">
        <w:t>elosztható</w:t>
      </w:r>
      <w:r w:rsidR="00543C8C" w:rsidRPr="00543C8C">
        <w:t xml:space="preserve"> </w:t>
      </w:r>
      <w:r w:rsidR="00543C8C">
        <w:t>spektrummennyiség a rádióspektrum-használati jogosultságot elnyerők számának függvénye</w:t>
      </w:r>
      <w:r w:rsidR="008627B8" w:rsidRPr="00543C8C">
        <w:t>.</w:t>
      </w:r>
      <w:r w:rsidR="007B55E4">
        <w:t xml:space="preserve"> </w:t>
      </w:r>
    </w:p>
    <w:p w14:paraId="1A1E7376" w14:textId="2D833F1A" w:rsidR="007B2341" w:rsidRDefault="007B2341" w:rsidP="007B2341">
      <w:pPr>
        <w:spacing w:after="200"/>
        <w:rPr>
          <w:sz w:val="20"/>
          <w:szCs w:val="20"/>
        </w:rPr>
      </w:pPr>
    </w:p>
    <w:p w14:paraId="2FA832AE" w14:textId="77777777" w:rsidR="004E1789" w:rsidRDefault="004E1789" w:rsidP="004E1789">
      <w:pPr>
        <w:pStyle w:val="Cmsor1szmozottnmhh"/>
        <w:pageBreakBefore w:val="0"/>
        <w:ind w:left="431" w:hanging="431"/>
      </w:pPr>
      <w:bookmarkStart w:id="51" w:name="_Toc82171075"/>
      <w:bookmarkStart w:id="52" w:name="_Toc89185044"/>
      <w:bookmarkStart w:id="53" w:name="_Toc96075650"/>
      <w:r>
        <w:t>Szomszédos frekvenciasávokkal kapcsolatos zavartatási kérdések</w:t>
      </w:r>
      <w:bookmarkEnd w:id="51"/>
      <w:bookmarkEnd w:id="52"/>
      <w:bookmarkEnd w:id="53"/>
    </w:p>
    <w:p w14:paraId="62AD04C4" w14:textId="77777777" w:rsidR="004E1789" w:rsidRDefault="004E1789" w:rsidP="004E1789">
      <w:pPr>
        <w:pStyle w:val="Cmsor2szmozottnmhh"/>
      </w:pPr>
      <w:bookmarkStart w:id="54" w:name="_Toc82171076"/>
      <w:bookmarkStart w:id="55" w:name="_Toc89185045"/>
      <w:bookmarkStart w:id="56" w:name="_Toc96075651"/>
      <w:r>
        <w:t>A 31,5-31,8 GHz frekvenciatartomány</w:t>
      </w:r>
      <w:bookmarkEnd w:id="54"/>
      <w:bookmarkEnd w:id="55"/>
      <w:bookmarkEnd w:id="56"/>
    </w:p>
    <w:p w14:paraId="229CBEF4" w14:textId="2112721A" w:rsidR="004E1789" w:rsidRDefault="004E1789" w:rsidP="004E1789">
      <w:pPr>
        <w:pStyle w:val="Behzottbekezdsnmhh"/>
      </w:pPr>
      <w:r>
        <w:t xml:space="preserve">A 32 GHz-es frekvenciasáv alatti 31,5-31,8 GHz frekvenciatartomány állandóhelyű rendszerek mellett passzív szolgálatok alkalmazásai (műholdas Föld-kutatás, űrkutatás) és rádiócsillagászati állomások számára kijelölt elsődleges jelleggel. A hazai </w:t>
      </w:r>
      <w:r w:rsidR="00A16A7B">
        <w:t>rádióspektrum-</w:t>
      </w:r>
      <w:r>
        <w:t xml:space="preserve">használatot figyelembe véve elmondható, hogy jelenleg ebben a frekvenciasávban semmilyen típusú használat nincs, de rádiócsillagászati állomás használata elképzelhető a közeljövőben. Amennyiben ebben a frekvenciatartományban rádiócsillagászati állomás üzembe helyezése várható, úgy a telephely környezetében érdemes kiemelt figyelmet fordítani a 32 GHz-es állandóhelyű rendszerek sávon kívüli sugárzására vonatkozóan előírt követelmények betartására. </w:t>
      </w:r>
    </w:p>
    <w:p w14:paraId="725651C2" w14:textId="48DB7A28" w:rsidR="004E1789" w:rsidRDefault="004E1789" w:rsidP="004E1789">
      <w:pPr>
        <w:pStyle w:val="Behzottbekezdsnmhh"/>
      </w:pPr>
      <w:r>
        <w:t>Ezen kívül a 31,5-31,8 GHz (31 GHz-es) frekvenciasáv elsődleges jelleggel állandóhelyű pont-pont rendszerek részére is</w:t>
      </w:r>
      <w:r w:rsidR="00E22872" w:rsidRPr="00E22872">
        <w:t xml:space="preserve"> </w:t>
      </w:r>
      <w:r w:rsidR="00E22872">
        <w:t>kijelölt</w:t>
      </w:r>
      <w:r>
        <w:t xml:space="preserve">, de használat ebben a frekvenciasávban eddig nem volt. A 31 GHz-es frekvenciasáv állandóhelyű rendszerek általi használata </w:t>
      </w:r>
      <w:r w:rsidR="00570353">
        <w:t>során nem várható zavartatási probléma (</w:t>
      </w:r>
      <w:r>
        <w:t xml:space="preserve">a 32 GHz-es sáv alsó részén elegendő védősáv áll rendelkezésre ahhoz, hogy a sávon kívüli sugárzás ne okozzon </w:t>
      </w:r>
      <w:r w:rsidR="00570353">
        <w:t>zavarást)</w:t>
      </w:r>
      <w:r>
        <w:t>.</w:t>
      </w:r>
    </w:p>
    <w:p w14:paraId="748B6560" w14:textId="77777777" w:rsidR="004E1789" w:rsidRDefault="004E1789" w:rsidP="004E1789">
      <w:pPr>
        <w:pStyle w:val="Behzottbekezdsnmhh"/>
      </w:pPr>
    </w:p>
    <w:p w14:paraId="22BD1547" w14:textId="77777777" w:rsidR="004E1789" w:rsidRDefault="004E1789" w:rsidP="004E1789">
      <w:pPr>
        <w:pStyle w:val="Cmsor2szmozottnmhh"/>
      </w:pPr>
      <w:bookmarkStart w:id="57" w:name="_Toc82171077"/>
      <w:bookmarkStart w:id="58" w:name="_Toc89185046"/>
      <w:bookmarkStart w:id="59" w:name="_Toc96075652"/>
      <w:r>
        <w:lastRenderedPageBreak/>
        <w:t>A 33,4-35,2 GHz frekvenciatartomány</w:t>
      </w:r>
      <w:bookmarkEnd w:id="57"/>
      <w:bookmarkEnd w:id="58"/>
      <w:bookmarkEnd w:id="59"/>
    </w:p>
    <w:p w14:paraId="5B15AD20" w14:textId="3862130E" w:rsidR="004E1789" w:rsidRDefault="004E1789" w:rsidP="000A2DD9">
      <w:pPr>
        <w:pStyle w:val="Behzottbekezdsnmhh"/>
      </w:pPr>
      <w:r>
        <w:t xml:space="preserve">A 32 GHz-es frekvenciasáv feletti 33,4-35,2 GHz frekvenciatartomány űrkutatásra tervezett és elsődleges jelleggel rádiólokációs szolgálat keretében működő nem polgári célú meteorológiai, sebességmérő, katonai és egyéb radarok számára kijelölt. A sáv NATO harmonizált katonai sáv, de tényleges hazai szintű használat nincsen és a közeljövőben nem is tervezett a frekvenciasáv ilyen jellegű használata. Ezen szomszédos frekvenciatartomány vonatkozásában tehát nem várhatók zavartatási problémák a közeljövőben. </w:t>
      </w:r>
    </w:p>
    <w:p w14:paraId="2581D3DC" w14:textId="77777777" w:rsidR="00570353" w:rsidRDefault="00570353" w:rsidP="000A2DD9">
      <w:pPr>
        <w:pStyle w:val="Behzottbekezdsnmhh"/>
      </w:pPr>
    </w:p>
    <w:p w14:paraId="26A622D3" w14:textId="5B4583DE" w:rsidR="004E1789" w:rsidRPr="00E153C6" w:rsidRDefault="004E1789" w:rsidP="004E1789">
      <w:pPr>
        <w:pStyle w:val="Cmsor1szmozottnmhh"/>
        <w:pageBreakBefore w:val="0"/>
        <w:ind w:left="431" w:hanging="431"/>
      </w:pPr>
      <w:bookmarkStart w:id="60" w:name="_Toc82171069"/>
      <w:bookmarkStart w:id="61" w:name="_Toc89185038"/>
      <w:bookmarkStart w:id="62" w:name="_Toc473880732"/>
      <w:bookmarkStart w:id="63" w:name="_Toc96075653"/>
      <w:bookmarkEnd w:id="3"/>
      <w:r w:rsidRPr="00E153C6">
        <w:t xml:space="preserve">Határövezeti </w:t>
      </w:r>
      <w:r w:rsidR="00A16A7B">
        <w:t>rádióspektrum-</w:t>
      </w:r>
      <w:r w:rsidRPr="00E153C6">
        <w:t xml:space="preserve">használat és </w:t>
      </w:r>
      <w:r w:rsidR="00A16A7B">
        <w:t xml:space="preserve">nemzetközi </w:t>
      </w:r>
      <w:r w:rsidRPr="00E153C6">
        <w:t>koordináció</w:t>
      </w:r>
      <w:bookmarkEnd w:id="60"/>
      <w:bookmarkEnd w:id="61"/>
      <w:bookmarkEnd w:id="63"/>
      <w:r w:rsidRPr="00E153C6">
        <w:t xml:space="preserve"> </w:t>
      </w:r>
      <w:bookmarkEnd w:id="62"/>
    </w:p>
    <w:p w14:paraId="70268E84" w14:textId="645AAE9B" w:rsidR="004E1789" w:rsidRDefault="004E1789" w:rsidP="004E1789">
      <w:pPr>
        <w:spacing w:after="200"/>
        <w:rPr>
          <w:sz w:val="20"/>
          <w:szCs w:val="20"/>
        </w:rPr>
      </w:pPr>
      <w:r>
        <w:rPr>
          <w:sz w:val="20"/>
          <w:szCs w:val="20"/>
        </w:rPr>
        <w:t>A 32 </w:t>
      </w:r>
      <w:r w:rsidRPr="000452F0">
        <w:rPr>
          <w:sz w:val="20"/>
          <w:szCs w:val="20"/>
        </w:rPr>
        <w:t>GHz</w:t>
      </w:r>
      <w:r>
        <w:rPr>
          <w:sz w:val="20"/>
          <w:szCs w:val="20"/>
        </w:rPr>
        <w:t>-es</w:t>
      </w:r>
      <w:r w:rsidRPr="000452F0">
        <w:rPr>
          <w:sz w:val="20"/>
          <w:szCs w:val="20"/>
        </w:rPr>
        <w:t xml:space="preserve"> frekvenciasávra </w:t>
      </w:r>
      <w:r>
        <w:rPr>
          <w:sz w:val="20"/>
          <w:szCs w:val="20"/>
        </w:rPr>
        <w:t xml:space="preserve">vonatkozóan </w:t>
      </w:r>
      <w:r w:rsidR="00433E85">
        <w:rPr>
          <w:sz w:val="20"/>
          <w:szCs w:val="20"/>
        </w:rPr>
        <w:t xml:space="preserve">jelenleg </w:t>
      </w:r>
      <w:r>
        <w:rPr>
          <w:sz w:val="20"/>
          <w:szCs w:val="20"/>
        </w:rPr>
        <w:t xml:space="preserve">nincs </w:t>
      </w:r>
      <w:r w:rsidR="00433E85">
        <w:rPr>
          <w:sz w:val="20"/>
          <w:szCs w:val="20"/>
        </w:rPr>
        <w:t>olya</w:t>
      </w:r>
      <w:r>
        <w:rPr>
          <w:sz w:val="20"/>
          <w:szCs w:val="20"/>
        </w:rPr>
        <w:t>n</w:t>
      </w:r>
      <w:r w:rsidRPr="000452F0">
        <w:rPr>
          <w:sz w:val="20"/>
          <w:szCs w:val="20"/>
        </w:rPr>
        <w:t xml:space="preserve"> preferált </w:t>
      </w:r>
      <w:r w:rsidR="00433E85">
        <w:rPr>
          <w:sz w:val="20"/>
          <w:szCs w:val="20"/>
        </w:rPr>
        <w:t xml:space="preserve">frekvenciablokkok használatán alapuló két- vagy többoldalú megállapodás, amely </w:t>
      </w:r>
      <w:r w:rsidR="00837F4B">
        <w:rPr>
          <w:sz w:val="20"/>
          <w:szCs w:val="20"/>
        </w:rPr>
        <w:t xml:space="preserve">alapján </w:t>
      </w:r>
      <w:r w:rsidR="00433E85" w:rsidRPr="000452F0">
        <w:rPr>
          <w:sz w:val="20"/>
          <w:szCs w:val="20"/>
        </w:rPr>
        <w:t>a határ közvetlen közelében is van lehetőség állomás üzemeltetésére előzetes koordináció nélkül.</w:t>
      </w:r>
    </w:p>
    <w:p w14:paraId="661A784E" w14:textId="77777777" w:rsidR="00837F4B" w:rsidRDefault="00837F4B" w:rsidP="00837F4B">
      <w:pPr>
        <w:spacing w:after="200"/>
        <w:rPr>
          <w:sz w:val="20"/>
          <w:szCs w:val="20"/>
        </w:rPr>
      </w:pPr>
      <w:r w:rsidRPr="000452F0">
        <w:rPr>
          <w:sz w:val="20"/>
          <w:szCs w:val="20"/>
        </w:rPr>
        <w:t>A HCM Megállapodás az állandóhelyű szolgálati rendszerekre</w:t>
      </w:r>
      <w:r>
        <w:rPr>
          <w:sz w:val="20"/>
          <w:szCs w:val="20"/>
        </w:rPr>
        <w:t xml:space="preserve"> általános esetre vonatkozóan</w:t>
      </w:r>
      <w:r w:rsidRPr="000452F0">
        <w:rPr>
          <w:sz w:val="20"/>
          <w:szCs w:val="20"/>
        </w:rPr>
        <w:t xml:space="preserve"> meghatároz</w:t>
      </w:r>
      <w:r>
        <w:rPr>
          <w:sz w:val="20"/>
          <w:szCs w:val="20"/>
        </w:rPr>
        <w:t>z</w:t>
      </w:r>
      <w:r w:rsidRPr="000452F0">
        <w:rPr>
          <w:sz w:val="20"/>
          <w:szCs w:val="20"/>
        </w:rPr>
        <w:t>a a határhoz viszonyított koordinációs távolságok</w:t>
      </w:r>
      <w:r>
        <w:rPr>
          <w:sz w:val="20"/>
          <w:szCs w:val="20"/>
        </w:rPr>
        <w:t>at</w:t>
      </w:r>
      <w:r w:rsidRPr="000452F0">
        <w:rPr>
          <w:sz w:val="20"/>
          <w:szCs w:val="20"/>
        </w:rPr>
        <w:t xml:space="preserve">. </w:t>
      </w:r>
      <w:r>
        <w:rPr>
          <w:sz w:val="20"/>
          <w:szCs w:val="20"/>
        </w:rPr>
        <w:t>A megállapodás alapján a</w:t>
      </w:r>
      <w:r w:rsidRPr="000452F0">
        <w:rPr>
          <w:sz w:val="20"/>
          <w:szCs w:val="20"/>
        </w:rPr>
        <w:t xml:space="preserve">zokkal az országokkal kell koordinálni </w:t>
      </w:r>
      <w:r>
        <w:rPr>
          <w:sz w:val="20"/>
          <w:szCs w:val="20"/>
        </w:rPr>
        <w:t xml:space="preserve">alapesetben </w:t>
      </w:r>
      <w:r w:rsidRPr="000452F0">
        <w:rPr>
          <w:sz w:val="20"/>
          <w:szCs w:val="20"/>
        </w:rPr>
        <w:t>egy állandóhelyű állomást, amelyek határának távolsága a vizsgált állomástól kisebb vagy egyenlő a koordinációs távolságnál.</w:t>
      </w:r>
      <w:r>
        <w:rPr>
          <w:sz w:val="20"/>
          <w:szCs w:val="20"/>
        </w:rPr>
        <w:t xml:space="preserve"> A 30-39,5 </w:t>
      </w:r>
      <w:r w:rsidRPr="000452F0">
        <w:rPr>
          <w:sz w:val="20"/>
          <w:szCs w:val="20"/>
        </w:rPr>
        <w:t xml:space="preserve">GHz </w:t>
      </w:r>
      <w:r>
        <w:rPr>
          <w:sz w:val="20"/>
          <w:szCs w:val="20"/>
        </w:rPr>
        <w:t>frekvencia</w:t>
      </w:r>
      <w:r w:rsidRPr="000452F0">
        <w:rPr>
          <w:sz w:val="20"/>
          <w:szCs w:val="20"/>
        </w:rPr>
        <w:t>tartományban a koordinációs távolság 30 km.</w:t>
      </w:r>
    </w:p>
    <w:p w14:paraId="12363E3D" w14:textId="7F32348A" w:rsidR="004E1789" w:rsidRDefault="004E1789" w:rsidP="004E1789">
      <w:pPr>
        <w:spacing w:after="200"/>
        <w:rPr>
          <w:sz w:val="20"/>
          <w:szCs w:val="20"/>
        </w:rPr>
      </w:pPr>
      <w:r w:rsidRPr="007B687A">
        <w:rPr>
          <w:sz w:val="20"/>
          <w:szCs w:val="20"/>
        </w:rPr>
        <w:t>ITU nyilvántartás</w:t>
      </w:r>
      <w:r w:rsidR="00433E85">
        <w:rPr>
          <w:sz w:val="20"/>
          <w:szCs w:val="20"/>
        </w:rPr>
        <w:t>a</w:t>
      </w:r>
      <w:r w:rsidRPr="007B687A">
        <w:rPr>
          <w:sz w:val="20"/>
          <w:szCs w:val="20"/>
        </w:rPr>
        <w:t xml:space="preserve"> a környező országok területére </w:t>
      </w:r>
      <w:r w:rsidR="00433E85">
        <w:rPr>
          <w:sz w:val="20"/>
          <w:szCs w:val="20"/>
        </w:rPr>
        <w:t>nem tartalmaz</w:t>
      </w:r>
      <w:r w:rsidRPr="007B687A">
        <w:rPr>
          <w:sz w:val="20"/>
          <w:szCs w:val="20"/>
        </w:rPr>
        <w:t xml:space="preserve"> bejelentések</w:t>
      </w:r>
      <w:r w:rsidR="00433E85">
        <w:rPr>
          <w:sz w:val="20"/>
          <w:szCs w:val="20"/>
        </w:rPr>
        <w:t>et</w:t>
      </w:r>
      <w:r w:rsidRPr="007B687A">
        <w:rPr>
          <w:sz w:val="20"/>
          <w:szCs w:val="20"/>
        </w:rPr>
        <w:t>.</w:t>
      </w:r>
      <w:r>
        <w:rPr>
          <w:sz w:val="20"/>
          <w:szCs w:val="20"/>
        </w:rPr>
        <w:t xml:space="preserve"> A HCM megállapodással összefüggő koordinációs adatbázis alapján </w:t>
      </w:r>
      <w:r w:rsidR="00837F4B">
        <w:rPr>
          <w:sz w:val="20"/>
          <w:szCs w:val="20"/>
        </w:rPr>
        <w:t>Szlovákia</w:t>
      </w:r>
      <w:r w:rsidRPr="007B687A">
        <w:rPr>
          <w:sz w:val="20"/>
          <w:szCs w:val="20"/>
        </w:rPr>
        <w:t xml:space="preserve"> </w:t>
      </w:r>
      <w:r>
        <w:rPr>
          <w:sz w:val="20"/>
          <w:szCs w:val="20"/>
        </w:rPr>
        <w:t xml:space="preserve">(610 db állandóhelyű szolgálati összeköttetés) </w:t>
      </w:r>
      <w:r w:rsidRPr="007B687A">
        <w:rPr>
          <w:sz w:val="20"/>
          <w:szCs w:val="20"/>
        </w:rPr>
        <w:t xml:space="preserve">és </w:t>
      </w:r>
      <w:r w:rsidR="00837F4B">
        <w:rPr>
          <w:sz w:val="20"/>
          <w:szCs w:val="20"/>
        </w:rPr>
        <w:t>Ukrajna</w:t>
      </w:r>
      <w:r w:rsidRPr="007B687A">
        <w:rPr>
          <w:sz w:val="20"/>
          <w:szCs w:val="20"/>
        </w:rPr>
        <w:t xml:space="preserve"> </w:t>
      </w:r>
      <w:r>
        <w:rPr>
          <w:sz w:val="20"/>
          <w:szCs w:val="20"/>
        </w:rPr>
        <w:t xml:space="preserve">(9 db állandóhelyű szolgálat összeköttetés) </w:t>
      </w:r>
      <w:r w:rsidRPr="007B687A">
        <w:rPr>
          <w:sz w:val="20"/>
          <w:szCs w:val="20"/>
        </w:rPr>
        <w:t xml:space="preserve">részéről érkezett koordinációs kérelem, amelyek el lettek fogadva, mivel </w:t>
      </w:r>
      <w:r>
        <w:rPr>
          <w:sz w:val="20"/>
          <w:szCs w:val="20"/>
        </w:rPr>
        <w:t xml:space="preserve">kérelem beérkezése idején </w:t>
      </w:r>
      <w:r w:rsidRPr="007B687A">
        <w:rPr>
          <w:sz w:val="20"/>
          <w:szCs w:val="20"/>
        </w:rPr>
        <w:t>nálunk nem volt semmilyen használat</w:t>
      </w:r>
      <w:r>
        <w:rPr>
          <w:sz w:val="20"/>
          <w:szCs w:val="20"/>
        </w:rPr>
        <w:t xml:space="preserve"> a </w:t>
      </w:r>
      <w:r w:rsidRPr="001B6E5A">
        <w:rPr>
          <w:sz w:val="20"/>
          <w:szCs w:val="20"/>
        </w:rPr>
        <w:t>frekvencia</w:t>
      </w:r>
      <w:r>
        <w:rPr>
          <w:sz w:val="20"/>
          <w:szCs w:val="20"/>
        </w:rPr>
        <w:t>sávban</w:t>
      </w:r>
      <w:r w:rsidRPr="007B687A">
        <w:rPr>
          <w:sz w:val="20"/>
          <w:szCs w:val="20"/>
        </w:rPr>
        <w:t xml:space="preserve">. </w:t>
      </w:r>
    </w:p>
    <w:p w14:paraId="45FE6D5F" w14:textId="41A3A718" w:rsidR="004E1789" w:rsidRDefault="004E1789" w:rsidP="004E1789">
      <w:pPr>
        <w:spacing w:after="200"/>
        <w:rPr>
          <w:sz w:val="20"/>
          <w:szCs w:val="20"/>
        </w:rPr>
      </w:pPr>
      <w:r w:rsidRPr="007B687A">
        <w:rPr>
          <w:sz w:val="20"/>
          <w:szCs w:val="20"/>
        </w:rPr>
        <w:t>A többi szomszéd országtól nem érke</w:t>
      </w:r>
      <w:r>
        <w:rPr>
          <w:sz w:val="20"/>
          <w:szCs w:val="20"/>
        </w:rPr>
        <w:t xml:space="preserve">zett koordinációs kérelem, de a sávhasználatot illető </w:t>
      </w:r>
      <w:r w:rsidR="00754132">
        <w:rPr>
          <w:sz w:val="20"/>
          <w:szCs w:val="20"/>
        </w:rPr>
        <w:t xml:space="preserve">NMHH </w:t>
      </w:r>
      <w:r>
        <w:rPr>
          <w:sz w:val="20"/>
          <w:szCs w:val="20"/>
        </w:rPr>
        <w:t>megkeresés</w:t>
      </w:r>
      <w:r w:rsidR="00E31630">
        <w:rPr>
          <w:sz w:val="20"/>
          <w:szCs w:val="20"/>
        </w:rPr>
        <w:t>re</w:t>
      </w:r>
      <w:r>
        <w:rPr>
          <w:sz w:val="20"/>
          <w:szCs w:val="20"/>
        </w:rPr>
        <w:t xml:space="preserve"> Ausztria azt a választ adta, hogy a frekvenciasáv kijelölt náluk és </w:t>
      </w:r>
      <w:r w:rsidR="00E31630">
        <w:rPr>
          <w:sz w:val="20"/>
          <w:szCs w:val="20"/>
        </w:rPr>
        <w:t xml:space="preserve">az osztrák </w:t>
      </w:r>
      <w:r>
        <w:rPr>
          <w:sz w:val="20"/>
          <w:szCs w:val="20"/>
        </w:rPr>
        <w:t>mobilszolgáltatók használják felhordóhálózati összeköttetések létesítésnek céljából. 450 pont-pont összeköttetés működik jelenleg az ország területén</w:t>
      </w:r>
      <w:r w:rsidR="00433E85">
        <w:rPr>
          <w:sz w:val="20"/>
          <w:szCs w:val="20"/>
        </w:rPr>
        <w:t>,</w:t>
      </w:r>
      <w:r>
        <w:rPr>
          <w:sz w:val="20"/>
          <w:szCs w:val="20"/>
        </w:rPr>
        <w:t xml:space="preserve"> határmenti koordinációt a szolgáltató kérése alapján végeznek</w:t>
      </w:r>
      <w:r w:rsidR="00433E85">
        <w:rPr>
          <w:sz w:val="20"/>
          <w:szCs w:val="20"/>
        </w:rPr>
        <w:t>.</w:t>
      </w:r>
      <w:r>
        <w:rPr>
          <w:sz w:val="20"/>
          <w:szCs w:val="20"/>
        </w:rPr>
        <w:t xml:space="preserve"> </w:t>
      </w:r>
    </w:p>
    <w:p w14:paraId="4CB6ACBA" w14:textId="01328972" w:rsidR="004E1789" w:rsidRPr="007B687A" w:rsidRDefault="004E1789" w:rsidP="004E1789">
      <w:pPr>
        <w:spacing w:after="200"/>
        <w:rPr>
          <w:sz w:val="20"/>
          <w:szCs w:val="20"/>
        </w:rPr>
      </w:pPr>
      <w:r>
        <w:rPr>
          <w:sz w:val="20"/>
          <w:szCs w:val="20"/>
        </w:rPr>
        <w:t xml:space="preserve">A horvát, szlovén és román igazgatástól származó információk alapján egyik ország sem használja jelenleg a frekvenciasávot. Horvátországban lehetségesnek tartják a 32 GHz későbbi felhasználást a zsúfolt frekvenciasávok tehermentesítése céljából, de nem a közeljövőben. Szlovéniában az ECC/REC/(11)01 és ERC/REC/(01)02 </w:t>
      </w:r>
      <w:r w:rsidR="00E31630">
        <w:rPr>
          <w:sz w:val="20"/>
          <w:szCs w:val="20"/>
        </w:rPr>
        <w:t>A</w:t>
      </w:r>
      <w:r>
        <w:rPr>
          <w:sz w:val="20"/>
          <w:szCs w:val="20"/>
        </w:rPr>
        <w:t>jánlásokkal összhangban jelölték ki a frekvenciasávot pont-pont és pont-többpont felhasználás céljára, de egyelőre nincs még használat. A román igazgatástól az az információ</w:t>
      </w:r>
      <w:r w:rsidR="003F78F5">
        <w:rPr>
          <w:sz w:val="20"/>
          <w:szCs w:val="20"/>
        </w:rPr>
        <w:t xml:space="preserve"> áll rendelkezésre</w:t>
      </w:r>
      <w:r>
        <w:rPr>
          <w:sz w:val="20"/>
          <w:szCs w:val="20"/>
        </w:rPr>
        <w:t>, hogy jelenleg nem használják, de a jövőben tervezik megnyitni „first-come, first-served” alapon a frekvenciasávot.</w:t>
      </w:r>
    </w:p>
    <w:p w14:paraId="170D45E5" w14:textId="76D249C1" w:rsidR="004E1789" w:rsidRDefault="004E1789" w:rsidP="004E1789">
      <w:pPr>
        <w:spacing w:after="200"/>
        <w:rPr>
          <w:sz w:val="20"/>
          <w:szCs w:val="20"/>
        </w:rPr>
      </w:pPr>
      <w:r>
        <w:rPr>
          <w:sz w:val="20"/>
          <w:szCs w:val="20"/>
        </w:rPr>
        <w:t xml:space="preserve">Általánosságban elmondható, hogy azokban a szomszédos országokban, amelyekben használják a frekvenciasávot, kevés olyan állomást lehet találni, ami a határhoz való közelsége miatt zavarást okozhat, illetve a frekvenciasáv hullámterjedési tulajdonságai, valamint az alkalmazás jellege miatt (pont-pont összeköttetések) igen kicsi a valószínűsége azonos csatornás </w:t>
      </w:r>
      <w:r w:rsidR="00E31630">
        <w:rPr>
          <w:sz w:val="20"/>
          <w:szCs w:val="20"/>
        </w:rPr>
        <w:t xml:space="preserve">zavarásnak </w:t>
      </w:r>
      <w:r>
        <w:rPr>
          <w:sz w:val="20"/>
          <w:szCs w:val="20"/>
        </w:rPr>
        <w:t xml:space="preserve">(nagyban függ a határtól való távolságtól, terepviszonyoktól, antennanyereségtől, azimut szögtől, telephelyi adottságoktól). Emiatt eseti jellegű egyedi koordináció elegendő lehet, amennyiben túlnyomórészt pont-pont alkalmazások használata várható </w:t>
      </w:r>
      <w:r w:rsidR="00E31630">
        <w:rPr>
          <w:sz w:val="20"/>
          <w:szCs w:val="20"/>
        </w:rPr>
        <w:t xml:space="preserve">Magyarországon </w:t>
      </w:r>
      <w:r>
        <w:rPr>
          <w:sz w:val="20"/>
          <w:szCs w:val="20"/>
        </w:rPr>
        <w:t>is.</w:t>
      </w:r>
    </w:p>
    <w:p w14:paraId="62493B55" w14:textId="1776E18B" w:rsidR="004E1789" w:rsidRDefault="004E1789" w:rsidP="004E167B">
      <w:pPr>
        <w:pStyle w:val="Cmsor1szmozottnmhh"/>
        <w:ind w:left="431" w:hanging="431"/>
      </w:pPr>
      <w:bookmarkStart w:id="64" w:name="_Toc96075654"/>
      <w:r>
        <w:lastRenderedPageBreak/>
        <w:t>Rádióspektrumdíjak</w:t>
      </w:r>
      <w:bookmarkEnd w:id="64"/>
    </w:p>
    <w:p w14:paraId="5FC2A63F" w14:textId="36D24603" w:rsidR="0037475E" w:rsidRPr="0037475E" w:rsidRDefault="0037475E" w:rsidP="00085A59">
      <w:pPr>
        <w:spacing w:after="200"/>
        <w:ind w:firstLine="357"/>
        <w:rPr>
          <w:sz w:val="20"/>
          <w:szCs w:val="20"/>
        </w:rPr>
      </w:pPr>
      <w:r w:rsidRPr="0037475E">
        <w:rPr>
          <w:sz w:val="20"/>
          <w:szCs w:val="20"/>
        </w:rPr>
        <w:t xml:space="preserve">A rendszeres rádióspektrumdíj számítási módszerét a frekvencialekötés és -használat díjáról szóló 1/2011. (III. 31.) NMHH rendelet (a továbbiakban: Díjrendelet) írja le. Az NFFF alapján blokkgazdálkodás körébe tartozó, szolgáltatás célú és versenyeztetési eljárás eredményeként, a rádióspektrum-használati jogosultság meghosszabbítása eredményeként vagy a rádióspektrum-használati jogosultság megújítása eredményeként szerzett, valamint a szerzést követően továbbértékesített rádióspektrum esetén a rádióspektrum-használati jogosultság időtartama alatt a jogosítottnak a rádióengedély érvényességének a </w:t>
      </w:r>
      <w:r w:rsidR="00085A59">
        <w:rPr>
          <w:sz w:val="20"/>
          <w:szCs w:val="20"/>
        </w:rPr>
        <w:t>rádióspektrum-</w:t>
      </w:r>
      <w:r w:rsidR="00085A59" w:rsidRPr="0037475E">
        <w:rPr>
          <w:sz w:val="20"/>
          <w:szCs w:val="20"/>
        </w:rPr>
        <w:t xml:space="preserve">használati </w:t>
      </w:r>
      <w:r w:rsidRPr="0037475E">
        <w:rPr>
          <w:sz w:val="20"/>
          <w:szCs w:val="20"/>
        </w:rPr>
        <w:t>jogosultság megszerzését szolgáló árverés és pályázat szabályairól szóló 4/2011. (X. 6.) NMHH rendelet 22. § (3) bekezdésében meghatározott legkorábbi időpontjától a rádióspektrum-használati jogot szerzőnek havonta sávdíjat kell fizetnie.</w:t>
      </w:r>
    </w:p>
    <w:p w14:paraId="5F1A6878" w14:textId="579D0E6F" w:rsidR="004E1789" w:rsidRDefault="0037475E" w:rsidP="00085A59">
      <w:pPr>
        <w:spacing w:after="200"/>
        <w:ind w:firstLine="357"/>
        <w:rPr>
          <w:sz w:val="20"/>
          <w:szCs w:val="20"/>
        </w:rPr>
      </w:pPr>
      <w:r w:rsidRPr="0037475E">
        <w:rPr>
          <w:sz w:val="20"/>
          <w:szCs w:val="20"/>
        </w:rPr>
        <w:t xml:space="preserve">A 32 GHz-es </w:t>
      </w:r>
      <w:r w:rsidR="00543DA4">
        <w:rPr>
          <w:sz w:val="20"/>
          <w:szCs w:val="20"/>
        </w:rPr>
        <w:t>frekvencia</w:t>
      </w:r>
      <w:r w:rsidRPr="0037475E">
        <w:rPr>
          <w:sz w:val="20"/>
          <w:szCs w:val="20"/>
        </w:rPr>
        <w:t>sáv használata után fizetendő sávdíj megállapításához a Díjrendelet módosítása szükséges, mivel a “Blokkgazdálkodás körébe tartozó sávok után fizetendő díjak” címmel szereplő 20. §-ban és a 9. számú mellékletben nem szerepel ez a frekvenciasáv.</w:t>
      </w:r>
    </w:p>
    <w:p w14:paraId="5B6CF692" w14:textId="77777777" w:rsidR="00CE5B7D" w:rsidRDefault="00CE5B7D" w:rsidP="00607E0B">
      <w:pPr>
        <w:pStyle w:val="Behzottbekezdsnmhh"/>
        <w:ind w:firstLine="0"/>
        <w:sectPr w:rsidR="00CE5B7D" w:rsidSect="00607E0B">
          <w:headerReference w:type="default" r:id="rId19"/>
          <w:footerReference w:type="default" r:id="rId20"/>
          <w:headerReference w:type="first" r:id="rId21"/>
          <w:pgSz w:w="11906" w:h="16838"/>
          <w:pgMar w:top="1417" w:right="1417" w:bottom="1417" w:left="1417" w:header="1417" w:footer="709" w:gutter="0"/>
          <w:cols w:space="708"/>
          <w:titlePg/>
          <w:docGrid w:linePitch="360"/>
        </w:sectPr>
      </w:pPr>
    </w:p>
    <w:p w14:paraId="5E612C09" w14:textId="59616479" w:rsidR="004E0238" w:rsidRDefault="00CE5B7D" w:rsidP="00DA416E">
      <w:pPr>
        <w:pStyle w:val="Cmsor1szmozottnmhh"/>
        <w:pageBreakBefore w:val="0"/>
        <w:numPr>
          <w:ilvl w:val="0"/>
          <w:numId w:val="0"/>
        </w:numPr>
        <w:ind w:left="432" w:hanging="432"/>
      </w:pPr>
      <w:bookmarkStart w:id="65" w:name="_Toc96075655"/>
      <w:r>
        <w:lastRenderedPageBreak/>
        <w:t>Melléklet</w:t>
      </w:r>
      <w:r w:rsidR="00DA416E">
        <w:t>: 32 GHz-es sávelrendezés 28 MHz-es alapblokkokkal</w:t>
      </w:r>
      <w:bookmarkEnd w:id="65"/>
    </w:p>
    <w:p w14:paraId="3FD53A75" w14:textId="723076D0" w:rsidR="00CE5B7D" w:rsidRDefault="00CE5B7D" w:rsidP="00607E0B">
      <w:pPr>
        <w:pStyle w:val="Behzottbekezdsnmhh"/>
        <w:ind w:firstLine="0"/>
      </w:pPr>
    </w:p>
    <w:p w14:paraId="484B015F" w14:textId="00808470" w:rsidR="00CE5B7D" w:rsidRDefault="00CE5B7D" w:rsidP="00607E0B">
      <w:pPr>
        <w:pStyle w:val="Behzottbekezdsnmhh"/>
        <w:ind w:firstLine="0"/>
      </w:pPr>
    </w:p>
    <w:p w14:paraId="5D6577E1" w14:textId="45594524" w:rsidR="00CE5B7D" w:rsidRDefault="00DA416E" w:rsidP="00DA416E">
      <w:pPr>
        <w:pStyle w:val="Behzottbekezdsnmhh"/>
        <w:ind w:left="-567" w:firstLine="0"/>
      </w:pPr>
      <w:r w:rsidRPr="00967E7A">
        <w:rPr>
          <w:noProof/>
          <w:lang w:eastAsia="hu-HU"/>
        </w:rPr>
        <w:drawing>
          <wp:inline distT="0" distB="0" distL="0" distR="0" wp14:anchorId="0CBE3F5D" wp14:editId="734FAB54">
            <wp:extent cx="9261249" cy="1176794"/>
            <wp:effectExtent l="0" t="0" r="0" b="4445"/>
            <wp:docPr id="7"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1"/>
                    <pic:cNvPicPr>
                      <a:picLocks noChangeAspect="1"/>
                    </pic:cNvPicPr>
                  </pic:nvPicPr>
                  <pic:blipFill>
                    <a:blip r:embed="rId22"/>
                    <a:stretch>
                      <a:fillRect/>
                    </a:stretch>
                  </pic:blipFill>
                  <pic:spPr>
                    <a:xfrm>
                      <a:off x="0" y="0"/>
                      <a:ext cx="9466489" cy="1202873"/>
                    </a:xfrm>
                    <a:prstGeom prst="rect">
                      <a:avLst/>
                    </a:prstGeom>
                  </pic:spPr>
                </pic:pic>
              </a:graphicData>
            </a:graphic>
          </wp:inline>
        </w:drawing>
      </w:r>
    </w:p>
    <w:p w14:paraId="6DF3460D" w14:textId="0C0AC28D" w:rsidR="00CE5B7D" w:rsidRDefault="00CE5B7D" w:rsidP="00607E0B">
      <w:pPr>
        <w:pStyle w:val="Behzottbekezdsnmhh"/>
        <w:ind w:firstLine="0"/>
      </w:pPr>
    </w:p>
    <w:p w14:paraId="4D51B744" w14:textId="454CE6E4" w:rsidR="00CE5B7D" w:rsidRDefault="007979F2" w:rsidP="004E167B">
      <w:pPr>
        <w:pStyle w:val="Behzottbekezdsnmhh"/>
        <w:ind w:firstLine="0"/>
        <w:jc w:val="center"/>
      </w:pPr>
      <w:r>
        <w:object w:dxaOrig="2580" w:dyaOrig="810" w14:anchorId="20C6DC4A">
          <v:shape id="_x0000_i1026" type="#_x0000_t75" style="width:94.55pt;height:29.6pt" o:ole="">
            <v:imagedata r:id="rId23" o:title=""/>
          </v:shape>
          <o:OLEObject Type="Embed" ProgID="Package" ShapeID="_x0000_i1026" DrawAspect="Content" ObjectID="_1706688385" r:id="rId24"/>
        </w:object>
      </w:r>
    </w:p>
    <w:p w14:paraId="6F2923B6" w14:textId="40636948" w:rsidR="00CE5B7D" w:rsidRPr="004E0238" w:rsidRDefault="00CE5B7D" w:rsidP="00CE5B7D">
      <w:pPr>
        <w:pStyle w:val="Behzottbekezdsnmhh"/>
        <w:ind w:left="-567" w:firstLine="0"/>
      </w:pPr>
    </w:p>
    <w:sectPr w:rsidR="00CE5B7D" w:rsidRPr="004E0238" w:rsidSect="00CE5B7D">
      <w:pgSz w:w="16838" w:h="11906" w:orient="landscape"/>
      <w:pgMar w:top="1417" w:right="1417" w:bottom="1417" w:left="1417" w:header="141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1217A" w14:textId="77777777" w:rsidR="003F0A5C" w:rsidRDefault="003F0A5C">
      <w:pPr>
        <w:spacing w:after="0" w:line="240" w:lineRule="auto"/>
      </w:pPr>
      <w:r>
        <w:separator/>
      </w:r>
    </w:p>
  </w:endnote>
  <w:endnote w:type="continuationSeparator" w:id="0">
    <w:p w14:paraId="31E4EDD1" w14:textId="77777777" w:rsidR="003F0A5C" w:rsidRDefault="003F0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2040503050201020203"/>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PTSans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43525A"/>
      </w:rPr>
      <w:id w:val="-521928211"/>
      <w:docPartObj>
        <w:docPartGallery w:val="Page Numbers (Bottom of Page)"/>
        <w:docPartUnique/>
      </w:docPartObj>
    </w:sdtPr>
    <w:sdtEndPr/>
    <w:sdtContent>
      <w:p w14:paraId="1E0AC7C7" w14:textId="08AB9C56" w:rsidR="00524AA6" w:rsidRDefault="00524AA6">
        <w:pPr>
          <w:pStyle w:val="llb"/>
          <w:jc w:val="left"/>
          <w:rPr>
            <w:color w:val="43525A"/>
          </w:rPr>
        </w:pPr>
        <w:r>
          <w:rPr>
            <w:color w:val="43525A"/>
          </w:rPr>
          <w:fldChar w:fldCharType="begin"/>
        </w:r>
        <w:r>
          <w:rPr>
            <w:color w:val="43525A"/>
          </w:rPr>
          <w:instrText>PAGE   \* MERGEFORMAT</w:instrText>
        </w:r>
        <w:r>
          <w:rPr>
            <w:color w:val="43525A"/>
          </w:rPr>
          <w:fldChar w:fldCharType="separate"/>
        </w:r>
        <w:r w:rsidR="00FB1E56">
          <w:rPr>
            <w:noProof/>
            <w:color w:val="43525A"/>
          </w:rPr>
          <w:t>4</w:t>
        </w:r>
        <w:r>
          <w:rPr>
            <w:color w:val="43525A"/>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219296"/>
      <w:docPartObj>
        <w:docPartGallery w:val="Page Numbers (Bottom of Page)"/>
        <w:docPartUnique/>
      </w:docPartObj>
    </w:sdtPr>
    <w:sdtEndPr>
      <w:rPr>
        <w:color w:val="43525A"/>
      </w:rPr>
    </w:sdtEndPr>
    <w:sdtContent>
      <w:p w14:paraId="4FC9EF92" w14:textId="60AA8058" w:rsidR="00524AA6" w:rsidRDefault="00524AA6">
        <w:pPr>
          <w:pStyle w:val="llb"/>
          <w:jc w:val="right"/>
          <w:rPr>
            <w:color w:val="43525A"/>
          </w:rPr>
        </w:pPr>
        <w:r>
          <w:rPr>
            <w:color w:val="43525A"/>
          </w:rPr>
          <w:fldChar w:fldCharType="begin"/>
        </w:r>
        <w:r>
          <w:rPr>
            <w:color w:val="43525A"/>
          </w:rPr>
          <w:instrText>PAGE   \* MERGEFORMAT</w:instrText>
        </w:r>
        <w:r>
          <w:rPr>
            <w:color w:val="43525A"/>
          </w:rPr>
          <w:fldChar w:fldCharType="separate"/>
        </w:r>
        <w:r>
          <w:rPr>
            <w:noProof/>
            <w:color w:val="43525A"/>
          </w:rPr>
          <w:t>19</w:t>
        </w:r>
        <w:r>
          <w:rPr>
            <w:color w:val="43525A"/>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FD05E" w14:textId="77777777" w:rsidR="00524AA6" w:rsidRDefault="00524AA6" w:rsidP="00AB6891">
    <w:pPr>
      <w:pStyle w:val="llb"/>
      <w:jc w:val="left"/>
    </w:pPr>
    <w:r>
      <w:rPr>
        <w:noProof/>
        <w:lang w:eastAsia="hu-HU"/>
      </w:rPr>
      <mc:AlternateContent>
        <mc:Choice Requires="wps">
          <w:drawing>
            <wp:anchor distT="0" distB="0" distL="114300" distR="114300" simplePos="0" relativeHeight="251666944" behindDoc="0" locked="0" layoutInCell="1" allowOverlap="1" wp14:anchorId="7A171292" wp14:editId="62305908">
              <wp:simplePos x="0" y="0"/>
              <wp:positionH relativeFrom="column">
                <wp:posOffset>4997450</wp:posOffset>
              </wp:positionH>
              <wp:positionV relativeFrom="paragraph">
                <wp:posOffset>153035</wp:posOffset>
              </wp:positionV>
              <wp:extent cx="613410" cy="302260"/>
              <wp:effectExtent l="0"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43525A"/>
                            </w:rPr>
                            <w:id w:val="3488043"/>
                            <w:docPartObj>
                              <w:docPartGallery w:val="Page Numbers (Bottom of Page)"/>
                              <w:docPartUnique/>
                            </w:docPartObj>
                          </w:sdtPr>
                          <w:sdtEndPr/>
                          <w:sdtContent>
                            <w:p w14:paraId="098D2B2E" w14:textId="078E5323" w:rsidR="00524AA6" w:rsidRPr="00AB6891" w:rsidRDefault="00524AA6" w:rsidP="00AB6891">
                              <w:pPr>
                                <w:pStyle w:val="llb"/>
                                <w:rPr>
                                  <w:color w:val="43525A"/>
                                </w:rPr>
                              </w:pPr>
                              <w:r w:rsidRPr="00AB6891">
                                <w:rPr>
                                  <w:color w:val="43525A"/>
                                </w:rPr>
                                <w:fldChar w:fldCharType="begin"/>
                              </w:r>
                              <w:r w:rsidRPr="00AB6891">
                                <w:rPr>
                                  <w:color w:val="43525A"/>
                                </w:rPr>
                                <w:instrText xml:space="preserve"> PAGE   \* MERGEFORMAT </w:instrText>
                              </w:r>
                              <w:r w:rsidRPr="00AB6891">
                                <w:rPr>
                                  <w:color w:val="43525A"/>
                                </w:rPr>
                                <w:fldChar w:fldCharType="separate"/>
                              </w:r>
                              <w:r w:rsidR="00FB1E56">
                                <w:rPr>
                                  <w:noProof/>
                                  <w:color w:val="43525A"/>
                                </w:rPr>
                                <w:t>3</w:t>
                              </w:r>
                              <w:r w:rsidRPr="00AB6891">
                                <w:rPr>
                                  <w:color w:val="43525A"/>
                                </w:rPr>
                                <w:fldChar w:fldCharType="end"/>
                              </w:r>
                            </w:p>
                          </w:sdtContent>
                        </w:sdt>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171292" id="_x0000_t202" coordsize="21600,21600" o:spt="202" path="m,l,21600r21600,l21600,xe">
              <v:stroke joinstyle="miter"/>
              <v:path gradientshapeok="t" o:connecttype="rect"/>
            </v:shapetype>
            <v:shape id="Text Box 2" o:spid="_x0000_s1026" type="#_x0000_t202" style="position:absolute;margin-left:393.5pt;margin-top:12.05pt;width:48.3pt;height:23.8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CVVsw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A4jQTto0SMbDbqTI4psdYZep+D00IObGeHYetpMdX8vy28aCblqqNiyW6Xk0DBaAbvQ3vQvrk44&#10;2oJsho+ygjB0Z6QDGmvVWUAoBgJ06NLTqTOWSgmHcXhNQrCUYLoOoih2nfNperzcK23eM9khu8iw&#10;gsY7cLq/18aSoenRxcYSsuBt65rfimcH4DidQGi4am2WhOvlzyRI1ov1gngkitceCfLcuy1WxIuL&#10;cD7Lr/PVKg9/2bghSRteVUzYMEddheTP+nZQ+KSIk7K0bHll4SwlrbabVavQnoKuC/e5koPl7OY/&#10;p+GKALm8SCmMSHAXJV4RL+YeKcjMS+bBwgvC5C6JA5KQvHie0j0X7N9TQkOGk1k0m7R0Jv0it8B9&#10;r3OjaccNTI6WdxlenJxoahW4FpVrraG8ndYXpbD0z6WAdh8b7fRqJTqJ1YybEVCsiDeyegLlKgnK&#10;AhHCuINFI9UPjAYYHRnW33dUMYzaDwLUn4SE2FnjNmQ2j2CjLi2bSwsVJUBl2GA0LVdmmk+7XvFt&#10;A5GO7+0WXkzBnZrPrA7vDMaDS+owyuz8udw7r/PAXf4GAAD//wMAUEsDBBQABgAIAAAAIQCuYepo&#10;3QAAAAkBAAAPAAAAZHJzL2Rvd25yZXYueG1sTI/BTsMwEETvSPyDtUjcqJOAmijEqSrUliNQIs5u&#10;vCQR8dqK3TT8PcsJjqMZzbypNosdxYxTGBwpSFcJCKTWmYE6Bc37/q4AEaImo0dHqOAbA2zq66tK&#10;l8Zd6A3nY+wEl1AotYI+Rl9KGdoerQ4r55HY+3ST1ZHl1Ekz6QuX21FmSbKWVg/EC732+NRj+3U8&#10;WwU++kP+PL28bnf7OWk+Dk02dDulbm+W7SOIiEv8C8MvPqNDzUwndyYTxKggL3L+EhVkDykIDhTF&#10;/RrEiZ00B1lX8v+D+gcAAP//AwBQSwECLQAUAAYACAAAACEAtoM4kv4AAADhAQAAEwAAAAAAAAAA&#10;AAAAAAAAAAAAW0NvbnRlbnRfVHlwZXNdLnhtbFBLAQItABQABgAIAAAAIQA4/SH/1gAAAJQBAAAL&#10;AAAAAAAAAAAAAAAAAC8BAABfcmVscy8ucmVsc1BLAQItABQABgAIAAAAIQChkCVVswIAALgFAAAO&#10;AAAAAAAAAAAAAAAAAC4CAABkcnMvZTJvRG9jLnhtbFBLAQItABQABgAIAAAAIQCuYepo3QAAAAkB&#10;AAAPAAAAAAAAAAAAAAAAAA0FAABkcnMvZG93bnJldi54bWxQSwUGAAAAAAQABADzAAAAFwYAAAAA&#10;" filled="f" stroked="f">
              <v:textbox style="mso-fit-shape-to-text:t">
                <w:txbxContent>
                  <w:sdt>
                    <w:sdtPr>
                      <w:rPr>
                        <w:color w:val="43525A"/>
                      </w:rPr>
                      <w:id w:val="3488043"/>
                      <w:docPartObj>
                        <w:docPartGallery w:val="Page Numbers (Bottom of Page)"/>
                        <w:docPartUnique/>
                      </w:docPartObj>
                    </w:sdtPr>
                    <w:sdtEndPr/>
                    <w:sdtContent>
                      <w:p w14:paraId="098D2B2E" w14:textId="078E5323" w:rsidR="00524AA6" w:rsidRPr="00AB6891" w:rsidRDefault="00524AA6" w:rsidP="00AB6891">
                        <w:pPr>
                          <w:pStyle w:val="llb"/>
                          <w:rPr>
                            <w:color w:val="43525A"/>
                          </w:rPr>
                        </w:pPr>
                        <w:r w:rsidRPr="00AB6891">
                          <w:rPr>
                            <w:color w:val="43525A"/>
                          </w:rPr>
                          <w:fldChar w:fldCharType="begin"/>
                        </w:r>
                        <w:r w:rsidRPr="00AB6891">
                          <w:rPr>
                            <w:color w:val="43525A"/>
                          </w:rPr>
                          <w:instrText xml:space="preserve"> PAGE   \* MERGEFORMAT </w:instrText>
                        </w:r>
                        <w:r w:rsidRPr="00AB6891">
                          <w:rPr>
                            <w:color w:val="43525A"/>
                          </w:rPr>
                          <w:fldChar w:fldCharType="separate"/>
                        </w:r>
                        <w:r w:rsidR="00FB1E56">
                          <w:rPr>
                            <w:noProof/>
                            <w:color w:val="43525A"/>
                          </w:rPr>
                          <w:t>3</w:t>
                        </w:r>
                        <w:r w:rsidRPr="00AB6891">
                          <w:rPr>
                            <w:color w:val="43525A"/>
                          </w:rPr>
                          <w:fldChar w:fldCharType="end"/>
                        </w:r>
                      </w:p>
                    </w:sdtContent>
                  </w:sdt>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AE234" w14:textId="77777777" w:rsidR="003F0A5C" w:rsidRDefault="003F0A5C">
      <w:pPr>
        <w:spacing w:after="0" w:line="240" w:lineRule="auto"/>
      </w:pPr>
      <w:r>
        <w:separator/>
      </w:r>
    </w:p>
  </w:footnote>
  <w:footnote w:type="continuationSeparator" w:id="0">
    <w:p w14:paraId="553C0F52" w14:textId="77777777" w:rsidR="003F0A5C" w:rsidRDefault="003F0A5C">
      <w:pPr>
        <w:spacing w:after="0" w:line="240" w:lineRule="auto"/>
      </w:pPr>
      <w:r>
        <w:continuationSeparator/>
      </w:r>
    </w:p>
  </w:footnote>
  <w:footnote w:id="1">
    <w:p w14:paraId="3B699039" w14:textId="77777777" w:rsidR="00524AA6" w:rsidRDefault="00524AA6" w:rsidP="00D55153">
      <w:pPr>
        <w:pStyle w:val="Lbjegyzetszveg"/>
      </w:pPr>
      <w:r>
        <w:rPr>
          <w:rStyle w:val="Lbjegyzet-hivatkozs"/>
        </w:rPr>
        <w:footnoteRef/>
      </w:r>
      <w:r>
        <w:t xml:space="preserve"> </w:t>
      </w:r>
      <w:r w:rsidRPr="0060328D">
        <w:rPr>
          <w:sz w:val="16"/>
          <w:szCs w:val="16"/>
        </w:rPr>
        <w:t xml:space="preserve">MFCN: Mobile/Fixed </w:t>
      </w:r>
      <w:proofErr w:type="spellStart"/>
      <w:r w:rsidRPr="0060328D">
        <w:rPr>
          <w:sz w:val="16"/>
          <w:szCs w:val="16"/>
        </w:rPr>
        <w:t>Communication</w:t>
      </w:r>
      <w:proofErr w:type="spellEnd"/>
      <w:r w:rsidRPr="0060328D">
        <w:rPr>
          <w:sz w:val="16"/>
          <w:szCs w:val="16"/>
        </w:rPr>
        <w:t xml:space="preserve"> Network </w:t>
      </w:r>
      <w:r>
        <w:rPr>
          <w:sz w:val="16"/>
          <w:szCs w:val="16"/>
        </w:rPr>
        <w:t>(</w:t>
      </w:r>
      <w:r w:rsidRPr="0060328D">
        <w:rPr>
          <w:sz w:val="16"/>
          <w:szCs w:val="16"/>
        </w:rPr>
        <w:t>mozgó és ál</w:t>
      </w:r>
      <w:r>
        <w:rPr>
          <w:sz w:val="16"/>
          <w:szCs w:val="16"/>
        </w:rPr>
        <w:t>landóhelyű hírközlési hálózatok)</w:t>
      </w:r>
    </w:p>
  </w:footnote>
  <w:footnote w:id="2">
    <w:p w14:paraId="11039944" w14:textId="1743D466" w:rsidR="00002432" w:rsidRDefault="00002432">
      <w:pPr>
        <w:pStyle w:val="Lbjegyzetszveg"/>
      </w:pPr>
      <w:r>
        <w:rPr>
          <w:rStyle w:val="Lbjegyzet-hivatkozs"/>
        </w:rPr>
        <w:footnoteRef/>
      </w:r>
      <w:r>
        <w:t xml:space="preserve"> </w:t>
      </w:r>
      <w:r w:rsidRPr="00002432">
        <w:rPr>
          <w:sz w:val="16"/>
          <w:szCs w:val="16"/>
        </w:rPr>
        <w:t xml:space="preserve">Rádiótávközlési </w:t>
      </w:r>
      <w:proofErr w:type="spellStart"/>
      <w:r w:rsidRPr="00002432">
        <w:rPr>
          <w:sz w:val="16"/>
          <w:szCs w:val="16"/>
        </w:rPr>
        <w:t>Világértékezlet</w:t>
      </w:r>
      <w:proofErr w:type="spellEnd"/>
      <w:r w:rsidR="005F5BB1">
        <w:rPr>
          <w:sz w:val="16"/>
          <w:szCs w:val="16"/>
        </w:rPr>
        <w:t xml:space="preserve">, World </w:t>
      </w:r>
      <w:proofErr w:type="spellStart"/>
      <w:r w:rsidR="005F5BB1">
        <w:rPr>
          <w:sz w:val="16"/>
          <w:szCs w:val="16"/>
        </w:rPr>
        <w:t>Radio</w:t>
      </w:r>
      <w:proofErr w:type="spellEnd"/>
      <w:r w:rsidR="005F5BB1">
        <w:rPr>
          <w:sz w:val="16"/>
          <w:szCs w:val="16"/>
        </w:rPr>
        <w:t xml:space="preserve"> </w:t>
      </w:r>
      <w:proofErr w:type="spellStart"/>
      <w:r w:rsidR="005F5BB1">
        <w:rPr>
          <w:sz w:val="16"/>
          <w:szCs w:val="16"/>
        </w:rPr>
        <w:t>Conference</w:t>
      </w:r>
      <w:proofErr w:type="spellEnd"/>
      <w:r w:rsidR="005F5BB1">
        <w:rPr>
          <w:sz w:val="16"/>
          <w:szCs w:val="16"/>
        </w:rPr>
        <w:t>, WRC</w:t>
      </w:r>
    </w:p>
  </w:footnote>
  <w:footnote w:id="3">
    <w:p w14:paraId="08637AD6" w14:textId="63AC166F" w:rsidR="00524AA6" w:rsidRDefault="00524AA6">
      <w:pPr>
        <w:pStyle w:val="Lbjegyzetszveg"/>
      </w:pPr>
      <w:r>
        <w:rPr>
          <w:rStyle w:val="Lbjegyzet-hivatkozs"/>
        </w:rPr>
        <w:footnoteRef/>
      </w:r>
      <w:r>
        <w:t xml:space="preserve"> </w:t>
      </w:r>
      <w:proofErr w:type="gramStart"/>
      <w:r w:rsidRPr="00CF05FE">
        <w:rPr>
          <w:sz w:val="16"/>
          <w:szCs w:val="16"/>
        </w:rPr>
        <w:t>nemzetközi</w:t>
      </w:r>
      <w:proofErr w:type="gramEnd"/>
      <w:r w:rsidRPr="00CF05FE">
        <w:rPr>
          <w:sz w:val="16"/>
          <w:szCs w:val="16"/>
        </w:rPr>
        <w:t xml:space="preserve"> mozgó távközlés</w:t>
      </w:r>
      <w:r>
        <w:rPr>
          <w:sz w:val="16"/>
          <w:szCs w:val="16"/>
        </w:rPr>
        <w:t>,</w:t>
      </w:r>
      <w:r w:rsidRPr="00954DC4">
        <w:rPr>
          <w:sz w:val="16"/>
          <w:szCs w:val="16"/>
        </w:rPr>
        <w:t xml:space="preserve"> International Mobile </w:t>
      </w:r>
      <w:proofErr w:type="spellStart"/>
      <w:r w:rsidRPr="00954DC4">
        <w:rPr>
          <w:sz w:val="16"/>
          <w:szCs w:val="16"/>
        </w:rPr>
        <w:t>Telecommunication</w:t>
      </w:r>
      <w:proofErr w:type="spellEnd"/>
      <w:r>
        <w:rPr>
          <w:sz w:val="16"/>
          <w:szCs w:val="16"/>
        </w:rPr>
        <w:t>,</w:t>
      </w:r>
      <w:r w:rsidRPr="00954DC4">
        <w:rPr>
          <w:sz w:val="16"/>
          <w:szCs w:val="16"/>
        </w:rPr>
        <w:t xml:space="preserve"> IMT</w:t>
      </w:r>
      <w:r>
        <w:t xml:space="preserve"> </w:t>
      </w:r>
    </w:p>
  </w:footnote>
  <w:footnote w:id="4">
    <w:p w14:paraId="23292EC4" w14:textId="5A4AEB3E" w:rsidR="00524AA6" w:rsidRPr="00843FE5" w:rsidRDefault="00524AA6" w:rsidP="000F149D">
      <w:pPr>
        <w:pStyle w:val="Lbjegyzetszveg"/>
        <w:rPr>
          <w:sz w:val="16"/>
          <w:szCs w:val="16"/>
        </w:rPr>
      </w:pPr>
      <w:r w:rsidRPr="00843FE5">
        <w:rPr>
          <w:rStyle w:val="Lbjegyzet-hivatkozs"/>
          <w:sz w:val="16"/>
          <w:szCs w:val="16"/>
        </w:rPr>
        <w:footnoteRef/>
      </w:r>
      <w:r w:rsidRPr="00843FE5">
        <w:rPr>
          <w:sz w:val="16"/>
          <w:szCs w:val="16"/>
        </w:rPr>
        <w:t xml:space="preserve"> Rádióspektrum Politikai Csoport </w:t>
      </w:r>
      <w:proofErr w:type="spellStart"/>
      <w:r w:rsidRPr="00843FE5">
        <w:rPr>
          <w:sz w:val="16"/>
          <w:szCs w:val="16"/>
        </w:rPr>
        <w:t>Radio</w:t>
      </w:r>
      <w:proofErr w:type="spellEnd"/>
      <w:r w:rsidRPr="00843FE5">
        <w:rPr>
          <w:sz w:val="16"/>
          <w:szCs w:val="16"/>
        </w:rPr>
        <w:t xml:space="preserve"> </w:t>
      </w:r>
      <w:proofErr w:type="spellStart"/>
      <w:r w:rsidRPr="00843FE5">
        <w:rPr>
          <w:sz w:val="16"/>
          <w:szCs w:val="16"/>
        </w:rPr>
        <w:t>Spectrum</w:t>
      </w:r>
      <w:proofErr w:type="spellEnd"/>
      <w:r w:rsidRPr="00843FE5">
        <w:rPr>
          <w:sz w:val="16"/>
          <w:szCs w:val="16"/>
        </w:rPr>
        <w:t xml:space="preserve"> Policy Group</w:t>
      </w:r>
      <w:r>
        <w:rPr>
          <w:sz w:val="16"/>
          <w:szCs w:val="16"/>
        </w:rPr>
        <w:t>,</w:t>
      </w:r>
      <w:r w:rsidRPr="00843FE5">
        <w:rPr>
          <w:sz w:val="16"/>
          <w:szCs w:val="16"/>
        </w:rPr>
        <w:t xml:space="preserve"> RSPG – (A rádiófrekvencia-politikával foglalkozó csoport létrehozásáról szóló 2002. július 26-i 2002/622/EK bizottsági határozattal létrehozott rádióspektrum Politikai Csoport (RSPG) tanácsadói minőségben a rádióspektrum európai stratégiai kérdéseivel foglalkozik.)</w:t>
      </w:r>
    </w:p>
  </w:footnote>
  <w:footnote w:id="5">
    <w:p w14:paraId="09502F2E" w14:textId="29FC6082" w:rsidR="00002432" w:rsidRPr="00843FE5" w:rsidRDefault="00524AA6" w:rsidP="00E573D3">
      <w:pPr>
        <w:pStyle w:val="Lbjegyzetszveg"/>
        <w:rPr>
          <w:sz w:val="16"/>
          <w:szCs w:val="16"/>
        </w:rPr>
      </w:pPr>
      <w:r w:rsidRPr="00843FE5">
        <w:rPr>
          <w:rStyle w:val="Lbjegyzet-hivatkozs"/>
          <w:sz w:val="16"/>
          <w:szCs w:val="16"/>
        </w:rPr>
        <w:footnoteRef/>
      </w:r>
      <w:r w:rsidRPr="00843FE5">
        <w:rPr>
          <w:sz w:val="16"/>
          <w:szCs w:val="16"/>
        </w:rPr>
        <w:t xml:space="preserve"> </w:t>
      </w:r>
      <w:hyperlink r:id="rId1" w:history="1">
        <w:r w:rsidR="00002432" w:rsidRPr="00DF2E6E">
          <w:rPr>
            <w:rStyle w:val="Hiperhivatkozs"/>
            <w:sz w:val="16"/>
            <w:szCs w:val="16"/>
          </w:rPr>
          <w:t>http://rspg-spectrum.eu/wp-content/uploads/2013/05/RPSG16-032-Opinion_5G.pdf</w:t>
        </w:r>
      </w:hyperlink>
    </w:p>
  </w:footnote>
  <w:footnote w:id="6">
    <w:p w14:paraId="45A35FDF" w14:textId="11E8EAF3" w:rsidR="00002432" w:rsidRDefault="00524AA6" w:rsidP="00E573D3">
      <w:pPr>
        <w:pStyle w:val="Lbjegyzetszveg"/>
        <w:rPr>
          <w:sz w:val="16"/>
          <w:szCs w:val="16"/>
        </w:rPr>
      </w:pPr>
      <w:r w:rsidRPr="00843FE5">
        <w:rPr>
          <w:rStyle w:val="Lbjegyzet-hivatkozs"/>
          <w:sz w:val="16"/>
          <w:szCs w:val="16"/>
        </w:rPr>
        <w:footnoteRef/>
      </w:r>
      <w:r w:rsidRPr="00843FE5">
        <w:rPr>
          <w:sz w:val="16"/>
          <w:szCs w:val="16"/>
        </w:rPr>
        <w:t xml:space="preserve"> </w:t>
      </w:r>
      <w:hyperlink r:id="rId2" w:history="1">
        <w:r w:rsidR="00002432" w:rsidRPr="003D631C">
          <w:rPr>
            <w:rStyle w:val="Hiperhivatkozs"/>
            <w:sz w:val="16"/>
            <w:szCs w:val="16"/>
          </w:rPr>
          <w:t>https://digital-strategy.ec.europa.eu/en/library/radio-spectrum-cept-mandates</w:t>
        </w:r>
      </w:hyperlink>
    </w:p>
    <w:p w14:paraId="6CAC8720" w14:textId="02CBE306" w:rsidR="00524AA6" w:rsidRPr="00843FE5" w:rsidRDefault="00524AA6" w:rsidP="00E573D3">
      <w:pPr>
        <w:pStyle w:val="Lbjegyzetszveg"/>
        <w:rPr>
          <w:sz w:val="16"/>
          <w:szCs w:val="16"/>
        </w:rPr>
      </w:pPr>
      <w:proofErr w:type="spellStart"/>
      <w:r w:rsidRPr="00843FE5">
        <w:rPr>
          <w:sz w:val="16"/>
          <w:szCs w:val="16"/>
        </w:rPr>
        <w:t>Mandate</w:t>
      </w:r>
      <w:proofErr w:type="spellEnd"/>
      <w:r w:rsidRPr="00843FE5">
        <w:rPr>
          <w:sz w:val="16"/>
          <w:szCs w:val="16"/>
        </w:rPr>
        <w:t xml:space="preserve"> </w:t>
      </w:r>
      <w:proofErr w:type="spellStart"/>
      <w:r w:rsidRPr="00843FE5">
        <w:rPr>
          <w:sz w:val="16"/>
          <w:szCs w:val="16"/>
        </w:rPr>
        <w:t>to</w:t>
      </w:r>
      <w:proofErr w:type="spellEnd"/>
      <w:r w:rsidRPr="00843FE5">
        <w:rPr>
          <w:sz w:val="16"/>
          <w:szCs w:val="16"/>
        </w:rPr>
        <w:t xml:space="preserve"> CEPT </w:t>
      </w:r>
      <w:proofErr w:type="spellStart"/>
      <w:r w:rsidRPr="00843FE5">
        <w:rPr>
          <w:sz w:val="16"/>
          <w:szCs w:val="16"/>
        </w:rPr>
        <w:t>to</w:t>
      </w:r>
      <w:proofErr w:type="spellEnd"/>
      <w:r w:rsidRPr="00843FE5">
        <w:rPr>
          <w:sz w:val="16"/>
          <w:szCs w:val="16"/>
        </w:rPr>
        <w:t xml:space="preserve"> </w:t>
      </w:r>
      <w:proofErr w:type="spellStart"/>
      <w:r w:rsidRPr="00843FE5">
        <w:rPr>
          <w:sz w:val="16"/>
          <w:szCs w:val="16"/>
        </w:rPr>
        <w:t>develop</w:t>
      </w:r>
      <w:proofErr w:type="spellEnd"/>
      <w:r w:rsidRPr="00843FE5">
        <w:rPr>
          <w:sz w:val="16"/>
          <w:szCs w:val="16"/>
        </w:rPr>
        <w:t xml:space="preserve"> </w:t>
      </w:r>
      <w:proofErr w:type="spellStart"/>
      <w:r w:rsidRPr="00843FE5">
        <w:rPr>
          <w:sz w:val="16"/>
          <w:szCs w:val="16"/>
        </w:rPr>
        <w:t>harmonised</w:t>
      </w:r>
      <w:proofErr w:type="spellEnd"/>
      <w:r w:rsidRPr="00843FE5">
        <w:rPr>
          <w:sz w:val="16"/>
          <w:szCs w:val="16"/>
        </w:rPr>
        <w:t xml:space="preserve"> </w:t>
      </w:r>
      <w:proofErr w:type="spellStart"/>
      <w:r w:rsidRPr="00843FE5">
        <w:rPr>
          <w:sz w:val="16"/>
          <w:szCs w:val="16"/>
        </w:rPr>
        <w:t>technical</w:t>
      </w:r>
      <w:proofErr w:type="spellEnd"/>
      <w:r w:rsidRPr="00843FE5">
        <w:rPr>
          <w:sz w:val="16"/>
          <w:szCs w:val="16"/>
        </w:rPr>
        <w:t xml:space="preserve"> </w:t>
      </w:r>
      <w:proofErr w:type="spellStart"/>
      <w:r w:rsidRPr="00843FE5">
        <w:rPr>
          <w:sz w:val="16"/>
          <w:szCs w:val="16"/>
        </w:rPr>
        <w:t>conditions</w:t>
      </w:r>
      <w:proofErr w:type="spellEnd"/>
      <w:r w:rsidRPr="00843FE5">
        <w:rPr>
          <w:sz w:val="16"/>
          <w:szCs w:val="16"/>
        </w:rPr>
        <w:t xml:space="preserve"> </w:t>
      </w:r>
      <w:proofErr w:type="spellStart"/>
      <w:r w:rsidRPr="00843FE5">
        <w:rPr>
          <w:sz w:val="16"/>
          <w:szCs w:val="16"/>
        </w:rPr>
        <w:t>for</w:t>
      </w:r>
      <w:proofErr w:type="spellEnd"/>
      <w:r w:rsidRPr="00843FE5">
        <w:rPr>
          <w:sz w:val="16"/>
          <w:szCs w:val="16"/>
        </w:rPr>
        <w:t xml:space="preserve"> </w:t>
      </w:r>
      <w:proofErr w:type="spellStart"/>
      <w:r w:rsidRPr="00843FE5">
        <w:rPr>
          <w:sz w:val="16"/>
          <w:szCs w:val="16"/>
        </w:rPr>
        <w:t>spectrum</w:t>
      </w:r>
      <w:proofErr w:type="spellEnd"/>
      <w:r w:rsidRPr="00843FE5">
        <w:rPr>
          <w:sz w:val="16"/>
          <w:szCs w:val="16"/>
        </w:rPr>
        <w:t xml:space="preserve"> </w:t>
      </w:r>
      <w:proofErr w:type="spellStart"/>
      <w:r w:rsidRPr="00843FE5">
        <w:rPr>
          <w:sz w:val="16"/>
          <w:szCs w:val="16"/>
        </w:rPr>
        <w:t>use</w:t>
      </w:r>
      <w:proofErr w:type="spellEnd"/>
      <w:r w:rsidRPr="00843FE5">
        <w:rPr>
          <w:sz w:val="16"/>
          <w:szCs w:val="16"/>
        </w:rPr>
        <w:t xml:space="preserve"> in </w:t>
      </w:r>
      <w:proofErr w:type="spellStart"/>
      <w:r w:rsidRPr="00843FE5">
        <w:rPr>
          <w:sz w:val="16"/>
          <w:szCs w:val="16"/>
        </w:rPr>
        <w:t>support</w:t>
      </w:r>
      <w:proofErr w:type="spellEnd"/>
      <w:r w:rsidRPr="00843FE5">
        <w:rPr>
          <w:sz w:val="16"/>
          <w:szCs w:val="16"/>
        </w:rPr>
        <w:t xml:space="preserve"> of </w:t>
      </w:r>
      <w:proofErr w:type="spellStart"/>
      <w:r w:rsidRPr="00843FE5">
        <w:rPr>
          <w:sz w:val="16"/>
          <w:szCs w:val="16"/>
        </w:rPr>
        <w:t>the</w:t>
      </w:r>
      <w:proofErr w:type="spellEnd"/>
      <w:r w:rsidRPr="00843FE5">
        <w:rPr>
          <w:sz w:val="16"/>
          <w:szCs w:val="16"/>
        </w:rPr>
        <w:t xml:space="preserve"> </w:t>
      </w:r>
      <w:proofErr w:type="spellStart"/>
      <w:r w:rsidRPr="00843FE5">
        <w:rPr>
          <w:sz w:val="16"/>
          <w:szCs w:val="16"/>
        </w:rPr>
        <w:t>introduction</w:t>
      </w:r>
      <w:proofErr w:type="spellEnd"/>
      <w:r w:rsidRPr="00843FE5">
        <w:rPr>
          <w:sz w:val="16"/>
          <w:szCs w:val="16"/>
        </w:rPr>
        <w:t xml:space="preserve"> of </w:t>
      </w:r>
      <w:proofErr w:type="spellStart"/>
      <w:r w:rsidRPr="00843FE5">
        <w:rPr>
          <w:sz w:val="16"/>
          <w:szCs w:val="16"/>
        </w:rPr>
        <w:t>next-generation</w:t>
      </w:r>
      <w:proofErr w:type="spellEnd"/>
      <w:r w:rsidRPr="00843FE5">
        <w:rPr>
          <w:sz w:val="16"/>
          <w:szCs w:val="16"/>
        </w:rPr>
        <w:t xml:space="preserve"> (5G) </w:t>
      </w:r>
      <w:proofErr w:type="spellStart"/>
      <w:r w:rsidRPr="00843FE5">
        <w:rPr>
          <w:sz w:val="16"/>
          <w:szCs w:val="16"/>
        </w:rPr>
        <w:t>terrestrial</w:t>
      </w:r>
      <w:proofErr w:type="spellEnd"/>
      <w:r w:rsidRPr="00843FE5">
        <w:rPr>
          <w:sz w:val="16"/>
          <w:szCs w:val="16"/>
        </w:rPr>
        <w:t xml:space="preserve"> </w:t>
      </w:r>
      <w:proofErr w:type="spellStart"/>
      <w:r w:rsidRPr="00843FE5">
        <w:rPr>
          <w:sz w:val="16"/>
          <w:szCs w:val="16"/>
        </w:rPr>
        <w:t>wireless</w:t>
      </w:r>
      <w:proofErr w:type="spellEnd"/>
      <w:r w:rsidRPr="00843FE5">
        <w:rPr>
          <w:sz w:val="16"/>
          <w:szCs w:val="16"/>
        </w:rPr>
        <w:t xml:space="preserve"> </w:t>
      </w:r>
      <w:proofErr w:type="spellStart"/>
      <w:r w:rsidRPr="00843FE5">
        <w:rPr>
          <w:sz w:val="16"/>
          <w:szCs w:val="16"/>
        </w:rPr>
        <w:t>systems</w:t>
      </w:r>
      <w:proofErr w:type="spellEnd"/>
      <w:r w:rsidRPr="00843FE5">
        <w:rPr>
          <w:sz w:val="16"/>
          <w:szCs w:val="16"/>
        </w:rPr>
        <w:t xml:space="preserve"> in </w:t>
      </w:r>
      <w:proofErr w:type="spellStart"/>
      <w:r w:rsidRPr="00843FE5">
        <w:rPr>
          <w:sz w:val="16"/>
          <w:szCs w:val="16"/>
        </w:rPr>
        <w:t>the</w:t>
      </w:r>
      <w:proofErr w:type="spellEnd"/>
      <w:r w:rsidRPr="00843FE5">
        <w:rPr>
          <w:sz w:val="16"/>
          <w:szCs w:val="16"/>
        </w:rPr>
        <w:t xml:space="preserve"> Union</w:t>
      </w:r>
    </w:p>
  </w:footnote>
  <w:footnote w:id="7">
    <w:p w14:paraId="449A995B" w14:textId="3AB69126" w:rsidR="00524AA6" w:rsidRDefault="00524AA6">
      <w:pPr>
        <w:pStyle w:val="Lbjegyzetszveg"/>
      </w:pPr>
      <w:r>
        <w:rPr>
          <w:rStyle w:val="Lbjegyzet-hivatkozs"/>
        </w:rPr>
        <w:footnoteRef/>
      </w:r>
      <w:r>
        <w:t xml:space="preserve"> </w:t>
      </w:r>
      <w:r w:rsidRPr="00843FE5">
        <w:rPr>
          <w:sz w:val="16"/>
          <w:szCs w:val="16"/>
        </w:rPr>
        <w:t>Postai és Távközlési Igazgatások Európai Értekezlete</w:t>
      </w:r>
      <w:r w:rsidRPr="007A435A">
        <w:rPr>
          <w:sz w:val="16"/>
          <w:szCs w:val="16"/>
        </w:rPr>
        <w:t xml:space="preserve"> </w:t>
      </w:r>
      <w:proofErr w:type="spellStart"/>
      <w:r w:rsidRPr="00843FE5">
        <w:rPr>
          <w:sz w:val="16"/>
          <w:szCs w:val="16"/>
        </w:rPr>
        <w:t>Conférence</w:t>
      </w:r>
      <w:proofErr w:type="spellEnd"/>
      <w:r w:rsidRPr="00843FE5">
        <w:rPr>
          <w:sz w:val="16"/>
          <w:szCs w:val="16"/>
        </w:rPr>
        <w:t xml:space="preserve"> </w:t>
      </w:r>
      <w:proofErr w:type="spellStart"/>
      <w:r w:rsidRPr="00843FE5">
        <w:rPr>
          <w:sz w:val="16"/>
          <w:szCs w:val="16"/>
        </w:rPr>
        <w:t>européenne</w:t>
      </w:r>
      <w:proofErr w:type="spellEnd"/>
      <w:r w:rsidRPr="00843FE5">
        <w:rPr>
          <w:sz w:val="16"/>
          <w:szCs w:val="16"/>
        </w:rPr>
        <w:t xml:space="preserve"> des </w:t>
      </w:r>
      <w:proofErr w:type="spellStart"/>
      <w:r w:rsidRPr="00843FE5">
        <w:rPr>
          <w:sz w:val="16"/>
          <w:szCs w:val="16"/>
        </w:rPr>
        <w:t>Administrations</w:t>
      </w:r>
      <w:proofErr w:type="spellEnd"/>
      <w:r w:rsidRPr="00843FE5">
        <w:rPr>
          <w:sz w:val="16"/>
          <w:szCs w:val="16"/>
        </w:rPr>
        <w:t xml:space="preserve"> des </w:t>
      </w:r>
      <w:proofErr w:type="spellStart"/>
      <w:r w:rsidRPr="00843FE5">
        <w:rPr>
          <w:sz w:val="16"/>
          <w:szCs w:val="16"/>
        </w:rPr>
        <w:t>postes</w:t>
      </w:r>
      <w:proofErr w:type="spellEnd"/>
      <w:r w:rsidRPr="00843FE5">
        <w:rPr>
          <w:sz w:val="16"/>
          <w:szCs w:val="16"/>
        </w:rPr>
        <w:t xml:space="preserve"> et des </w:t>
      </w:r>
      <w:proofErr w:type="spellStart"/>
      <w:r w:rsidRPr="00843FE5">
        <w:rPr>
          <w:sz w:val="16"/>
          <w:szCs w:val="16"/>
        </w:rPr>
        <w:t>télécommunications</w:t>
      </w:r>
      <w:proofErr w:type="spellEnd"/>
      <w:r>
        <w:rPr>
          <w:sz w:val="16"/>
          <w:szCs w:val="16"/>
        </w:rPr>
        <w:t>,</w:t>
      </w:r>
      <w:r w:rsidRPr="007A435A">
        <w:rPr>
          <w:sz w:val="16"/>
          <w:szCs w:val="16"/>
        </w:rPr>
        <w:t xml:space="preserve"> CEPT</w:t>
      </w:r>
      <w:r>
        <w:rPr>
          <w:sz w:val="16"/>
          <w:szCs w:val="16"/>
        </w:rPr>
        <w:t xml:space="preserve"> </w:t>
      </w:r>
      <w:r w:rsidRPr="00843FE5">
        <w:rPr>
          <w:sz w:val="16"/>
          <w:szCs w:val="16"/>
        </w:rPr>
        <w:t xml:space="preserve"> </w:t>
      </w:r>
    </w:p>
  </w:footnote>
  <w:footnote w:id="8">
    <w:p w14:paraId="6F331229" w14:textId="77777777" w:rsidR="00524AA6" w:rsidRPr="00843FE5" w:rsidRDefault="00524AA6" w:rsidP="00041388">
      <w:pPr>
        <w:pStyle w:val="Lbjegyzetszveg"/>
        <w:rPr>
          <w:sz w:val="16"/>
          <w:szCs w:val="16"/>
        </w:rPr>
      </w:pPr>
      <w:r>
        <w:rPr>
          <w:rStyle w:val="Lbjegyzet-hivatkozs"/>
        </w:rPr>
        <w:footnoteRef/>
      </w:r>
      <w:r>
        <w:t xml:space="preserve"> </w:t>
      </w:r>
      <w:proofErr w:type="spellStart"/>
      <w:r w:rsidRPr="00843FE5">
        <w:rPr>
          <w:sz w:val="16"/>
          <w:szCs w:val="16"/>
        </w:rPr>
        <w:t>Radio</w:t>
      </w:r>
      <w:proofErr w:type="spellEnd"/>
      <w:r w:rsidRPr="00843FE5">
        <w:rPr>
          <w:sz w:val="16"/>
          <w:szCs w:val="16"/>
        </w:rPr>
        <w:t xml:space="preserve"> </w:t>
      </w:r>
      <w:proofErr w:type="spellStart"/>
      <w:r w:rsidRPr="00843FE5">
        <w:rPr>
          <w:sz w:val="16"/>
          <w:szCs w:val="16"/>
        </w:rPr>
        <w:t>Regulation</w:t>
      </w:r>
      <w:proofErr w:type="spellEnd"/>
      <w:r>
        <w:rPr>
          <w:sz w:val="16"/>
          <w:szCs w:val="16"/>
        </w:rPr>
        <w:t xml:space="preserve"> – Nemzetközi Rádiószabályzat</w:t>
      </w:r>
    </w:p>
  </w:footnote>
  <w:footnote w:id="9">
    <w:p w14:paraId="154CA98E" w14:textId="77777777" w:rsidR="00524AA6" w:rsidRPr="004B396C" w:rsidRDefault="00524AA6" w:rsidP="00041388">
      <w:pPr>
        <w:pStyle w:val="Lbjegyzetszveg"/>
        <w:rPr>
          <w:sz w:val="16"/>
          <w:szCs w:val="16"/>
        </w:rPr>
      </w:pPr>
      <w:r>
        <w:rPr>
          <w:rStyle w:val="Lbjegyzet-hivatkozs"/>
        </w:rPr>
        <w:footnoteRef/>
      </w:r>
      <w:r>
        <w:t xml:space="preserve"> </w:t>
      </w:r>
      <w:proofErr w:type="spellStart"/>
      <w:r w:rsidRPr="004B396C">
        <w:rPr>
          <w:sz w:val="16"/>
          <w:szCs w:val="16"/>
        </w:rPr>
        <w:t>Preferred</w:t>
      </w:r>
      <w:proofErr w:type="spellEnd"/>
      <w:r w:rsidRPr="004B396C">
        <w:rPr>
          <w:sz w:val="16"/>
          <w:szCs w:val="16"/>
        </w:rPr>
        <w:t xml:space="preserve"> </w:t>
      </w:r>
      <w:proofErr w:type="spellStart"/>
      <w:r w:rsidRPr="004B396C">
        <w:rPr>
          <w:sz w:val="16"/>
          <w:szCs w:val="16"/>
        </w:rPr>
        <w:t>channel</w:t>
      </w:r>
      <w:proofErr w:type="spellEnd"/>
      <w:r w:rsidRPr="004B396C">
        <w:rPr>
          <w:sz w:val="16"/>
          <w:szCs w:val="16"/>
        </w:rPr>
        <w:t xml:space="preserve"> </w:t>
      </w:r>
      <w:proofErr w:type="spellStart"/>
      <w:r w:rsidRPr="004B396C">
        <w:rPr>
          <w:sz w:val="16"/>
          <w:szCs w:val="16"/>
        </w:rPr>
        <w:t>arrangements</w:t>
      </w:r>
      <w:proofErr w:type="spellEnd"/>
      <w:r w:rsidRPr="004B396C">
        <w:rPr>
          <w:sz w:val="16"/>
          <w:szCs w:val="16"/>
        </w:rPr>
        <w:t xml:space="preserve"> </w:t>
      </w:r>
      <w:proofErr w:type="spellStart"/>
      <w:r w:rsidRPr="004B396C">
        <w:rPr>
          <w:sz w:val="16"/>
          <w:szCs w:val="16"/>
        </w:rPr>
        <w:t>for</w:t>
      </w:r>
      <w:proofErr w:type="spellEnd"/>
      <w:r w:rsidRPr="004B396C">
        <w:rPr>
          <w:sz w:val="16"/>
          <w:szCs w:val="16"/>
        </w:rPr>
        <w:t xml:space="preserve"> fixed service </w:t>
      </w:r>
      <w:proofErr w:type="spellStart"/>
      <w:r w:rsidRPr="004B396C">
        <w:rPr>
          <w:sz w:val="16"/>
          <w:szCs w:val="16"/>
        </w:rPr>
        <w:t>systems</w:t>
      </w:r>
      <w:proofErr w:type="spellEnd"/>
      <w:r w:rsidRPr="004B396C">
        <w:rPr>
          <w:sz w:val="16"/>
          <w:szCs w:val="16"/>
        </w:rPr>
        <w:t xml:space="preserve"> </w:t>
      </w:r>
      <w:proofErr w:type="spellStart"/>
      <w:r w:rsidRPr="004B396C">
        <w:rPr>
          <w:sz w:val="16"/>
          <w:szCs w:val="16"/>
        </w:rPr>
        <w:t>operating</w:t>
      </w:r>
      <w:proofErr w:type="spellEnd"/>
      <w:r w:rsidRPr="004B396C">
        <w:rPr>
          <w:sz w:val="16"/>
          <w:szCs w:val="16"/>
        </w:rPr>
        <w:t xml:space="preserve"> in </w:t>
      </w:r>
      <w:proofErr w:type="spellStart"/>
      <w:r w:rsidRPr="004B396C">
        <w:rPr>
          <w:sz w:val="16"/>
          <w:szCs w:val="16"/>
        </w:rPr>
        <w:t>the</w:t>
      </w:r>
      <w:proofErr w:type="spellEnd"/>
      <w:r w:rsidRPr="004B396C">
        <w:rPr>
          <w:sz w:val="16"/>
          <w:szCs w:val="16"/>
        </w:rPr>
        <w:t xml:space="preserve"> </w:t>
      </w:r>
      <w:proofErr w:type="spellStart"/>
      <w:r w:rsidRPr="004B396C">
        <w:rPr>
          <w:sz w:val="16"/>
          <w:szCs w:val="16"/>
        </w:rPr>
        <w:t>frequency</w:t>
      </w:r>
      <w:proofErr w:type="spellEnd"/>
      <w:r w:rsidRPr="004B396C">
        <w:rPr>
          <w:sz w:val="16"/>
          <w:szCs w:val="16"/>
        </w:rPr>
        <w:t xml:space="preserve"> </w:t>
      </w:r>
      <w:proofErr w:type="spellStart"/>
      <w:r w:rsidRPr="004B396C">
        <w:rPr>
          <w:sz w:val="16"/>
          <w:szCs w:val="16"/>
        </w:rPr>
        <w:t>band</w:t>
      </w:r>
      <w:proofErr w:type="spellEnd"/>
      <w:r w:rsidRPr="004B396C">
        <w:rPr>
          <w:sz w:val="16"/>
          <w:szCs w:val="16"/>
        </w:rPr>
        <w:t xml:space="preserve"> 31.8 </w:t>
      </w:r>
      <w:r w:rsidRPr="004B396C">
        <w:rPr>
          <w:sz w:val="16"/>
          <w:szCs w:val="16"/>
        </w:rPr>
        <w:sym w:font="Symbol" w:char="F02D"/>
      </w:r>
      <w:r w:rsidRPr="004B396C">
        <w:rPr>
          <w:sz w:val="16"/>
          <w:szCs w:val="16"/>
        </w:rPr>
        <w:t xml:space="preserve"> 33.4 </w:t>
      </w:r>
      <w:proofErr w:type="spellStart"/>
      <w:r w:rsidRPr="004B396C">
        <w:rPr>
          <w:sz w:val="16"/>
          <w:szCs w:val="16"/>
        </w:rPr>
        <w:t>GHz</w:t>
      </w:r>
      <w:proofErr w:type="spellEnd"/>
    </w:p>
  </w:footnote>
  <w:footnote w:id="10">
    <w:p w14:paraId="39116D66" w14:textId="77777777" w:rsidR="00524AA6" w:rsidRDefault="00524AA6" w:rsidP="00041388">
      <w:pPr>
        <w:pStyle w:val="Lbjegyzetszveg"/>
      </w:pPr>
      <w:r>
        <w:rPr>
          <w:rStyle w:val="Lbjegyzet-hivatkozs"/>
        </w:rPr>
        <w:footnoteRef/>
      </w:r>
      <w:r>
        <w:t xml:space="preserve"> </w:t>
      </w:r>
      <w:r w:rsidRPr="00EA6166">
        <w:rPr>
          <w:rFonts w:cs="Arial"/>
          <w:sz w:val="16"/>
          <w:szCs w:val="16"/>
          <w:lang w:val="en-GB"/>
        </w:rPr>
        <w:t>Guidelines for assignment of frequency blocks for fixed wireless systems in the bands 24.5</w:t>
      </w:r>
      <w:r w:rsidRPr="00EA6166">
        <w:rPr>
          <w:rFonts w:cs="Arial"/>
          <w:sz w:val="16"/>
          <w:szCs w:val="16"/>
        </w:rPr>
        <w:t>-</w:t>
      </w:r>
      <w:r w:rsidRPr="00EA6166">
        <w:rPr>
          <w:rFonts w:cs="Arial"/>
          <w:sz w:val="16"/>
          <w:szCs w:val="16"/>
          <w:lang w:val="en-GB"/>
        </w:rPr>
        <w:t>26.5 GHz, 27.5</w:t>
      </w:r>
      <w:r w:rsidRPr="00EA6166">
        <w:rPr>
          <w:rFonts w:cs="Arial"/>
          <w:sz w:val="16"/>
          <w:szCs w:val="16"/>
        </w:rPr>
        <w:t>-</w:t>
      </w:r>
      <w:r w:rsidRPr="00EA6166">
        <w:rPr>
          <w:rFonts w:cs="Arial"/>
          <w:sz w:val="16"/>
          <w:szCs w:val="16"/>
          <w:lang w:val="en-GB"/>
        </w:rPr>
        <w:t>29.5 GHz and 31.8</w:t>
      </w:r>
      <w:r w:rsidRPr="00EA6166">
        <w:rPr>
          <w:rFonts w:cs="Arial"/>
          <w:sz w:val="16"/>
          <w:szCs w:val="16"/>
        </w:rPr>
        <w:t>-</w:t>
      </w:r>
      <w:r w:rsidRPr="00EA6166">
        <w:rPr>
          <w:rFonts w:cs="Arial"/>
          <w:sz w:val="16"/>
          <w:szCs w:val="16"/>
          <w:lang w:val="en-GB"/>
        </w:rPr>
        <w:t>33.4 GHz</w:t>
      </w:r>
    </w:p>
  </w:footnote>
  <w:footnote w:id="11">
    <w:p w14:paraId="7FCC805B" w14:textId="59E8E931" w:rsidR="005F5BB1" w:rsidRDefault="00524AA6" w:rsidP="00D96CED">
      <w:pPr>
        <w:pStyle w:val="Lbjegyzetszveg"/>
        <w:rPr>
          <w:sz w:val="16"/>
          <w:szCs w:val="16"/>
        </w:rPr>
      </w:pPr>
      <w:r>
        <w:rPr>
          <w:rStyle w:val="Lbjegyzet-hivatkozs"/>
        </w:rPr>
        <w:footnoteRef/>
      </w:r>
      <w:r>
        <w:t xml:space="preserve"> </w:t>
      </w:r>
      <w:hyperlink r:id="rId3" w:history="1">
        <w:r w:rsidR="005F5BB1" w:rsidRPr="003D631C">
          <w:rPr>
            <w:rStyle w:val="Hiperhivatkozs"/>
            <w:sz w:val="16"/>
            <w:szCs w:val="16"/>
          </w:rPr>
          <w:t>https://digital-strategy.ec.europa.eu/en/library/radio-spectrum-cept-mandates</w:t>
        </w:r>
      </w:hyperlink>
    </w:p>
    <w:p w14:paraId="705082B2" w14:textId="19625958" w:rsidR="00524AA6" w:rsidRDefault="00524AA6" w:rsidP="00D96CED">
      <w:pPr>
        <w:pStyle w:val="Lbjegyzetszveg"/>
      </w:pPr>
      <w:proofErr w:type="spellStart"/>
      <w:r w:rsidRPr="0068527A">
        <w:rPr>
          <w:sz w:val="16"/>
          <w:szCs w:val="16"/>
        </w:rPr>
        <w:t>Mandate</w:t>
      </w:r>
      <w:proofErr w:type="spellEnd"/>
      <w:r w:rsidRPr="0068527A">
        <w:rPr>
          <w:sz w:val="16"/>
          <w:szCs w:val="16"/>
        </w:rPr>
        <w:t xml:space="preserve"> </w:t>
      </w:r>
      <w:proofErr w:type="spellStart"/>
      <w:r w:rsidRPr="0068527A">
        <w:rPr>
          <w:sz w:val="16"/>
          <w:szCs w:val="16"/>
        </w:rPr>
        <w:t>to</w:t>
      </w:r>
      <w:proofErr w:type="spellEnd"/>
      <w:r w:rsidRPr="0068527A">
        <w:rPr>
          <w:sz w:val="16"/>
          <w:szCs w:val="16"/>
        </w:rPr>
        <w:t xml:space="preserve"> CEPT </w:t>
      </w:r>
      <w:proofErr w:type="spellStart"/>
      <w:r w:rsidRPr="0068527A">
        <w:rPr>
          <w:sz w:val="16"/>
          <w:szCs w:val="16"/>
        </w:rPr>
        <w:t>to</w:t>
      </w:r>
      <w:proofErr w:type="spellEnd"/>
      <w:r w:rsidRPr="0068527A">
        <w:rPr>
          <w:sz w:val="16"/>
          <w:szCs w:val="16"/>
        </w:rPr>
        <w:t xml:space="preserve"> </w:t>
      </w:r>
      <w:proofErr w:type="spellStart"/>
      <w:r w:rsidRPr="0068527A">
        <w:rPr>
          <w:sz w:val="16"/>
          <w:szCs w:val="16"/>
        </w:rPr>
        <w:t>develop</w:t>
      </w:r>
      <w:proofErr w:type="spellEnd"/>
      <w:r w:rsidRPr="0068527A">
        <w:rPr>
          <w:sz w:val="16"/>
          <w:szCs w:val="16"/>
        </w:rPr>
        <w:t xml:space="preserve"> </w:t>
      </w:r>
      <w:proofErr w:type="spellStart"/>
      <w:r w:rsidRPr="0068527A">
        <w:rPr>
          <w:sz w:val="16"/>
          <w:szCs w:val="16"/>
        </w:rPr>
        <w:t>harmonised</w:t>
      </w:r>
      <w:proofErr w:type="spellEnd"/>
      <w:r w:rsidRPr="0068527A">
        <w:rPr>
          <w:sz w:val="16"/>
          <w:szCs w:val="16"/>
        </w:rPr>
        <w:t xml:space="preserve"> </w:t>
      </w:r>
      <w:proofErr w:type="spellStart"/>
      <w:r w:rsidRPr="0068527A">
        <w:rPr>
          <w:sz w:val="16"/>
          <w:szCs w:val="16"/>
        </w:rPr>
        <w:t>technical</w:t>
      </w:r>
      <w:proofErr w:type="spellEnd"/>
      <w:r w:rsidRPr="0068527A">
        <w:rPr>
          <w:sz w:val="16"/>
          <w:szCs w:val="16"/>
        </w:rPr>
        <w:t xml:space="preserve"> </w:t>
      </w:r>
      <w:proofErr w:type="spellStart"/>
      <w:r w:rsidRPr="0068527A">
        <w:rPr>
          <w:sz w:val="16"/>
          <w:szCs w:val="16"/>
        </w:rPr>
        <w:t>conditions</w:t>
      </w:r>
      <w:proofErr w:type="spellEnd"/>
      <w:r w:rsidRPr="0068527A">
        <w:rPr>
          <w:sz w:val="16"/>
          <w:szCs w:val="16"/>
        </w:rPr>
        <w:t xml:space="preserve"> </w:t>
      </w:r>
      <w:proofErr w:type="spellStart"/>
      <w:r w:rsidRPr="0068527A">
        <w:rPr>
          <w:sz w:val="16"/>
          <w:szCs w:val="16"/>
        </w:rPr>
        <w:t>for</w:t>
      </w:r>
      <w:proofErr w:type="spellEnd"/>
      <w:r w:rsidRPr="0068527A">
        <w:rPr>
          <w:sz w:val="16"/>
          <w:szCs w:val="16"/>
        </w:rPr>
        <w:t xml:space="preserve"> </w:t>
      </w:r>
      <w:proofErr w:type="spellStart"/>
      <w:r w:rsidRPr="0068527A">
        <w:rPr>
          <w:sz w:val="16"/>
          <w:szCs w:val="16"/>
        </w:rPr>
        <w:t>spectrum</w:t>
      </w:r>
      <w:proofErr w:type="spellEnd"/>
      <w:r w:rsidRPr="0068527A">
        <w:rPr>
          <w:sz w:val="16"/>
          <w:szCs w:val="16"/>
        </w:rPr>
        <w:t xml:space="preserve"> </w:t>
      </w:r>
      <w:proofErr w:type="spellStart"/>
      <w:r w:rsidRPr="0068527A">
        <w:rPr>
          <w:sz w:val="16"/>
          <w:szCs w:val="16"/>
        </w:rPr>
        <w:t>use</w:t>
      </w:r>
      <w:proofErr w:type="spellEnd"/>
      <w:r w:rsidRPr="0068527A">
        <w:rPr>
          <w:sz w:val="16"/>
          <w:szCs w:val="16"/>
        </w:rPr>
        <w:t xml:space="preserve"> in </w:t>
      </w:r>
      <w:proofErr w:type="spellStart"/>
      <w:r w:rsidRPr="0068527A">
        <w:rPr>
          <w:sz w:val="16"/>
          <w:szCs w:val="16"/>
        </w:rPr>
        <w:t>support</w:t>
      </w:r>
      <w:proofErr w:type="spellEnd"/>
      <w:r w:rsidRPr="0068527A">
        <w:rPr>
          <w:sz w:val="16"/>
          <w:szCs w:val="16"/>
        </w:rPr>
        <w:t xml:space="preserve"> of </w:t>
      </w:r>
      <w:proofErr w:type="spellStart"/>
      <w:r w:rsidRPr="0068527A">
        <w:rPr>
          <w:sz w:val="16"/>
          <w:szCs w:val="16"/>
        </w:rPr>
        <w:t>the</w:t>
      </w:r>
      <w:proofErr w:type="spellEnd"/>
      <w:r w:rsidRPr="0068527A">
        <w:rPr>
          <w:sz w:val="16"/>
          <w:szCs w:val="16"/>
        </w:rPr>
        <w:t xml:space="preserve"> </w:t>
      </w:r>
      <w:proofErr w:type="spellStart"/>
      <w:r w:rsidRPr="0068527A">
        <w:rPr>
          <w:sz w:val="16"/>
          <w:szCs w:val="16"/>
        </w:rPr>
        <w:t>introduction</w:t>
      </w:r>
      <w:proofErr w:type="spellEnd"/>
      <w:r w:rsidRPr="0068527A">
        <w:rPr>
          <w:sz w:val="16"/>
          <w:szCs w:val="16"/>
        </w:rPr>
        <w:t xml:space="preserve"> of </w:t>
      </w:r>
      <w:proofErr w:type="spellStart"/>
      <w:r w:rsidRPr="0068527A">
        <w:rPr>
          <w:sz w:val="16"/>
          <w:szCs w:val="16"/>
        </w:rPr>
        <w:t>next-generation</w:t>
      </w:r>
      <w:proofErr w:type="spellEnd"/>
      <w:r w:rsidRPr="0068527A">
        <w:rPr>
          <w:sz w:val="16"/>
          <w:szCs w:val="16"/>
        </w:rPr>
        <w:t xml:space="preserve"> (5G) </w:t>
      </w:r>
      <w:proofErr w:type="spellStart"/>
      <w:r w:rsidRPr="0068527A">
        <w:rPr>
          <w:sz w:val="16"/>
          <w:szCs w:val="16"/>
        </w:rPr>
        <w:t>terrestrial</w:t>
      </w:r>
      <w:proofErr w:type="spellEnd"/>
      <w:r w:rsidRPr="0068527A">
        <w:rPr>
          <w:sz w:val="16"/>
          <w:szCs w:val="16"/>
        </w:rPr>
        <w:t xml:space="preserve"> </w:t>
      </w:r>
      <w:proofErr w:type="spellStart"/>
      <w:r w:rsidRPr="0068527A">
        <w:rPr>
          <w:sz w:val="16"/>
          <w:szCs w:val="16"/>
        </w:rPr>
        <w:t>wireless</w:t>
      </w:r>
      <w:proofErr w:type="spellEnd"/>
      <w:r w:rsidRPr="0068527A">
        <w:rPr>
          <w:sz w:val="16"/>
          <w:szCs w:val="16"/>
        </w:rPr>
        <w:t xml:space="preserve"> </w:t>
      </w:r>
      <w:proofErr w:type="spellStart"/>
      <w:r w:rsidRPr="0068527A">
        <w:rPr>
          <w:sz w:val="16"/>
          <w:szCs w:val="16"/>
        </w:rPr>
        <w:t>systems</w:t>
      </w:r>
      <w:proofErr w:type="spellEnd"/>
      <w:r w:rsidRPr="0068527A">
        <w:rPr>
          <w:sz w:val="16"/>
          <w:szCs w:val="16"/>
        </w:rPr>
        <w:t xml:space="preserve"> in </w:t>
      </w:r>
      <w:proofErr w:type="spellStart"/>
      <w:r w:rsidRPr="0068527A">
        <w:rPr>
          <w:sz w:val="16"/>
          <w:szCs w:val="16"/>
        </w:rPr>
        <w:t>the</w:t>
      </w:r>
      <w:proofErr w:type="spellEnd"/>
      <w:r w:rsidRPr="0068527A">
        <w:rPr>
          <w:sz w:val="16"/>
          <w:szCs w:val="16"/>
        </w:rPr>
        <w:t xml:space="preserve"> Union</w:t>
      </w:r>
    </w:p>
  </w:footnote>
  <w:footnote w:id="12">
    <w:p w14:paraId="6C9EC076" w14:textId="414D410B" w:rsidR="00524AA6" w:rsidRDefault="00524AA6">
      <w:pPr>
        <w:pStyle w:val="Lbjegyzetszveg"/>
      </w:pPr>
      <w:r>
        <w:rPr>
          <w:rStyle w:val="Lbjegyzet-hivatkozs"/>
        </w:rPr>
        <w:footnoteRef/>
      </w:r>
      <w:r>
        <w:t xml:space="preserve"> </w:t>
      </w:r>
      <w:r>
        <w:rPr>
          <w:rFonts w:cs="Arial"/>
          <w:color w:val="212529"/>
          <w:sz w:val="16"/>
          <w:szCs w:val="16"/>
          <w:shd w:val="clear" w:color="auto" w:fill="FFFFFF"/>
        </w:rPr>
        <w:t>E</w:t>
      </w:r>
      <w:r w:rsidRPr="00F54787">
        <w:rPr>
          <w:rFonts w:cs="Arial"/>
          <w:color w:val="212529"/>
          <w:sz w:val="16"/>
          <w:szCs w:val="16"/>
          <w:shd w:val="clear" w:color="auto" w:fill="FFFFFF"/>
        </w:rPr>
        <w:t>gyüttes célú használatra történő felosztás</w:t>
      </w:r>
      <w:r>
        <w:rPr>
          <w:rFonts w:cs="Arial"/>
          <w:color w:val="212529"/>
          <w:sz w:val="16"/>
          <w:szCs w:val="16"/>
          <w:shd w:val="clear" w:color="auto" w:fill="FFFFFF"/>
        </w:rPr>
        <w:t xml:space="preserve"> esetén a sáv polgári és nem polgári célra egyaránt használható, de a </w:t>
      </w:r>
      <w:r w:rsidRPr="00F54787">
        <w:rPr>
          <w:rFonts w:cs="Arial"/>
          <w:color w:val="212529"/>
          <w:sz w:val="16"/>
          <w:szCs w:val="16"/>
          <w:shd w:val="clear" w:color="auto" w:fill="FFFFFF"/>
        </w:rPr>
        <w:t>polgári és a nem polgári rádióspektrum-gazdálkodási szempontok összehangolása</w:t>
      </w:r>
      <w:r>
        <w:rPr>
          <w:rFonts w:cs="Arial"/>
          <w:color w:val="212529"/>
          <w:sz w:val="16"/>
          <w:szCs w:val="16"/>
          <w:shd w:val="clear" w:color="auto" w:fill="FFFFFF"/>
        </w:rPr>
        <w:t xml:space="preserve"> kötelező</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F91FE" w14:textId="77777777" w:rsidR="00524AA6" w:rsidRDefault="00524AA6">
    <w:pPr>
      <w:pStyle w:val="lfej"/>
    </w:pPr>
    <w:r>
      <w:rPr>
        <w:noProof/>
        <w:lang w:eastAsia="hu-HU"/>
      </w:rPr>
      <w:drawing>
        <wp:anchor distT="0" distB="0" distL="114300" distR="114300" simplePos="0" relativeHeight="251664896" behindDoc="0" locked="0" layoutInCell="1" allowOverlap="1" wp14:anchorId="2123D7C0" wp14:editId="7718B57E">
          <wp:simplePos x="0" y="0"/>
          <wp:positionH relativeFrom="margin">
            <wp:posOffset>-883920</wp:posOffset>
          </wp:positionH>
          <wp:positionV relativeFrom="page">
            <wp:posOffset>0</wp:posOffset>
          </wp:positionV>
          <wp:extent cx="7529195" cy="1077595"/>
          <wp:effectExtent l="0" t="0" r="0" b="0"/>
          <wp:wrapTopAndBottom/>
          <wp:docPr id="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9195" cy="10775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A4D2" w14:textId="77777777" w:rsidR="00524AA6" w:rsidRDefault="00524AA6">
    <w:pPr>
      <w:pStyle w:val="lfej"/>
    </w:pPr>
    <w:r>
      <w:rPr>
        <w:noProof/>
        <w:lang w:eastAsia="hu-HU"/>
      </w:rPr>
      <w:drawing>
        <wp:anchor distT="0" distB="0" distL="114300" distR="114300" simplePos="0" relativeHeight="251662848" behindDoc="0" locked="0" layoutInCell="1" allowOverlap="1" wp14:anchorId="09F78D53" wp14:editId="78F56804">
          <wp:simplePos x="0" y="0"/>
          <wp:positionH relativeFrom="margin">
            <wp:posOffset>-883920</wp:posOffset>
          </wp:positionH>
          <wp:positionV relativeFrom="page">
            <wp:posOffset>0</wp:posOffset>
          </wp:positionV>
          <wp:extent cx="7529195" cy="1077595"/>
          <wp:effectExtent l="0" t="0" r="0" b="0"/>
          <wp:wrapTopAndBottom/>
          <wp:docPr id="19"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9195" cy="10775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D8C8E" w14:textId="77777777" w:rsidR="00524AA6" w:rsidRDefault="00524AA6">
    <w:pPr>
      <w:pStyle w:val="lfej"/>
    </w:pPr>
    <w:r>
      <w:rPr>
        <w:noProof/>
        <w:lang w:eastAsia="hu-HU"/>
      </w:rPr>
      <w:drawing>
        <wp:anchor distT="0" distB="0" distL="114300" distR="114300" simplePos="0" relativeHeight="251661824" behindDoc="0" locked="0" layoutInCell="1" allowOverlap="1" wp14:anchorId="79A44A80" wp14:editId="2ECB03D1">
          <wp:simplePos x="0" y="0"/>
          <wp:positionH relativeFrom="margin">
            <wp:posOffset>-883920</wp:posOffset>
          </wp:positionH>
          <wp:positionV relativeFrom="page">
            <wp:posOffset>0</wp:posOffset>
          </wp:positionV>
          <wp:extent cx="7529195" cy="1077595"/>
          <wp:effectExtent l="0" t="0" r="0" b="0"/>
          <wp:wrapTopAndBottom/>
          <wp:docPr id="9"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9195" cy="107759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69361" w14:textId="4FD4E012" w:rsidR="00524AA6" w:rsidRDefault="00524AA6">
    <w:pPr>
      <w:pStyle w:val="lfej"/>
    </w:pPr>
    <w:r>
      <w:rPr>
        <w:noProof/>
        <w:lang w:eastAsia="hu-HU"/>
      </w:rPr>
      <w:drawing>
        <wp:anchor distT="0" distB="0" distL="114300" distR="114300" simplePos="0" relativeHeight="251671040" behindDoc="0" locked="0" layoutInCell="1" allowOverlap="1" wp14:anchorId="11709914" wp14:editId="19F300A4">
          <wp:simplePos x="0" y="0"/>
          <wp:positionH relativeFrom="margin">
            <wp:posOffset>-899769</wp:posOffset>
          </wp:positionH>
          <wp:positionV relativeFrom="page">
            <wp:posOffset>-17145</wp:posOffset>
          </wp:positionV>
          <wp:extent cx="7529195" cy="1077595"/>
          <wp:effectExtent l="0" t="0" r="0" b="0"/>
          <wp:wrapTopAndBottom/>
          <wp:docPr id="8"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9195" cy="107759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3FDAD" w14:textId="606BFD49" w:rsidR="00524AA6" w:rsidRPr="00752166" w:rsidRDefault="00524AA6" w:rsidP="00D96CED">
    <w:pPr>
      <w:pStyle w:val="lfej"/>
    </w:pPr>
    <w:r>
      <w:rPr>
        <w:noProof/>
        <w:lang w:eastAsia="hu-HU"/>
      </w:rPr>
      <w:drawing>
        <wp:anchor distT="0" distB="0" distL="114300" distR="114300" simplePos="0" relativeHeight="251673088" behindDoc="0" locked="0" layoutInCell="1" allowOverlap="1" wp14:anchorId="29E0B8FB" wp14:editId="2D253865">
          <wp:simplePos x="0" y="0"/>
          <wp:positionH relativeFrom="margin">
            <wp:posOffset>-899795</wp:posOffset>
          </wp:positionH>
          <wp:positionV relativeFrom="page">
            <wp:posOffset>0</wp:posOffset>
          </wp:positionV>
          <wp:extent cx="7529195" cy="1077595"/>
          <wp:effectExtent l="0" t="0" r="0" b="0"/>
          <wp:wrapTopAndBottom/>
          <wp:docPr id="1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9195" cy="1077595"/>
                  </a:xfrm>
                  <a:prstGeom prst="rect">
                    <a:avLst/>
                  </a:prstGeom>
                </pic:spPr>
              </pic:pic>
            </a:graphicData>
          </a:graphic>
          <wp14:sizeRelH relativeFrom="margin">
            <wp14:pctWidth>0</wp14:pctWidth>
          </wp14:sizeRelH>
          <wp14:sizeRelV relativeFrom="margin">
            <wp14:pctHeight>0</wp14:pctHeight>
          </wp14:sizeRelV>
        </wp:anchor>
      </w:drawing>
    </w:r>
    <w:r w:rsidRPr="00752166">
      <w:rPr>
        <w:noProof/>
        <w:lang w:eastAsia="hu-HU"/>
      </w:rPr>
      <w:drawing>
        <wp:anchor distT="0" distB="0" distL="114300" distR="114300" simplePos="0" relativeHeight="251668992" behindDoc="1" locked="0" layoutInCell="1" allowOverlap="1" wp14:anchorId="73D47A9E" wp14:editId="39710320">
          <wp:simplePos x="0" y="0"/>
          <wp:positionH relativeFrom="page">
            <wp:posOffset>0</wp:posOffset>
          </wp:positionH>
          <wp:positionV relativeFrom="page">
            <wp:posOffset>0</wp:posOffset>
          </wp:positionV>
          <wp:extent cx="7554867" cy="1080655"/>
          <wp:effectExtent l="19050" t="0" r="7983" b="0"/>
          <wp:wrapNone/>
          <wp:docPr id="1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2">
                    <a:extLst>
                      <a:ext uri="{28A0092B-C50C-407E-A947-70E740481C1C}">
                        <a14:useLocalDpi xmlns:a14="http://schemas.microsoft.com/office/drawing/2010/main" val="0"/>
                      </a:ext>
                    </a:extLst>
                  </a:blip>
                  <a:stretch>
                    <a:fillRect/>
                  </a:stretch>
                </pic:blipFill>
                <pic:spPr>
                  <a:xfrm>
                    <a:off x="0" y="0"/>
                    <a:ext cx="7560000" cy="107767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624C4D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C2EF9B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942B0E"/>
    <w:multiLevelType w:val="hybridMultilevel"/>
    <w:tmpl w:val="DFF8C3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4974B35"/>
    <w:multiLevelType w:val="hybridMultilevel"/>
    <w:tmpl w:val="D95C3E62"/>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4" w15:restartNumberingAfterBreak="0">
    <w:nsid w:val="04B968CA"/>
    <w:multiLevelType w:val="hybridMultilevel"/>
    <w:tmpl w:val="D9EE40D6"/>
    <w:lvl w:ilvl="0" w:tplc="41DE42F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7D0550D"/>
    <w:multiLevelType w:val="hybridMultilevel"/>
    <w:tmpl w:val="28D499A0"/>
    <w:lvl w:ilvl="0" w:tplc="C5D0577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8196225"/>
    <w:multiLevelType w:val="hybridMultilevel"/>
    <w:tmpl w:val="F552DE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A66163C"/>
    <w:multiLevelType w:val="hybridMultilevel"/>
    <w:tmpl w:val="39C00968"/>
    <w:lvl w:ilvl="0" w:tplc="D870E7E8">
      <w:start w:val="1"/>
      <w:numFmt w:val="decimal"/>
      <w:lvlText w:val="%1."/>
      <w:lvlJc w:val="left"/>
      <w:pPr>
        <w:ind w:left="717" w:hanging="36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8" w15:restartNumberingAfterBreak="0">
    <w:nsid w:val="0B113445"/>
    <w:multiLevelType w:val="multilevel"/>
    <w:tmpl w:val="4A10D7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18"/>
        </w:tabs>
        <w:ind w:left="1218" w:hanging="792"/>
      </w:pPr>
      <w:rPr>
        <w:rFonts w:hint="default"/>
        <w:b/>
        <w:sz w:val="22"/>
        <w:szCs w:val="22"/>
      </w:rPr>
    </w:lvl>
    <w:lvl w:ilvl="2">
      <w:start w:val="1"/>
      <w:numFmt w:val="decimal"/>
      <w:lvlText w:val="%1.%2.%3."/>
      <w:lvlJc w:val="left"/>
      <w:pPr>
        <w:tabs>
          <w:tab w:val="num" w:pos="2008"/>
        </w:tabs>
        <w:ind w:left="1792" w:hanging="1224"/>
      </w:pPr>
      <w:rPr>
        <w:rFonts w:hint="default"/>
        <w:sz w:val="22"/>
        <w:szCs w:val="22"/>
      </w:rPr>
    </w:lvl>
    <w:lvl w:ilvl="3">
      <w:start w:val="1"/>
      <w:numFmt w:val="decimal"/>
      <w:lvlText w:val="%1.%2.%3.%4."/>
      <w:lvlJc w:val="left"/>
      <w:pPr>
        <w:tabs>
          <w:tab w:val="num" w:pos="180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E312D9F"/>
    <w:multiLevelType w:val="hybridMultilevel"/>
    <w:tmpl w:val="EBAE08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FD16996"/>
    <w:multiLevelType w:val="hybridMultilevel"/>
    <w:tmpl w:val="D09A21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FD47634"/>
    <w:multiLevelType w:val="hybridMultilevel"/>
    <w:tmpl w:val="FE8CDFB6"/>
    <w:lvl w:ilvl="0" w:tplc="6F86075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03A2EF0"/>
    <w:multiLevelType w:val="multilevel"/>
    <w:tmpl w:val="040E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3" w15:restartNumberingAfterBreak="0">
    <w:nsid w:val="11A10836"/>
    <w:multiLevelType w:val="hybridMultilevel"/>
    <w:tmpl w:val="9C7A7D0A"/>
    <w:lvl w:ilvl="0" w:tplc="667AD71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E2776C6"/>
    <w:multiLevelType w:val="hybridMultilevel"/>
    <w:tmpl w:val="E58E1A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FFF43DC"/>
    <w:multiLevelType w:val="hybridMultilevel"/>
    <w:tmpl w:val="7884FD18"/>
    <w:lvl w:ilvl="0" w:tplc="1D00EA04">
      <w:start w:val="1"/>
      <w:numFmt w:val="decimal"/>
      <w:lvlText w:val="%1"/>
      <w:lvlJc w:val="center"/>
      <w:pPr>
        <w:ind w:left="36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0E52E65"/>
    <w:multiLevelType w:val="hybridMultilevel"/>
    <w:tmpl w:val="735E77BE"/>
    <w:lvl w:ilvl="0" w:tplc="1B88B50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3064FBD"/>
    <w:multiLevelType w:val="hybridMultilevel"/>
    <w:tmpl w:val="3146AE02"/>
    <w:lvl w:ilvl="0" w:tplc="30F0B694">
      <w:start w:val="1"/>
      <w:numFmt w:val="upperLetter"/>
      <w:pStyle w:val="Felsorols1nmhh"/>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396649C"/>
    <w:multiLevelType w:val="hybridMultilevel"/>
    <w:tmpl w:val="1F2C54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3E11CCB"/>
    <w:multiLevelType w:val="hybridMultilevel"/>
    <w:tmpl w:val="BB0E9C04"/>
    <w:lvl w:ilvl="0" w:tplc="65B8DE5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53361F8"/>
    <w:multiLevelType w:val="hybridMultilevel"/>
    <w:tmpl w:val="6B44973C"/>
    <w:lvl w:ilvl="0" w:tplc="040E0001">
      <w:start w:val="1"/>
      <w:numFmt w:val="bullet"/>
      <w:lvlText w:val=""/>
      <w:lvlJc w:val="left"/>
      <w:pPr>
        <w:ind w:left="1077" w:hanging="360"/>
      </w:pPr>
      <w:rPr>
        <w:rFonts w:ascii="Symbol" w:hAnsi="Symbol" w:hint="default"/>
      </w:rPr>
    </w:lvl>
    <w:lvl w:ilvl="1" w:tplc="040E0003">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1" w15:restartNumberingAfterBreak="0">
    <w:nsid w:val="253B7929"/>
    <w:multiLevelType w:val="hybridMultilevel"/>
    <w:tmpl w:val="F0404D50"/>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2" w15:restartNumberingAfterBreak="0">
    <w:nsid w:val="27645838"/>
    <w:multiLevelType w:val="hybridMultilevel"/>
    <w:tmpl w:val="43DA7E10"/>
    <w:lvl w:ilvl="0" w:tplc="040E0001">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23" w15:restartNumberingAfterBreak="0">
    <w:nsid w:val="29E02373"/>
    <w:multiLevelType w:val="hybridMultilevel"/>
    <w:tmpl w:val="7BB0A1E0"/>
    <w:lvl w:ilvl="0" w:tplc="040E000F">
      <w:start w:val="1"/>
      <w:numFmt w:val="decimal"/>
      <w:lvlText w:val="%1."/>
      <w:lvlJc w:val="left"/>
      <w:pPr>
        <w:ind w:left="1077" w:hanging="72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24" w15:restartNumberingAfterBreak="0">
    <w:nsid w:val="2A6B09C9"/>
    <w:multiLevelType w:val="hybridMultilevel"/>
    <w:tmpl w:val="43744A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2A8A3C1C"/>
    <w:multiLevelType w:val="multilevel"/>
    <w:tmpl w:val="BA6C48F0"/>
    <w:lvl w:ilvl="0">
      <w:start w:val="1"/>
      <w:numFmt w:val="ordinal"/>
      <w:pStyle w:val="Cmsor1szmozottnmhh"/>
      <w:lvlText w:val="%1"/>
      <w:lvlJc w:val="left"/>
      <w:pPr>
        <w:ind w:left="432" w:hanging="432"/>
      </w:pPr>
      <w:rPr>
        <w:rFonts w:hint="default"/>
      </w:rPr>
    </w:lvl>
    <w:lvl w:ilvl="1">
      <w:start w:val="1"/>
      <w:numFmt w:val="ordinal"/>
      <w:pStyle w:val="Cmsor2szmozottnmhh"/>
      <w:lvlText w:val="%1%2"/>
      <w:lvlJc w:val="left"/>
      <w:pPr>
        <w:ind w:left="576" w:hanging="576"/>
      </w:pPr>
      <w:rPr>
        <w:rFonts w:hint="default"/>
      </w:rPr>
    </w:lvl>
    <w:lvl w:ilvl="2">
      <w:start w:val="1"/>
      <w:numFmt w:val="ordinal"/>
      <w:pStyle w:val="Cmsor3szmozottnmhh"/>
      <w:lvlText w:val="%1%2%3"/>
      <w:lvlJc w:val="left"/>
      <w:pPr>
        <w:ind w:left="720" w:hanging="720"/>
      </w:pPr>
      <w:rPr>
        <w:rFonts w:hint="default"/>
      </w:rPr>
    </w:lvl>
    <w:lvl w:ilvl="3">
      <w:start w:val="1"/>
      <w:numFmt w:val="ordinal"/>
      <w:pStyle w:val="Cmsor4szmozottnmhh"/>
      <w:lvlText w:val="%1%2%3%4"/>
      <w:lvlJc w:val="left"/>
      <w:pPr>
        <w:ind w:left="864" w:hanging="864"/>
      </w:pPr>
      <w:rPr>
        <w:rFonts w:hint="default"/>
      </w:rPr>
    </w:lvl>
    <w:lvl w:ilvl="4">
      <w:start w:val="1"/>
      <w:numFmt w:val="ordinal"/>
      <w:lvlText w:val="%1%2%3%4%5"/>
      <w:lvlJc w:val="left"/>
      <w:pPr>
        <w:ind w:left="1008" w:hanging="1008"/>
      </w:pPr>
      <w:rPr>
        <w:rFonts w:hint="default"/>
      </w:rPr>
    </w:lvl>
    <w:lvl w:ilvl="5">
      <w:start w:val="1"/>
      <w:numFmt w:val="ordinal"/>
      <w:lvlText w:val="%1%2%3%4%5%6"/>
      <w:lvlJc w:val="left"/>
      <w:pPr>
        <w:ind w:left="1152" w:hanging="1152"/>
      </w:pPr>
      <w:rPr>
        <w:rFonts w:hint="default"/>
      </w:rPr>
    </w:lvl>
    <w:lvl w:ilvl="6">
      <w:start w:val="1"/>
      <w:numFmt w:val="ordinal"/>
      <w:lvlText w:val="%1%2%3%4%5%6%7"/>
      <w:lvlJc w:val="left"/>
      <w:pPr>
        <w:ind w:left="1296" w:hanging="1296"/>
      </w:pPr>
      <w:rPr>
        <w:rFonts w:hint="default"/>
      </w:rPr>
    </w:lvl>
    <w:lvl w:ilvl="7">
      <w:start w:val="1"/>
      <w:numFmt w:val="ordinal"/>
      <w:lvlText w:val="%1%2%3%4%5%6%7%8"/>
      <w:lvlJc w:val="left"/>
      <w:pPr>
        <w:ind w:left="1440" w:hanging="1440"/>
      </w:pPr>
      <w:rPr>
        <w:rFonts w:hint="default"/>
      </w:rPr>
    </w:lvl>
    <w:lvl w:ilvl="8">
      <w:start w:val="1"/>
      <w:numFmt w:val="ordinal"/>
      <w:lvlText w:val="%1%2%3%4%5%6%7%8%9"/>
      <w:lvlJc w:val="left"/>
      <w:pPr>
        <w:ind w:left="1584" w:hanging="1584"/>
      </w:pPr>
      <w:rPr>
        <w:rFonts w:hint="default"/>
      </w:rPr>
    </w:lvl>
  </w:abstractNum>
  <w:abstractNum w:abstractNumId="26" w15:restartNumberingAfterBreak="0">
    <w:nsid w:val="2C8E01E2"/>
    <w:multiLevelType w:val="hybridMultilevel"/>
    <w:tmpl w:val="81D2C62C"/>
    <w:lvl w:ilvl="0" w:tplc="3A22BCC6">
      <w:start w:val="1"/>
      <w:numFmt w:val="lowerRoman"/>
      <w:lvlText w:val="%1."/>
      <w:lvlJc w:val="left"/>
      <w:pPr>
        <w:ind w:left="1077" w:hanging="72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27" w15:restartNumberingAfterBreak="0">
    <w:nsid w:val="2D861DA4"/>
    <w:multiLevelType w:val="hybridMultilevel"/>
    <w:tmpl w:val="1B96B4EE"/>
    <w:lvl w:ilvl="0" w:tplc="884AEC2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2EAC2F99"/>
    <w:multiLevelType w:val="hybridMultilevel"/>
    <w:tmpl w:val="8A068A9C"/>
    <w:lvl w:ilvl="0" w:tplc="FFEA4358">
      <w:start w:val="1"/>
      <w:numFmt w:val="bullet"/>
      <w:lvlText w:val="•"/>
      <w:lvlJc w:val="left"/>
      <w:pPr>
        <w:tabs>
          <w:tab w:val="num" w:pos="720"/>
        </w:tabs>
        <w:ind w:left="720" w:hanging="360"/>
      </w:pPr>
      <w:rPr>
        <w:rFonts w:ascii="Arial" w:hAnsi="Arial" w:hint="default"/>
      </w:rPr>
    </w:lvl>
    <w:lvl w:ilvl="1" w:tplc="055860C4" w:tentative="1">
      <w:start w:val="1"/>
      <w:numFmt w:val="bullet"/>
      <w:lvlText w:val="•"/>
      <w:lvlJc w:val="left"/>
      <w:pPr>
        <w:tabs>
          <w:tab w:val="num" w:pos="1440"/>
        </w:tabs>
        <w:ind w:left="1440" w:hanging="360"/>
      </w:pPr>
      <w:rPr>
        <w:rFonts w:ascii="Arial" w:hAnsi="Arial" w:hint="default"/>
      </w:rPr>
    </w:lvl>
    <w:lvl w:ilvl="2" w:tplc="9B102490" w:tentative="1">
      <w:start w:val="1"/>
      <w:numFmt w:val="bullet"/>
      <w:lvlText w:val="•"/>
      <w:lvlJc w:val="left"/>
      <w:pPr>
        <w:tabs>
          <w:tab w:val="num" w:pos="2160"/>
        </w:tabs>
        <w:ind w:left="2160" w:hanging="360"/>
      </w:pPr>
      <w:rPr>
        <w:rFonts w:ascii="Arial" w:hAnsi="Arial" w:hint="default"/>
      </w:rPr>
    </w:lvl>
    <w:lvl w:ilvl="3" w:tplc="FEAA7D7A" w:tentative="1">
      <w:start w:val="1"/>
      <w:numFmt w:val="bullet"/>
      <w:lvlText w:val="•"/>
      <w:lvlJc w:val="left"/>
      <w:pPr>
        <w:tabs>
          <w:tab w:val="num" w:pos="2880"/>
        </w:tabs>
        <w:ind w:left="2880" w:hanging="360"/>
      </w:pPr>
      <w:rPr>
        <w:rFonts w:ascii="Arial" w:hAnsi="Arial" w:hint="default"/>
      </w:rPr>
    </w:lvl>
    <w:lvl w:ilvl="4" w:tplc="497ECB3A" w:tentative="1">
      <w:start w:val="1"/>
      <w:numFmt w:val="bullet"/>
      <w:lvlText w:val="•"/>
      <w:lvlJc w:val="left"/>
      <w:pPr>
        <w:tabs>
          <w:tab w:val="num" w:pos="3600"/>
        </w:tabs>
        <w:ind w:left="3600" w:hanging="360"/>
      </w:pPr>
      <w:rPr>
        <w:rFonts w:ascii="Arial" w:hAnsi="Arial" w:hint="default"/>
      </w:rPr>
    </w:lvl>
    <w:lvl w:ilvl="5" w:tplc="11A42F74" w:tentative="1">
      <w:start w:val="1"/>
      <w:numFmt w:val="bullet"/>
      <w:lvlText w:val="•"/>
      <w:lvlJc w:val="left"/>
      <w:pPr>
        <w:tabs>
          <w:tab w:val="num" w:pos="4320"/>
        </w:tabs>
        <w:ind w:left="4320" w:hanging="360"/>
      </w:pPr>
      <w:rPr>
        <w:rFonts w:ascii="Arial" w:hAnsi="Arial" w:hint="default"/>
      </w:rPr>
    </w:lvl>
    <w:lvl w:ilvl="6" w:tplc="D4FA234E" w:tentative="1">
      <w:start w:val="1"/>
      <w:numFmt w:val="bullet"/>
      <w:lvlText w:val="•"/>
      <w:lvlJc w:val="left"/>
      <w:pPr>
        <w:tabs>
          <w:tab w:val="num" w:pos="5040"/>
        </w:tabs>
        <w:ind w:left="5040" w:hanging="360"/>
      </w:pPr>
      <w:rPr>
        <w:rFonts w:ascii="Arial" w:hAnsi="Arial" w:hint="default"/>
      </w:rPr>
    </w:lvl>
    <w:lvl w:ilvl="7" w:tplc="C58AB1B4" w:tentative="1">
      <w:start w:val="1"/>
      <w:numFmt w:val="bullet"/>
      <w:lvlText w:val="•"/>
      <w:lvlJc w:val="left"/>
      <w:pPr>
        <w:tabs>
          <w:tab w:val="num" w:pos="5760"/>
        </w:tabs>
        <w:ind w:left="5760" w:hanging="360"/>
      </w:pPr>
      <w:rPr>
        <w:rFonts w:ascii="Arial" w:hAnsi="Arial" w:hint="default"/>
      </w:rPr>
    </w:lvl>
    <w:lvl w:ilvl="8" w:tplc="D9F8A2F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0C709A4"/>
    <w:multiLevelType w:val="hybridMultilevel"/>
    <w:tmpl w:val="E3D4C258"/>
    <w:lvl w:ilvl="0" w:tplc="38F2EE3C">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325113BE"/>
    <w:multiLevelType w:val="hybridMultilevel"/>
    <w:tmpl w:val="38DA4FC2"/>
    <w:lvl w:ilvl="0" w:tplc="2E90CB8A">
      <w:start w:val="1"/>
      <w:numFmt w:val="bullet"/>
      <w:pStyle w:val="Lista1nmhh"/>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338E038C"/>
    <w:multiLevelType w:val="multilevel"/>
    <w:tmpl w:val="602E1908"/>
    <w:lvl w:ilvl="0">
      <w:start w:val="1"/>
      <w:numFmt w:val="decimal"/>
      <w:pStyle w:val="Felsorols2nmh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3EB6C4E"/>
    <w:multiLevelType w:val="hybridMultilevel"/>
    <w:tmpl w:val="CA04767E"/>
    <w:lvl w:ilvl="0" w:tplc="5F72173C">
      <w:start w:val="1"/>
      <w:numFmt w:val="bullet"/>
      <w:lvlText w:val=""/>
      <w:lvlJc w:val="left"/>
      <w:pPr>
        <w:ind w:left="720" w:hanging="360"/>
      </w:pPr>
      <w:rPr>
        <w:rFonts w:ascii="Symbol" w:hAnsi="Symbol" w:hint="default"/>
      </w:rPr>
    </w:lvl>
    <w:lvl w:ilvl="1" w:tplc="5A4CAF22">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35937FEE"/>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6F33BF9"/>
    <w:multiLevelType w:val="hybridMultilevel"/>
    <w:tmpl w:val="2FCCF77C"/>
    <w:lvl w:ilvl="0" w:tplc="9000D7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3A133498"/>
    <w:multiLevelType w:val="hybridMultilevel"/>
    <w:tmpl w:val="E0D85AC6"/>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36" w15:restartNumberingAfterBreak="0">
    <w:nsid w:val="3B4F7FB8"/>
    <w:multiLevelType w:val="hybridMultilevel"/>
    <w:tmpl w:val="23CA6B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3D163F7A"/>
    <w:multiLevelType w:val="multilevel"/>
    <w:tmpl w:val="C51432D8"/>
    <w:lvl w:ilvl="0">
      <w:start w:val="1"/>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Arial" w:hAnsi="Arial"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3E06202B"/>
    <w:multiLevelType w:val="hybridMultilevel"/>
    <w:tmpl w:val="B21ED882"/>
    <w:lvl w:ilvl="0" w:tplc="7FD0D24E">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3E6733BA"/>
    <w:multiLevelType w:val="hybridMultilevel"/>
    <w:tmpl w:val="1DEC5400"/>
    <w:lvl w:ilvl="0" w:tplc="FBFEE8A4">
      <w:start w:val="1"/>
      <w:numFmt w:val="bullet"/>
      <w:pStyle w:val="Lista2nmhh"/>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4385067E"/>
    <w:multiLevelType w:val="hybridMultilevel"/>
    <w:tmpl w:val="A66272CC"/>
    <w:lvl w:ilvl="0" w:tplc="F28C776A">
      <w:start w:val="1"/>
      <w:numFmt w:val="decimal"/>
      <w:lvlText w:val="%1."/>
      <w:lvlJc w:val="left"/>
      <w:pPr>
        <w:ind w:left="717" w:hanging="360"/>
      </w:pPr>
      <w:rPr>
        <w:rFonts w:hint="default"/>
        <w:i w:val="0"/>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41" w15:restartNumberingAfterBreak="0">
    <w:nsid w:val="487F6167"/>
    <w:multiLevelType w:val="hybridMultilevel"/>
    <w:tmpl w:val="0A1EA2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48E77E54"/>
    <w:multiLevelType w:val="hybridMultilevel"/>
    <w:tmpl w:val="53C400D4"/>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3" w15:restartNumberingAfterBreak="0">
    <w:nsid w:val="50187145"/>
    <w:multiLevelType w:val="hybridMultilevel"/>
    <w:tmpl w:val="AD4CE798"/>
    <w:lvl w:ilvl="0" w:tplc="06A440EA">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51D946E4"/>
    <w:multiLevelType w:val="hybridMultilevel"/>
    <w:tmpl w:val="8F309E66"/>
    <w:lvl w:ilvl="0" w:tplc="040E0001">
      <w:start w:val="1"/>
      <w:numFmt w:val="bullet"/>
      <w:lvlText w:val=""/>
      <w:lvlJc w:val="left"/>
      <w:pPr>
        <w:ind w:left="720" w:hanging="360"/>
      </w:pPr>
      <w:rPr>
        <w:rFonts w:ascii="Symbol" w:hAnsi="Symbol" w:hint="default"/>
      </w:rPr>
    </w:lvl>
    <w:lvl w:ilvl="1" w:tplc="4470E0BE">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55893257"/>
    <w:multiLevelType w:val="hybridMultilevel"/>
    <w:tmpl w:val="F232E726"/>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46" w15:restartNumberingAfterBreak="0">
    <w:nsid w:val="55D803E6"/>
    <w:multiLevelType w:val="hybridMultilevel"/>
    <w:tmpl w:val="6214F0BC"/>
    <w:lvl w:ilvl="0" w:tplc="040E0001">
      <w:start w:val="1"/>
      <w:numFmt w:val="bullet"/>
      <w:lvlText w:val=""/>
      <w:lvlJc w:val="left"/>
      <w:pPr>
        <w:ind w:left="1077" w:hanging="360"/>
      </w:pPr>
      <w:rPr>
        <w:rFonts w:ascii="Symbol" w:hAnsi="Symbol" w:hint="default"/>
      </w:rPr>
    </w:lvl>
    <w:lvl w:ilvl="1" w:tplc="040E0003">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47" w15:restartNumberingAfterBreak="0">
    <w:nsid w:val="55E6323D"/>
    <w:multiLevelType w:val="hybridMultilevel"/>
    <w:tmpl w:val="D9FE70CC"/>
    <w:lvl w:ilvl="0" w:tplc="AAD42C32">
      <w:start w:val="1"/>
      <w:numFmt w:val="bullet"/>
      <w:lvlText w:val=""/>
      <w:lvlJc w:val="left"/>
      <w:pPr>
        <w:tabs>
          <w:tab w:val="num" w:pos="-31680"/>
        </w:tabs>
        <w:ind w:left="1418" w:hanging="567"/>
      </w:pPr>
      <w:rPr>
        <w:rFonts w:ascii="Wingdings" w:hAnsi="Wingding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48" w15:restartNumberingAfterBreak="0">
    <w:nsid w:val="57620584"/>
    <w:multiLevelType w:val="hybridMultilevel"/>
    <w:tmpl w:val="C2F236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57B50BAB"/>
    <w:multiLevelType w:val="hybridMultilevel"/>
    <w:tmpl w:val="9BEAF3F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0" w15:restartNumberingAfterBreak="0">
    <w:nsid w:val="5AAB2E8F"/>
    <w:multiLevelType w:val="hybridMultilevel"/>
    <w:tmpl w:val="3E20B338"/>
    <w:lvl w:ilvl="0" w:tplc="DE82B71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60864F13"/>
    <w:multiLevelType w:val="hybridMultilevel"/>
    <w:tmpl w:val="6E2E6748"/>
    <w:lvl w:ilvl="0" w:tplc="8C6C752A">
      <w:start w:val="1"/>
      <w:numFmt w:val="decimal"/>
      <w:pStyle w:val="Felsorolsnmhh"/>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6288364F"/>
    <w:multiLevelType w:val="hybridMultilevel"/>
    <w:tmpl w:val="3F4460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66A067A8"/>
    <w:multiLevelType w:val="hybridMultilevel"/>
    <w:tmpl w:val="C8F26298"/>
    <w:lvl w:ilvl="0" w:tplc="4C3636B2">
      <w:start w:val="1911"/>
      <w:numFmt w:val="decimal"/>
      <w:lvlText w:val="%1"/>
      <w:lvlJc w:val="center"/>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66AF1ACB"/>
    <w:multiLevelType w:val="hybridMultilevel"/>
    <w:tmpl w:val="359E5422"/>
    <w:lvl w:ilvl="0" w:tplc="040E0001">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55" w15:restartNumberingAfterBreak="0">
    <w:nsid w:val="69093E3B"/>
    <w:multiLevelType w:val="hybridMultilevel"/>
    <w:tmpl w:val="3F96BC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697A2862"/>
    <w:multiLevelType w:val="multilevel"/>
    <w:tmpl w:val="DC1CA888"/>
    <w:lvl w:ilvl="0">
      <w:start w:val="4"/>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6B794DD3"/>
    <w:multiLevelType w:val="multilevel"/>
    <w:tmpl w:val="D17401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C247FDC"/>
    <w:multiLevelType w:val="hybridMultilevel"/>
    <w:tmpl w:val="F97CA402"/>
    <w:lvl w:ilvl="0" w:tplc="66E82FD6">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6DEF2CC3"/>
    <w:multiLevelType w:val="multilevel"/>
    <w:tmpl w:val="DA26611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ECF5A1D"/>
    <w:multiLevelType w:val="hybridMultilevel"/>
    <w:tmpl w:val="25A6965E"/>
    <w:lvl w:ilvl="0" w:tplc="5AFE57CE">
      <w:start w:val="1"/>
      <w:numFmt w:val="decimal"/>
      <w:lvlText w:val="%1"/>
      <w:lvlJc w:val="left"/>
      <w:pPr>
        <w:ind w:left="502" w:hanging="360"/>
      </w:pPr>
      <w:rPr>
        <w:rFonts w:hint="default"/>
      </w:rPr>
    </w:lvl>
    <w:lvl w:ilvl="1" w:tplc="040E0019" w:tentative="1">
      <w:start w:val="1"/>
      <w:numFmt w:val="lowerLetter"/>
      <w:lvlText w:val="%2."/>
      <w:lvlJc w:val="left"/>
      <w:pPr>
        <w:ind w:left="1294" w:hanging="360"/>
      </w:pPr>
    </w:lvl>
    <w:lvl w:ilvl="2" w:tplc="040E001B" w:tentative="1">
      <w:start w:val="1"/>
      <w:numFmt w:val="lowerRoman"/>
      <w:lvlText w:val="%3."/>
      <w:lvlJc w:val="right"/>
      <w:pPr>
        <w:ind w:left="2014" w:hanging="180"/>
      </w:pPr>
    </w:lvl>
    <w:lvl w:ilvl="3" w:tplc="32AA0C7A" w:tentative="1">
      <w:start w:val="1"/>
      <w:numFmt w:val="decimal"/>
      <w:lvlText w:val="%4."/>
      <w:lvlJc w:val="left"/>
      <w:pPr>
        <w:ind w:left="2734" w:hanging="360"/>
      </w:pPr>
    </w:lvl>
    <w:lvl w:ilvl="4" w:tplc="040E0019" w:tentative="1">
      <w:start w:val="1"/>
      <w:numFmt w:val="lowerLetter"/>
      <w:lvlText w:val="%5."/>
      <w:lvlJc w:val="left"/>
      <w:pPr>
        <w:ind w:left="3454" w:hanging="360"/>
      </w:pPr>
    </w:lvl>
    <w:lvl w:ilvl="5" w:tplc="040E001B" w:tentative="1">
      <w:start w:val="1"/>
      <w:numFmt w:val="lowerRoman"/>
      <w:lvlText w:val="%6."/>
      <w:lvlJc w:val="right"/>
      <w:pPr>
        <w:ind w:left="4174" w:hanging="180"/>
      </w:pPr>
    </w:lvl>
    <w:lvl w:ilvl="6" w:tplc="040E000F" w:tentative="1">
      <w:start w:val="1"/>
      <w:numFmt w:val="decimal"/>
      <w:lvlText w:val="%7."/>
      <w:lvlJc w:val="left"/>
      <w:pPr>
        <w:ind w:left="4894" w:hanging="360"/>
      </w:pPr>
    </w:lvl>
    <w:lvl w:ilvl="7" w:tplc="040E0019" w:tentative="1">
      <w:start w:val="1"/>
      <w:numFmt w:val="lowerLetter"/>
      <w:lvlText w:val="%8."/>
      <w:lvlJc w:val="left"/>
      <w:pPr>
        <w:ind w:left="5614" w:hanging="360"/>
      </w:pPr>
    </w:lvl>
    <w:lvl w:ilvl="8" w:tplc="040E001B" w:tentative="1">
      <w:start w:val="1"/>
      <w:numFmt w:val="lowerRoman"/>
      <w:lvlText w:val="%9."/>
      <w:lvlJc w:val="right"/>
      <w:pPr>
        <w:ind w:left="6334" w:hanging="180"/>
      </w:pPr>
    </w:lvl>
  </w:abstractNum>
  <w:abstractNum w:abstractNumId="61" w15:restartNumberingAfterBreak="0">
    <w:nsid w:val="707468E0"/>
    <w:multiLevelType w:val="hybridMultilevel"/>
    <w:tmpl w:val="38D6DF9E"/>
    <w:lvl w:ilvl="0" w:tplc="040E0001">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62" w15:restartNumberingAfterBreak="0">
    <w:nsid w:val="707E568A"/>
    <w:multiLevelType w:val="hybridMultilevel"/>
    <w:tmpl w:val="383807F4"/>
    <w:lvl w:ilvl="0" w:tplc="32AA15B6">
      <w:start w:val="1"/>
      <w:numFmt w:val="decimal"/>
      <w:pStyle w:val="Irodalomjegyzkfelsorolsnmhh"/>
      <w:lvlText w:val="[%1]"/>
      <w:lvlJc w:val="left"/>
      <w:pPr>
        <w:ind w:left="360" w:hanging="360"/>
      </w:pPr>
      <w:rPr>
        <w:rFonts w:hint="default"/>
      </w:r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63" w15:restartNumberingAfterBreak="0">
    <w:nsid w:val="756E5ADA"/>
    <w:multiLevelType w:val="hybridMultilevel"/>
    <w:tmpl w:val="C2EA3E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57"/>
  </w:num>
  <w:num w:numId="2">
    <w:abstractNumId w:val="57"/>
  </w:num>
  <w:num w:numId="3">
    <w:abstractNumId w:val="57"/>
  </w:num>
  <w:num w:numId="4">
    <w:abstractNumId w:val="57"/>
  </w:num>
  <w:num w:numId="5">
    <w:abstractNumId w:val="32"/>
  </w:num>
  <w:num w:numId="6">
    <w:abstractNumId w:val="32"/>
  </w:num>
  <w:num w:numId="7">
    <w:abstractNumId w:val="27"/>
  </w:num>
  <w:num w:numId="8">
    <w:abstractNumId w:val="58"/>
  </w:num>
  <w:num w:numId="9">
    <w:abstractNumId w:val="13"/>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50"/>
  </w:num>
  <w:num w:numId="19">
    <w:abstractNumId w:val="44"/>
  </w:num>
  <w:num w:numId="20">
    <w:abstractNumId w:val="29"/>
  </w:num>
  <w:num w:numId="21">
    <w:abstractNumId w:val="38"/>
  </w:num>
  <w:num w:numId="22">
    <w:abstractNumId w:val="16"/>
  </w:num>
  <w:num w:numId="23">
    <w:abstractNumId w:val="1"/>
  </w:num>
  <w:num w:numId="24">
    <w:abstractNumId w:val="0"/>
  </w:num>
  <w:num w:numId="25">
    <w:abstractNumId w:val="33"/>
  </w:num>
  <w:num w:numId="26">
    <w:abstractNumId w:val="51"/>
  </w:num>
  <w:num w:numId="27">
    <w:abstractNumId w:val="31"/>
  </w:num>
  <w:num w:numId="28">
    <w:abstractNumId w:val="17"/>
  </w:num>
  <w:num w:numId="29">
    <w:abstractNumId w:val="25"/>
  </w:num>
  <w:num w:numId="30">
    <w:abstractNumId w:val="30"/>
  </w:num>
  <w:num w:numId="31">
    <w:abstractNumId w:val="39"/>
  </w:num>
  <w:num w:numId="32">
    <w:abstractNumId w:val="62"/>
  </w:num>
  <w:num w:numId="33">
    <w:abstractNumId w:val="52"/>
  </w:num>
  <w:num w:numId="34">
    <w:abstractNumId w:val="35"/>
  </w:num>
  <w:num w:numId="35">
    <w:abstractNumId w:val="20"/>
  </w:num>
  <w:num w:numId="36">
    <w:abstractNumId w:val="10"/>
  </w:num>
  <w:num w:numId="37">
    <w:abstractNumId w:val="54"/>
  </w:num>
  <w:num w:numId="38">
    <w:abstractNumId w:val="3"/>
  </w:num>
  <w:num w:numId="39">
    <w:abstractNumId w:val="15"/>
  </w:num>
  <w:num w:numId="40">
    <w:abstractNumId w:val="53"/>
  </w:num>
  <w:num w:numId="41">
    <w:abstractNumId w:val="8"/>
  </w:num>
  <w:num w:numId="42">
    <w:abstractNumId w:val="11"/>
  </w:num>
  <w:num w:numId="43">
    <w:abstractNumId w:val="4"/>
  </w:num>
  <w:num w:numId="44">
    <w:abstractNumId w:val="34"/>
  </w:num>
  <w:num w:numId="45">
    <w:abstractNumId w:val="5"/>
  </w:num>
  <w:num w:numId="46">
    <w:abstractNumId w:val="19"/>
  </w:num>
  <w:num w:numId="47">
    <w:abstractNumId w:val="60"/>
  </w:num>
  <w:num w:numId="48">
    <w:abstractNumId w:val="47"/>
  </w:num>
  <w:num w:numId="49">
    <w:abstractNumId w:val="40"/>
  </w:num>
  <w:num w:numId="50">
    <w:abstractNumId w:val="63"/>
  </w:num>
  <w:num w:numId="51">
    <w:abstractNumId w:val="42"/>
  </w:num>
  <w:num w:numId="52">
    <w:abstractNumId w:val="36"/>
  </w:num>
  <w:num w:numId="53">
    <w:abstractNumId w:val="14"/>
  </w:num>
  <w:num w:numId="54">
    <w:abstractNumId w:val="43"/>
  </w:num>
  <w:num w:numId="55">
    <w:abstractNumId w:val="26"/>
  </w:num>
  <w:num w:numId="56">
    <w:abstractNumId w:val="23"/>
  </w:num>
  <w:num w:numId="57">
    <w:abstractNumId w:val="37"/>
  </w:num>
  <w:num w:numId="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num>
  <w:num w:numId="60">
    <w:abstractNumId w:val="46"/>
  </w:num>
  <w:num w:numId="61">
    <w:abstractNumId w:val="61"/>
  </w:num>
  <w:num w:numId="62">
    <w:abstractNumId w:val="22"/>
  </w:num>
  <w:num w:numId="63">
    <w:abstractNumId w:val="59"/>
  </w:num>
  <w:num w:numId="64">
    <w:abstractNumId w:val="21"/>
  </w:num>
  <w:num w:numId="65">
    <w:abstractNumId w:val="24"/>
  </w:num>
  <w:num w:numId="66">
    <w:abstractNumId w:val="6"/>
  </w:num>
  <w:num w:numId="67">
    <w:abstractNumId w:val="55"/>
  </w:num>
  <w:num w:numId="68">
    <w:abstractNumId w:val="48"/>
  </w:num>
  <w:num w:numId="69">
    <w:abstractNumId w:val="7"/>
  </w:num>
  <w:num w:numId="70">
    <w:abstractNumId w:val="18"/>
  </w:num>
  <w:num w:numId="71">
    <w:abstractNumId w:val="2"/>
  </w:num>
  <w:num w:numId="72">
    <w:abstractNumId w:val="9"/>
  </w:num>
  <w:num w:numId="73">
    <w:abstractNumId w:val="41"/>
  </w:num>
  <w:num w:numId="74">
    <w:abstractNumId w:val="49"/>
  </w:num>
  <w:num w:numId="75">
    <w:abstractNumId w:val="28"/>
  </w:num>
  <w:num w:numId="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5"/>
  </w:num>
  <w:num w:numId="78">
    <w:abstractNumId w:val="25"/>
  </w:num>
  <w:num w:numId="79">
    <w:abstractNumId w:val="25"/>
  </w:num>
  <w:num w:numId="80">
    <w:abstractNumId w:val="25"/>
  </w:num>
  <w:num w:numId="81">
    <w:abstractNumId w:val="25"/>
  </w:num>
  <w:num w:numId="82">
    <w:abstractNumId w:val="25"/>
  </w:num>
  <w:num w:numId="83">
    <w:abstractNumId w:val="25"/>
  </w:num>
  <w:num w:numId="84">
    <w:abstractNumId w:val="25"/>
  </w:num>
  <w:num w:numId="85">
    <w:abstractNumId w:val="25"/>
  </w:num>
  <w:num w:numId="86">
    <w:abstractNumId w:val="25"/>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5"/>
  </w:num>
  <w:num w:numId="89">
    <w:abstractNumId w:val="25"/>
  </w:num>
  <w:num w:numId="90">
    <w:abstractNumId w:val="25"/>
  </w:num>
  <w:num w:numId="91">
    <w:abstractNumId w:val="56"/>
  </w:num>
  <w:num w:numId="92">
    <w:abstractNumId w:val="2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09"/>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79"/>
    <w:rsid w:val="00002432"/>
    <w:rsid w:val="00005917"/>
    <w:rsid w:val="0002366A"/>
    <w:rsid w:val="00031851"/>
    <w:rsid w:val="00041388"/>
    <w:rsid w:val="00051102"/>
    <w:rsid w:val="00052700"/>
    <w:rsid w:val="000547B1"/>
    <w:rsid w:val="00066373"/>
    <w:rsid w:val="000664FC"/>
    <w:rsid w:val="00072109"/>
    <w:rsid w:val="00083FA8"/>
    <w:rsid w:val="00085A59"/>
    <w:rsid w:val="00090673"/>
    <w:rsid w:val="000933FF"/>
    <w:rsid w:val="00094082"/>
    <w:rsid w:val="00096F05"/>
    <w:rsid w:val="000A2DD9"/>
    <w:rsid w:val="000B2B5C"/>
    <w:rsid w:val="000B7FF7"/>
    <w:rsid w:val="000C188C"/>
    <w:rsid w:val="000D7367"/>
    <w:rsid w:val="000E16B8"/>
    <w:rsid w:val="000E5F59"/>
    <w:rsid w:val="000E7111"/>
    <w:rsid w:val="000F149D"/>
    <w:rsid w:val="000F5735"/>
    <w:rsid w:val="00124CF7"/>
    <w:rsid w:val="001461FC"/>
    <w:rsid w:val="001479E7"/>
    <w:rsid w:val="001511D7"/>
    <w:rsid w:val="00174625"/>
    <w:rsid w:val="00176004"/>
    <w:rsid w:val="0019052D"/>
    <w:rsid w:val="001A3BDC"/>
    <w:rsid w:val="001B5B77"/>
    <w:rsid w:val="001E0E77"/>
    <w:rsid w:val="001E1AD8"/>
    <w:rsid w:val="001E74AB"/>
    <w:rsid w:val="001F448D"/>
    <w:rsid w:val="00203E47"/>
    <w:rsid w:val="00206084"/>
    <w:rsid w:val="00206E63"/>
    <w:rsid w:val="002116E6"/>
    <w:rsid w:val="00217ADA"/>
    <w:rsid w:val="00242E39"/>
    <w:rsid w:val="00260CB3"/>
    <w:rsid w:val="00274A4E"/>
    <w:rsid w:val="00274D87"/>
    <w:rsid w:val="00275DE1"/>
    <w:rsid w:val="002837F7"/>
    <w:rsid w:val="0029092A"/>
    <w:rsid w:val="002923FC"/>
    <w:rsid w:val="00296849"/>
    <w:rsid w:val="002D2D74"/>
    <w:rsid w:val="002D3933"/>
    <w:rsid w:val="00343F9F"/>
    <w:rsid w:val="00345EC7"/>
    <w:rsid w:val="0036119E"/>
    <w:rsid w:val="0037475E"/>
    <w:rsid w:val="00374CA0"/>
    <w:rsid w:val="003A033D"/>
    <w:rsid w:val="003A4DD8"/>
    <w:rsid w:val="003B10BE"/>
    <w:rsid w:val="003B3D99"/>
    <w:rsid w:val="003C7C94"/>
    <w:rsid w:val="003E0C77"/>
    <w:rsid w:val="003E75CB"/>
    <w:rsid w:val="003F0A5C"/>
    <w:rsid w:val="003F13C8"/>
    <w:rsid w:val="003F581A"/>
    <w:rsid w:val="003F78F5"/>
    <w:rsid w:val="004045E3"/>
    <w:rsid w:val="00407C7D"/>
    <w:rsid w:val="004136A4"/>
    <w:rsid w:val="00422524"/>
    <w:rsid w:val="004275D0"/>
    <w:rsid w:val="00427DE8"/>
    <w:rsid w:val="00430AFA"/>
    <w:rsid w:val="00430B47"/>
    <w:rsid w:val="00433E85"/>
    <w:rsid w:val="00434D92"/>
    <w:rsid w:val="00460F43"/>
    <w:rsid w:val="00487022"/>
    <w:rsid w:val="00491185"/>
    <w:rsid w:val="004A0EE5"/>
    <w:rsid w:val="004A487F"/>
    <w:rsid w:val="004E0238"/>
    <w:rsid w:val="004E167B"/>
    <w:rsid w:val="004E1789"/>
    <w:rsid w:val="004E27BC"/>
    <w:rsid w:val="004E4798"/>
    <w:rsid w:val="00517579"/>
    <w:rsid w:val="00523BDE"/>
    <w:rsid w:val="00524AA6"/>
    <w:rsid w:val="005266EC"/>
    <w:rsid w:val="00531AF5"/>
    <w:rsid w:val="00537B19"/>
    <w:rsid w:val="00537E6B"/>
    <w:rsid w:val="00543C8C"/>
    <w:rsid w:val="00543DA4"/>
    <w:rsid w:val="0055573E"/>
    <w:rsid w:val="0056442F"/>
    <w:rsid w:val="00570353"/>
    <w:rsid w:val="00581FC8"/>
    <w:rsid w:val="00586921"/>
    <w:rsid w:val="005C099E"/>
    <w:rsid w:val="005C6925"/>
    <w:rsid w:val="005D653E"/>
    <w:rsid w:val="005E39C2"/>
    <w:rsid w:val="005E762F"/>
    <w:rsid w:val="005F5BB1"/>
    <w:rsid w:val="00607E0B"/>
    <w:rsid w:val="00616E2A"/>
    <w:rsid w:val="00625FA4"/>
    <w:rsid w:val="00640317"/>
    <w:rsid w:val="0064156A"/>
    <w:rsid w:val="006671B1"/>
    <w:rsid w:val="006944D0"/>
    <w:rsid w:val="006A2CB3"/>
    <w:rsid w:val="006B4322"/>
    <w:rsid w:val="006D055B"/>
    <w:rsid w:val="006D5933"/>
    <w:rsid w:val="00716E69"/>
    <w:rsid w:val="00731308"/>
    <w:rsid w:val="0073287D"/>
    <w:rsid w:val="00754132"/>
    <w:rsid w:val="007555CE"/>
    <w:rsid w:val="00793636"/>
    <w:rsid w:val="007979F2"/>
    <w:rsid w:val="007A2E3B"/>
    <w:rsid w:val="007A68F1"/>
    <w:rsid w:val="007B2341"/>
    <w:rsid w:val="007B55E4"/>
    <w:rsid w:val="007D3E72"/>
    <w:rsid w:val="007E0713"/>
    <w:rsid w:val="007E4F22"/>
    <w:rsid w:val="007E6E32"/>
    <w:rsid w:val="007F2D12"/>
    <w:rsid w:val="007F3AF1"/>
    <w:rsid w:val="007F48EE"/>
    <w:rsid w:val="00807C5F"/>
    <w:rsid w:val="008168DE"/>
    <w:rsid w:val="00831D9A"/>
    <w:rsid w:val="00837E2D"/>
    <w:rsid w:val="00837EBA"/>
    <w:rsid w:val="00837F4B"/>
    <w:rsid w:val="00846E9E"/>
    <w:rsid w:val="00847983"/>
    <w:rsid w:val="008613B5"/>
    <w:rsid w:val="008627B8"/>
    <w:rsid w:val="008767E1"/>
    <w:rsid w:val="008872E4"/>
    <w:rsid w:val="00892B89"/>
    <w:rsid w:val="008C3C16"/>
    <w:rsid w:val="008D5F59"/>
    <w:rsid w:val="009074D9"/>
    <w:rsid w:val="009108A6"/>
    <w:rsid w:val="00927519"/>
    <w:rsid w:val="00930A7D"/>
    <w:rsid w:val="00932363"/>
    <w:rsid w:val="0094468A"/>
    <w:rsid w:val="00947D16"/>
    <w:rsid w:val="00954DC4"/>
    <w:rsid w:val="009678E7"/>
    <w:rsid w:val="00967E7A"/>
    <w:rsid w:val="00983E9F"/>
    <w:rsid w:val="00992927"/>
    <w:rsid w:val="009A5CDE"/>
    <w:rsid w:val="009D2343"/>
    <w:rsid w:val="009F433D"/>
    <w:rsid w:val="00A03DF1"/>
    <w:rsid w:val="00A126A6"/>
    <w:rsid w:val="00A16A7B"/>
    <w:rsid w:val="00A2728D"/>
    <w:rsid w:val="00A34B62"/>
    <w:rsid w:val="00A36DDD"/>
    <w:rsid w:val="00A464AC"/>
    <w:rsid w:val="00A561B3"/>
    <w:rsid w:val="00A63D8C"/>
    <w:rsid w:val="00A70C6D"/>
    <w:rsid w:val="00A759B4"/>
    <w:rsid w:val="00A76701"/>
    <w:rsid w:val="00A96019"/>
    <w:rsid w:val="00AB2EE5"/>
    <w:rsid w:val="00AB3578"/>
    <w:rsid w:val="00AB6891"/>
    <w:rsid w:val="00AE63CA"/>
    <w:rsid w:val="00AF67E4"/>
    <w:rsid w:val="00B00DE2"/>
    <w:rsid w:val="00B05124"/>
    <w:rsid w:val="00B107DC"/>
    <w:rsid w:val="00B216E8"/>
    <w:rsid w:val="00B3090D"/>
    <w:rsid w:val="00B32074"/>
    <w:rsid w:val="00B5106F"/>
    <w:rsid w:val="00B528FE"/>
    <w:rsid w:val="00B54DA3"/>
    <w:rsid w:val="00B55DEA"/>
    <w:rsid w:val="00B6079D"/>
    <w:rsid w:val="00B615DF"/>
    <w:rsid w:val="00B765BF"/>
    <w:rsid w:val="00BA1AFB"/>
    <w:rsid w:val="00BC3CC1"/>
    <w:rsid w:val="00BD1A83"/>
    <w:rsid w:val="00BD44EF"/>
    <w:rsid w:val="00BD5A55"/>
    <w:rsid w:val="00BD729F"/>
    <w:rsid w:val="00C160A4"/>
    <w:rsid w:val="00C20E17"/>
    <w:rsid w:val="00C53DF9"/>
    <w:rsid w:val="00C56362"/>
    <w:rsid w:val="00C65497"/>
    <w:rsid w:val="00C664AE"/>
    <w:rsid w:val="00C66DAE"/>
    <w:rsid w:val="00C673FF"/>
    <w:rsid w:val="00C71530"/>
    <w:rsid w:val="00C71B70"/>
    <w:rsid w:val="00C83A20"/>
    <w:rsid w:val="00C83AF1"/>
    <w:rsid w:val="00C86D6D"/>
    <w:rsid w:val="00C9528C"/>
    <w:rsid w:val="00C95B1A"/>
    <w:rsid w:val="00CA3B28"/>
    <w:rsid w:val="00CB64C7"/>
    <w:rsid w:val="00CB7A92"/>
    <w:rsid w:val="00CD3CCB"/>
    <w:rsid w:val="00CE2002"/>
    <w:rsid w:val="00CE5B7D"/>
    <w:rsid w:val="00CF03A4"/>
    <w:rsid w:val="00CF05FE"/>
    <w:rsid w:val="00CF389E"/>
    <w:rsid w:val="00D1041B"/>
    <w:rsid w:val="00D165AF"/>
    <w:rsid w:val="00D16B88"/>
    <w:rsid w:val="00D41053"/>
    <w:rsid w:val="00D45E62"/>
    <w:rsid w:val="00D471AC"/>
    <w:rsid w:val="00D51062"/>
    <w:rsid w:val="00D55153"/>
    <w:rsid w:val="00D56225"/>
    <w:rsid w:val="00D82DD2"/>
    <w:rsid w:val="00D850E2"/>
    <w:rsid w:val="00D911C2"/>
    <w:rsid w:val="00D96CED"/>
    <w:rsid w:val="00DA416E"/>
    <w:rsid w:val="00DA53A4"/>
    <w:rsid w:val="00DA5D72"/>
    <w:rsid w:val="00DB14C0"/>
    <w:rsid w:val="00DB62BB"/>
    <w:rsid w:val="00DC0327"/>
    <w:rsid w:val="00DE34C2"/>
    <w:rsid w:val="00DF06F9"/>
    <w:rsid w:val="00E018A8"/>
    <w:rsid w:val="00E2152A"/>
    <w:rsid w:val="00E22872"/>
    <w:rsid w:val="00E31630"/>
    <w:rsid w:val="00E3177D"/>
    <w:rsid w:val="00E33650"/>
    <w:rsid w:val="00E573D3"/>
    <w:rsid w:val="00E60560"/>
    <w:rsid w:val="00E6287D"/>
    <w:rsid w:val="00E67378"/>
    <w:rsid w:val="00E70452"/>
    <w:rsid w:val="00E70A7C"/>
    <w:rsid w:val="00E779E6"/>
    <w:rsid w:val="00E922D9"/>
    <w:rsid w:val="00E956AA"/>
    <w:rsid w:val="00EA1A18"/>
    <w:rsid w:val="00ED0F55"/>
    <w:rsid w:val="00ED569D"/>
    <w:rsid w:val="00ED61BE"/>
    <w:rsid w:val="00EE7651"/>
    <w:rsid w:val="00EE7682"/>
    <w:rsid w:val="00EF036F"/>
    <w:rsid w:val="00F104C0"/>
    <w:rsid w:val="00F1626B"/>
    <w:rsid w:val="00F54787"/>
    <w:rsid w:val="00F7688F"/>
    <w:rsid w:val="00F81E67"/>
    <w:rsid w:val="00F95EA1"/>
    <w:rsid w:val="00FA6ABC"/>
    <w:rsid w:val="00FB1E56"/>
    <w:rsid w:val="00FE2637"/>
    <w:rsid w:val="00FE2890"/>
    <w:rsid w:val="00FF5C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924DE"/>
  <w15:docId w15:val="{DD9FBF89-D1A8-42B5-BEA3-BF5768ED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Bekezdés"/>
    <w:pPr>
      <w:spacing w:after="120"/>
      <w:jc w:val="both"/>
    </w:pPr>
  </w:style>
  <w:style w:type="paragraph" w:styleId="Cmsor1">
    <w:name w:val="heading 1"/>
    <w:aliases w:val="ECC Heading 1"/>
    <w:basedOn w:val="Norml"/>
    <w:next w:val="Norml"/>
    <w:link w:val="Cmsor1Char"/>
    <w:qFormat/>
    <w:pPr>
      <w:keepNext/>
      <w:keepLines/>
      <w:numPr>
        <w:numId w:val="17"/>
      </w:numPr>
      <w:spacing w:after="240"/>
      <w:outlineLvl w:val="0"/>
    </w:pPr>
    <w:rPr>
      <w:rFonts w:asciiTheme="majorHAnsi" w:eastAsiaTheme="majorEastAsia" w:hAnsiTheme="majorHAnsi" w:cstheme="majorBidi"/>
      <w:b/>
      <w:bCs/>
      <w:color w:val="000000" w:themeColor="text2" w:themeShade="BF"/>
      <w:sz w:val="32"/>
      <w:szCs w:val="28"/>
    </w:rPr>
  </w:style>
  <w:style w:type="paragraph" w:styleId="Cmsor2">
    <w:name w:val="heading 2"/>
    <w:aliases w:val="ECC Heading 2"/>
    <w:basedOn w:val="Norml"/>
    <w:next w:val="Norml"/>
    <w:link w:val="Cmsor2Char"/>
    <w:unhideWhenUsed/>
    <w:qFormat/>
    <w:pPr>
      <w:keepNext/>
      <w:keepLines/>
      <w:numPr>
        <w:ilvl w:val="1"/>
        <w:numId w:val="17"/>
      </w:numPr>
      <w:spacing w:after="240"/>
      <w:outlineLvl w:val="1"/>
    </w:pPr>
    <w:rPr>
      <w:rFonts w:asciiTheme="majorHAnsi" w:eastAsiaTheme="majorEastAsia" w:hAnsiTheme="majorHAnsi" w:cstheme="majorBidi"/>
      <w:b/>
      <w:bCs/>
      <w:color w:val="666666" w:themeColor="text2" w:themeTint="99"/>
      <w:sz w:val="28"/>
      <w:szCs w:val="26"/>
    </w:rPr>
  </w:style>
  <w:style w:type="paragraph" w:styleId="Cmsor3">
    <w:name w:val="heading 3"/>
    <w:aliases w:val="ECC Heading 3"/>
    <w:basedOn w:val="Norml"/>
    <w:next w:val="Norml"/>
    <w:link w:val="Cmsor3Char"/>
    <w:unhideWhenUsed/>
    <w:qFormat/>
    <w:pPr>
      <w:keepNext/>
      <w:keepLines/>
      <w:numPr>
        <w:ilvl w:val="2"/>
        <w:numId w:val="17"/>
      </w:numPr>
      <w:spacing w:after="240"/>
      <w:outlineLvl w:val="2"/>
    </w:pPr>
    <w:rPr>
      <w:rFonts w:asciiTheme="majorHAnsi" w:eastAsiaTheme="majorEastAsia" w:hAnsiTheme="majorHAnsi" w:cstheme="majorBidi"/>
      <w:b/>
      <w:bCs/>
      <w:color w:val="999999" w:themeColor="text2" w:themeTint="66"/>
      <w:sz w:val="24"/>
    </w:rPr>
  </w:style>
  <w:style w:type="paragraph" w:styleId="Cmsor4">
    <w:name w:val="heading 4"/>
    <w:aliases w:val="ECC Heading 4"/>
    <w:basedOn w:val="Norml"/>
    <w:next w:val="Norml"/>
    <w:link w:val="Cmsor4Char"/>
    <w:unhideWhenUsed/>
    <w:qFormat/>
    <w:pPr>
      <w:keepNext/>
      <w:keepLines/>
      <w:numPr>
        <w:ilvl w:val="3"/>
        <w:numId w:val="17"/>
      </w:numPr>
      <w:outlineLvl w:val="3"/>
    </w:pPr>
    <w:rPr>
      <w:rFonts w:asciiTheme="majorHAnsi" w:eastAsiaTheme="majorEastAsia" w:hAnsiTheme="majorHAnsi" w:cstheme="majorBidi"/>
      <w:b/>
      <w:bCs/>
      <w:iCs/>
      <w:color w:val="CCCCCC" w:themeColor="text2" w:themeTint="33"/>
    </w:rPr>
  </w:style>
  <w:style w:type="paragraph" w:styleId="Cmsor5">
    <w:name w:val="heading 5"/>
    <w:basedOn w:val="Norml"/>
    <w:next w:val="Norml"/>
    <w:link w:val="Cmsor5Char"/>
    <w:unhideWhenUsed/>
    <w:qFormat/>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nhideWhenUsed/>
    <w:qFormat/>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nhideWhenUsed/>
    <w:qFormat/>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nhideWhenUsed/>
    <w:qFormat/>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nhideWhenUsed/>
    <w:qFormat/>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ECC Heading 1 Char"/>
    <w:basedOn w:val="Bekezdsalapbettpusa"/>
    <w:link w:val="Cmsor1"/>
    <w:uiPriority w:val="9"/>
    <w:rPr>
      <w:rFonts w:asciiTheme="majorHAnsi" w:eastAsiaTheme="majorEastAsia" w:hAnsiTheme="majorHAnsi" w:cstheme="majorBidi"/>
      <w:b/>
      <w:bCs/>
      <w:color w:val="000000" w:themeColor="text2" w:themeShade="BF"/>
      <w:sz w:val="32"/>
      <w:szCs w:val="28"/>
    </w:rPr>
  </w:style>
  <w:style w:type="paragraph" w:styleId="Tartalomjegyzkcmsora">
    <w:name w:val="TOC Heading"/>
    <w:basedOn w:val="Cmsor1"/>
    <w:next w:val="Norml"/>
    <w:link w:val="TartalomjegyzkcmsoraChar"/>
    <w:uiPriority w:val="39"/>
    <w:unhideWhenUsed/>
    <w:pPr>
      <w:numPr>
        <w:numId w:val="0"/>
      </w:numPr>
      <w:outlineLvl w:val="9"/>
    </w:pPr>
  </w:style>
  <w:style w:type="paragraph" w:styleId="lfej">
    <w:name w:val="header"/>
    <w:aliases w:val="encabezado,he,header odd,header odd1,header odd2,header"/>
    <w:basedOn w:val="Norml"/>
    <w:link w:val="lfejChar"/>
    <w:unhideWhenUsed/>
    <w:pPr>
      <w:tabs>
        <w:tab w:val="center" w:pos="4536"/>
        <w:tab w:val="right" w:pos="9072"/>
      </w:tabs>
      <w:spacing w:after="0" w:line="240" w:lineRule="auto"/>
    </w:pPr>
  </w:style>
  <w:style w:type="paragraph" w:styleId="Listaszerbekezds">
    <w:name w:val="List Paragraph"/>
    <w:basedOn w:val="Norml"/>
    <w:link w:val="ListaszerbekezdsChar"/>
    <w:uiPriority w:val="34"/>
    <w:qFormat/>
    <w:pPr>
      <w:ind w:left="720"/>
      <w:contextualSpacing/>
    </w:pPr>
  </w:style>
  <w:style w:type="character" w:customStyle="1" w:styleId="lfejChar">
    <w:name w:val="Élőfej Char"/>
    <w:aliases w:val="encabezado Char,he Char,header odd Char,header odd1 Char,header odd2 Char,header Char"/>
    <w:basedOn w:val="Bekezdsalapbettpusa"/>
    <w:link w:val="lfej"/>
  </w:style>
  <w:style w:type="paragraph" w:styleId="llb">
    <w:name w:val="footer"/>
    <w:basedOn w:val="Norml"/>
    <w:link w:val="llbChar"/>
    <w:uiPriority w:val="99"/>
    <w:unhideWhenUsed/>
    <w:pPr>
      <w:tabs>
        <w:tab w:val="center" w:pos="4536"/>
        <w:tab w:val="right" w:pos="9072"/>
      </w:tabs>
      <w:spacing w:after="0" w:line="240" w:lineRule="auto"/>
    </w:pPr>
  </w:style>
  <w:style w:type="character" w:customStyle="1" w:styleId="llbChar">
    <w:name w:val="Élőláb Char"/>
    <w:basedOn w:val="Bekezdsalapbettpusa"/>
    <w:link w:val="llb"/>
    <w:uiPriority w:val="99"/>
  </w:style>
  <w:style w:type="paragraph" w:customStyle="1" w:styleId="Cmnmhh">
    <w:name w:val="Cím_nmhh"/>
    <w:basedOn w:val="Cm"/>
    <w:qFormat/>
    <w:pPr>
      <w:pBdr>
        <w:bottom w:val="none" w:sz="0" w:space="0" w:color="auto"/>
      </w:pBdr>
      <w:spacing w:after="480" w:line="720" w:lineRule="exact"/>
      <w:ind w:left="890"/>
      <w:contextualSpacing w:val="0"/>
      <w:jc w:val="left"/>
    </w:pPr>
    <w:rPr>
      <w:b/>
      <w:color w:val="0556A5"/>
      <w:sz w:val="60"/>
    </w:rPr>
  </w:style>
  <w:style w:type="paragraph" w:customStyle="1" w:styleId="Osztlynmhh">
    <w:name w:val="Osztály_nmhh"/>
    <w:basedOn w:val="Norml"/>
    <w:next w:val="Norml"/>
    <w:qFormat/>
    <w:pPr>
      <w:spacing w:after="0"/>
      <w:ind w:left="890"/>
      <w:jc w:val="left"/>
    </w:pPr>
    <w:rPr>
      <w:caps/>
      <w:color w:val="43525A"/>
      <w:sz w:val="36"/>
    </w:rPr>
  </w:style>
  <w:style w:type="paragraph" w:styleId="Cm">
    <w:name w:val="Title"/>
    <w:basedOn w:val="Norml"/>
    <w:next w:val="Norml"/>
    <w:link w:val="CmChar"/>
    <w:uiPriority w:val="10"/>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CmChar">
    <w:name w:val="Cím Char"/>
    <w:basedOn w:val="Bekezdsalapbettpusa"/>
    <w:link w:val="Cm"/>
    <w:uiPriority w:val="10"/>
    <w:rPr>
      <w:rFonts w:asciiTheme="majorHAnsi" w:eastAsiaTheme="majorEastAsia" w:hAnsiTheme="majorHAnsi" w:cstheme="majorBidi"/>
      <w:color w:val="000000" w:themeColor="text2" w:themeShade="BF"/>
      <w:spacing w:val="5"/>
      <w:kern w:val="28"/>
      <w:sz w:val="52"/>
      <w:szCs w:val="52"/>
    </w:rPr>
  </w:style>
  <w:style w:type="paragraph" w:customStyle="1" w:styleId="Bortlapegybnmhh">
    <w:name w:val="Borítólap egyéb_nmhh"/>
    <w:basedOn w:val="Norml"/>
    <w:link w:val="BortlapegybnmhhChar"/>
    <w:qFormat/>
    <w:pPr>
      <w:spacing w:after="0"/>
      <w:ind w:left="890"/>
      <w:jc w:val="left"/>
    </w:pPr>
    <w:rPr>
      <w:color w:val="43525A"/>
      <w:sz w:val="30"/>
    </w:rPr>
  </w:style>
  <w:style w:type="paragraph" w:customStyle="1" w:styleId="Tartalomjegyzkcmsoranmhh">
    <w:name w:val="Tartalomjegyzék_címsora_nmhh"/>
    <w:basedOn w:val="Tartalomjegyzkcmsora"/>
    <w:link w:val="TartalomjegyzkcmsoranmhhChar"/>
    <w:qFormat/>
    <w:rPr>
      <w:color w:val="43525A"/>
      <w:sz w:val="36"/>
    </w:rPr>
  </w:style>
  <w:style w:type="character" w:customStyle="1" w:styleId="BortlapegybnmhhChar">
    <w:name w:val="Borítólap egyéb_nmhh Char"/>
    <w:basedOn w:val="Bekezdsalapbettpusa"/>
    <w:link w:val="Bortlapegybnmhh"/>
    <w:rPr>
      <w:color w:val="43525A"/>
      <w:sz w:val="30"/>
    </w:rPr>
  </w:style>
  <w:style w:type="paragraph" w:customStyle="1" w:styleId="Bekezdsnmhh">
    <w:name w:val="Bekezdés_nmhh"/>
    <w:basedOn w:val="Norml"/>
    <w:link w:val="BekezdsnmhhChar"/>
    <w:qFormat/>
    <w:rPr>
      <w:sz w:val="20"/>
      <w:szCs w:val="20"/>
    </w:rPr>
  </w:style>
  <w:style w:type="character" w:customStyle="1" w:styleId="TartalomjegyzkcmsoraChar">
    <w:name w:val="Tartalomjegyzék címsora Char"/>
    <w:basedOn w:val="Cmsor1Char"/>
    <w:link w:val="Tartalomjegyzkcmsora"/>
    <w:uiPriority w:val="39"/>
    <w:rPr>
      <w:rFonts w:asciiTheme="majorHAnsi" w:eastAsiaTheme="majorEastAsia" w:hAnsiTheme="majorHAnsi" w:cstheme="majorBidi"/>
      <w:b/>
      <w:bCs/>
      <w:color w:val="000000" w:themeColor="text2" w:themeShade="BF"/>
      <w:sz w:val="32"/>
      <w:szCs w:val="28"/>
    </w:rPr>
  </w:style>
  <w:style w:type="character" w:customStyle="1" w:styleId="TartalomjegyzkcmsoranmhhChar">
    <w:name w:val="Tartalomjegyzék_címsora_nmhh Char"/>
    <w:basedOn w:val="TartalomjegyzkcmsoraChar"/>
    <w:link w:val="Tartalomjegyzkcmsoranmhh"/>
    <w:rPr>
      <w:rFonts w:asciiTheme="majorHAnsi" w:eastAsiaTheme="majorEastAsia" w:hAnsiTheme="majorHAnsi" w:cstheme="majorBidi"/>
      <w:b/>
      <w:bCs/>
      <w:color w:val="43525A"/>
      <w:sz w:val="36"/>
      <w:szCs w:val="28"/>
    </w:rPr>
  </w:style>
  <w:style w:type="paragraph" w:customStyle="1" w:styleId="Behzottbekezdsnmhh">
    <w:name w:val="Behúzott_bekezdés_nmhh"/>
    <w:basedOn w:val="Norml"/>
    <w:link w:val="BehzottbekezdsnmhhChar"/>
    <w:qFormat/>
    <w:pPr>
      <w:ind w:firstLine="357"/>
    </w:pPr>
    <w:rPr>
      <w:sz w:val="20"/>
      <w:szCs w:val="20"/>
    </w:rPr>
  </w:style>
  <w:style w:type="character" w:customStyle="1" w:styleId="BekezdsnmhhChar">
    <w:name w:val="Bekezdés_nmhh Char"/>
    <w:basedOn w:val="Bekezdsalapbettpusa"/>
    <w:link w:val="Bekezdsnmhh"/>
    <w:rPr>
      <w:sz w:val="20"/>
      <w:szCs w:val="20"/>
    </w:rPr>
  </w:style>
  <w:style w:type="paragraph" w:customStyle="1" w:styleId="Felsorolsbekezdsnmhh">
    <w:name w:val="Felsorolás_bekezdés_nmhh"/>
    <w:basedOn w:val="Norml"/>
    <w:qFormat/>
    <w:pPr>
      <w:ind w:left="709"/>
    </w:pPr>
    <w:rPr>
      <w:color w:val="43525A"/>
      <w:sz w:val="20"/>
      <w:szCs w:val="20"/>
    </w:rPr>
  </w:style>
  <w:style w:type="character" w:customStyle="1" w:styleId="BehzottbekezdsnmhhChar">
    <w:name w:val="Behúzott_bekezdés_nmhh Char"/>
    <w:basedOn w:val="Bekezdsalapbettpusa"/>
    <w:link w:val="Behzottbekezdsnmhh"/>
    <w:rPr>
      <w:sz w:val="20"/>
      <w:szCs w:val="20"/>
    </w:rPr>
  </w:style>
  <w:style w:type="paragraph" w:customStyle="1" w:styleId="Felsorolsnmhh">
    <w:name w:val="Felsorolás_nmhh"/>
    <w:basedOn w:val="Listaszerbekezds"/>
    <w:link w:val="FelsorolsnmhhChar"/>
    <w:qFormat/>
    <w:pPr>
      <w:numPr>
        <w:numId w:val="26"/>
      </w:numPr>
      <w:ind w:left="714" w:hanging="357"/>
    </w:pPr>
    <w:rPr>
      <w:b/>
      <w:color w:val="43525A"/>
      <w:sz w:val="20"/>
      <w:szCs w:val="20"/>
    </w:rPr>
  </w:style>
  <w:style w:type="paragraph" w:customStyle="1" w:styleId="Felsorols1nmhh">
    <w:name w:val="Felsorolás1_nmhh"/>
    <w:basedOn w:val="Listaszerbekezds"/>
    <w:link w:val="Felsorols1nmhhChar"/>
    <w:qFormat/>
    <w:pPr>
      <w:numPr>
        <w:numId w:val="28"/>
      </w:numPr>
      <w:ind w:left="357" w:hanging="357"/>
      <w:contextualSpacing w:val="0"/>
    </w:pPr>
    <w:rPr>
      <w:b/>
      <w:color w:val="43525A"/>
      <w:sz w:val="20"/>
      <w:szCs w:val="20"/>
    </w:rPr>
  </w:style>
  <w:style w:type="character" w:customStyle="1" w:styleId="ListaszerbekezdsChar">
    <w:name w:val="Listaszerű bekezdés Char"/>
    <w:basedOn w:val="Bekezdsalapbettpusa"/>
    <w:link w:val="Listaszerbekezds"/>
    <w:uiPriority w:val="34"/>
  </w:style>
  <w:style w:type="character" w:customStyle="1" w:styleId="FelsorolsnmhhChar">
    <w:name w:val="Felsorolás_nmhh Char"/>
    <w:basedOn w:val="ListaszerbekezdsChar"/>
    <w:link w:val="Felsorolsnmhh"/>
    <w:rPr>
      <w:b/>
      <w:color w:val="43525A"/>
      <w:sz w:val="20"/>
      <w:szCs w:val="20"/>
    </w:rPr>
  </w:style>
  <w:style w:type="character" w:customStyle="1" w:styleId="Cmsor5Char">
    <w:name w:val="Címsor 5 Char"/>
    <w:basedOn w:val="Bekezdsalapbettpusa"/>
    <w:link w:val="Cmsor5"/>
    <w:uiPriority w:val="9"/>
    <w:semiHidden/>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rPr>
      <w:rFonts w:asciiTheme="majorHAnsi" w:eastAsiaTheme="majorEastAsia" w:hAnsiTheme="majorHAnsi" w:cstheme="majorBidi"/>
      <w:i/>
      <w:iCs/>
      <w:color w:val="404040" w:themeColor="text1" w:themeTint="BF"/>
      <w:sz w:val="20"/>
      <w:szCs w:val="20"/>
    </w:rPr>
  </w:style>
  <w:style w:type="paragraph" w:styleId="Kpalrs">
    <w:name w:val="caption"/>
    <w:basedOn w:val="Norml"/>
    <w:next w:val="Norml"/>
    <w:uiPriority w:val="35"/>
    <w:unhideWhenUsed/>
    <w:qFormat/>
    <w:pPr>
      <w:spacing w:line="240" w:lineRule="auto"/>
    </w:pPr>
    <w:rPr>
      <w:b/>
      <w:bCs/>
      <w:color w:val="4F81BD" w:themeColor="accent1"/>
      <w:sz w:val="18"/>
      <w:szCs w:val="18"/>
    </w:rPr>
  </w:style>
  <w:style w:type="paragraph" w:customStyle="1" w:styleId="Felsorols2nmhh">
    <w:name w:val="Felsorolás2_nmhh"/>
    <w:basedOn w:val="Listaszerbekezds"/>
    <w:link w:val="Felsorols2nmhhChar"/>
    <w:qFormat/>
    <w:pPr>
      <w:numPr>
        <w:numId w:val="27"/>
      </w:numPr>
      <w:ind w:left="357" w:hanging="357"/>
    </w:pPr>
    <w:rPr>
      <w:b/>
      <w:color w:val="43525A"/>
      <w:sz w:val="20"/>
      <w:szCs w:val="20"/>
    </w:rPr>
  </w:style>
  <w:style w:type="character" w:customStyle="1" w:styleId="Felsorols1nmhhChar">
    <w:name w:val="Felsorolás1_nmhh Char"/>
    <w:basedOn w:val="ListaszerbekezdsChar"/>
    <w:link w:val="Felsorols1nmhh"/>
    <w:rPr>
      <w:b/>
      <w:color w:val="43525A"/>
      <w:sz w:val="20"/>
      <w:szCs w:val="20"/>
    </w:rPr>
  </w:style>
  <w:style w:type="paragraph" w:customStyle="1" w:styleId="Lista1nmhh">
    <w:name w:val="Lista1_nmhh"/>
    <w:basedOn w:val="Listaszerbekezds"/>
    <w:link w:val="Lista1nmhhChar"/>
    <w:qFormat/>
    <w:pPr>
      <w:numPr>
        <w:numId w:val="30"/>
      </w:numPr>
      <w:spacing w:after="0"/>
      <w:ind w:left="714" w:hanging="357"/>
    </w:pPr>
    <w:rPr>
      <w:color w:val="43525A"/>
      <w:sz w:val="20"/>
      <w:szCs w:val="20"/>
    </w:rPr>
  </w:style>
  <w:style w:type="character" w:customStyle="1" w:styleId="Felsorols2nmhhChar">
    <w:name w:val="Felsorolás2_nmhh Char"/>
    <w:basedOn w:val="ListaszerbekezdsChar"/>
    <w:link w:val="Felsorols2nmhh"/>
    <w:rPr>
      <w:b/>
      <w:color w:val="43525A"/>
      <w:sz w:val="20"/>
      <w:szCs w:val="20"/>
    </w:rPr>
  </w:style>
  <w:style w:type="paragraph" w:customStyle="1" w:styleId="Lista2nmhh">
    <w:name w:val="Lista2_nmhh"/>
    <w:basedOn w:val="Listaszerbekezds"/>
    <w:link w:val="Lista2nmhhChar"/>
    <w:qFormat/>
    <w:pPr>
      <w:numPr>
        <w:numId w:val="31"/>
      </w:numPr>
      <w:spacing w:after="0"/>
    </w:pPr>
    <w:rPr>
      <w:color w:val="43525A"/>
      <w:sz w:val="20"/>
      <w:szCs w:val="20"/>
    </w:rPr>
  </w:style>
  <w:style w:type="character" w:customStyle="1" w:styleId="Lista1nmhhChar">
    <w:name w:val="Lista1_nmhh Char"/>
    <w:basedOn w:val="ListaszerbekezdsChar"/>
    <w:link w:val="Lista1nmhh"/>
    <w:rPr>
      <w:color w:val="43525A"/>
      <w:sz w:val="20"/>
      <w:szCs w:val="20"/>
    </w:rPr>
  </w:style>
  <w:style w:type="paragraph" w:customStyle="1" w:styleId="Cmsorszmozatlannmhh">
    <w:name w:val="Címsor_számozatlan_nmhh"/>
    <w:basedOn w:val="Norml"/>
    <w:next w:val="Behzottbekezdsnmhh"/>
    <w:link w:val="CmsorszmozatlannmhhChar"/>
    <w:qFormat/>
    <w:pPr>
      <w:pageBreakBefore/>
      <w:tabs>
        <w:tab w:val="left" w:pos="6564"/>
      </w:tabs>
      <w:spacing w:after="240"/>
      <w:jc w:val="left"/>
    </w:pPr>
    <w:rPr>
      <w:rFonts w:asciiTheme="majorHAnsi" w:hAnsiTheme="majorHAnsi" w:cstheme="majorHAnsi"/>
      <w:b/>
      <w:color w:val="43525A"/>
      <w:sz w:val="36"/>
      <w:szCs w:val="36"/>
    </w:rPr>
  </w:style>
  <w:style w:type="character" w:customStyle="1" w:styleId="Lista2nmhhChar">
    <w:name w:val="Lista2_nmhh Char"/>
    <w:basedOn w:val="ListaszerbekezdsChar"/>
    <w:link w:val="Lista2nmhh"/>
    <w:rPr>
      <w:color w:val="43525A"/>
      <w:sz w:val="20"/>
      <w:szCs w:val="20"/>
    </w:rPr>
  </w:style>
  <w:style w:type="paragraph" w:customStyle="1" w:styleId="Cmsor1szmozottnmhh">
    <w:name w:val="Címsor1_számozott_nmhh"/>
    <w:basedOn w:val="Listaszerbekezds"/>
    <w:next w:val="Behzottbekezdsnmhh"/>
    <w:link w:val="Cmsor1szmozottnmhhChar"/>
    <w:qFormat/>
    <w:pPr>
      <w:pageBreakBefore/>
      <w:numPr>
        <w:numId w:val="29"/>
      </w:numPr>
      <w:spacing w:after="240"/>
      <w:contextualSpacing w:val="0"/>
      <w:jc w:val="left"/>
      <w:outlineLvl w:val="0"/>
    </w:pPr>
    <w:rPr>
      <w:rFonts w:asciiTheme="majorHAnsi" w:hAnsiTheme="majorHAnsi" w:cstheme="majorHAnsi"/>
      <w:b/>
      <w:color w:val="43525A"/>
      <w:sz w:val="36"/>
      <w:szCs w:val="36"/>
    </w:rPr>
  </w:style>
  <w:style w:type="character" w:customStyle="1" w:styleId="CmsorszmozatlannmhhChar">
    <w:name w:val="Címsor_számozatlan_nmhh Char"/>
    <w:basedOn w:val="Bekezdsalapbettpusa"/>
    <w:link w:val="Cmsorszmozatlannmhh"/>
    <w:rPr>
      <w:rFonts w:asciiTheme="majorHAnsi" w:hAnsiTheme="majorHAnsi" w:cstheme="majorHAnsi"/>
      <w:b/>
      <w:color w:val="43525A"/>
      <w:sz w:val="36"/>
      <w:szCs w:val="36"/>
    </w:rPr>
  </w:style>
  <w:style w:type="paragraph" w:customStyle="1" w:styleId="Cmsor2szmozottnmhh">
    <w:name w:val="Címsor2_számozott_nmhh"/>
    <w:basedOn w:val="Listaszerbekezds"/>
    <w:next w:val="Behzottbekezdsnmhh"/>
    <w:link w:val="Cmsor2szmozottnmhhChar"/>
    <w:qFormat/>
    <w:pPr>
      <w:numPr>
        <w:ilvl w:val="1"/>
        <w:numId w:val="29"/>
      </w:numPr>
      <w:spacing w:after="240"/>
      <w:contextualSpacing w:val="0"/>
      <w:jc w:val="left"/>
      <w:outlineLvl w:val="1"/>
    </w:pPr>
    <w:rPr>
      <w:rFonts w:asciiTheme="majorHAnsi" w:hAnsiTheme="majorHAnsi" w:cstheme="majorHAnsi"/>
      <w:b/>
      <w:color w:val="43525A"/>
      <w:sz w:val="32"/>
      <w:szCs w:val="32"/>
    </w:rPr>
  </w:style>
  <w:style w:type="character" w:customStyle="1" w:styleId="Cmsor1szmozottnmhhChar">
    <w:name w:val="Címsor1_számozott_nmhh Char"/>
    <w:basedOn w:val="ListaszerbekezdsChar"/>
    <w:link w:val="Cmsor1szmozottnmhh"/>
    <w:rPr>
      <w:rFonts w:asciiTheme="majorHAnsi" w:hAnsiTheme="majorHAnsi" w:cstheme="majorHAnsi"/>
      <w:b/>
      <w:color w:val="43525A"/>
      <w:sz w:val="36"/>
      <w:szCs w:val="36"/>
    </w:rPr>
  </w:style>
  <w:style w:type="paragraph" w:customStyle="1" w:styleId="Cmsor3szmozottnmhh">
    <w:name w:val="Címsor3_számozott_nmhh"/>
    <w:basedOn w:val="Listaszerbekezds"/>
    <w:next w:val="Behzottbekezdsnmhh"/>
    <w:link w:val="Cmsor3szmozottnmhhChar"/>
    <w:qFormat/>
    <w:pPr>
      <w:numPr>
        <w:ilvl w:val="2"/>
        <w:numId w:val="29"/>
      </w:numPr>
      <w:spacing w:after="240"/>
      <w:contextualSpacing w:val="0"/>
      <w:jc w:val="left"/>
      <w:outlineLvl w:val="2"/>
    </w:pPr>
    <w:rPr>
      <w:rFonts w:asciiTheme="majorHAnsi" w:hAnsiTheme="majorHAnsi" w:cstheme="majorHAnsi"/>
      <w:b/>
      <w:color w:val="43525A"/>
      <w:sz w:val="28"/>
      <w:szCs w:val="28"/>
    </w:rPr>
  </w:style>
  <w:style w:type="character" w:customStyle="1" w:styleId="Cmsor2szmozottnmhhChar">
    <w:name w:val="Címsor2_számozott_nmhh Char"/>
    <w:basedOn w:val="ListaszerbekezdsChar"/>
    <w:link w:val="Cmsor2szmozottnmhh"/>
    <w:rPr>
      <w:rFonts w:asciiTheme="majorHAnsi" w:hAnsiTheme="majorHAnsi" w:cstheme="majorHAnsi"/>
      <w:b/>
      <w:color w:val="43525A"/>
      <w:sz w:val="32"/>
      <w:szCs w:val="32"/>
    </w:rPr>
  </w:style>
  <w:style w:type="paragraph" w:customStyle="1" w:styleId="Cmsor4szmozottnmhh">
    <w:name w:val="Címsor4_számozott_nmhh"/>
    <w:basedOn w:val="Listaszerbekezds"/>
    <w:next w:val="Behzottbekezdsnmhh"/>
    <w:link w:val="Cmsor4szmozottnmhhChar"/>
    <w:qFormat/>
    <w:pPr>
      <w:numPr>
        <w:ilvl w:val="3"/>
        <w:numId w:val="29"/>
      </w:numPr>
      <w:spacing w:after="240"/>
      <w:contextualSpacing w:val="0"/>
      <w:jc w:val="left"/>
      <w:outlineLvl w:val="3"/>
    </w:pPr>
    <w:rPr>
      <w:rFonts w:asciiTheme="majorHAnsi" w:hAnsiTheme="majorHAnsi" w:cstheme="majorHAnsi"/>
      <w:b/>
      <w:color w:val="43525A"/>
      <w:sz w:val="24"/>
      <w:szCs w:val="24"/>
    </w:rPr>
  </w:style>
  <w:style w:type="character" w:customStyle="1" w:styleId="Cmsor3szmozottnmhhChar">
    <w:name w:val="Címsor3_számozott_nmhh Char"/>
    <w:basedOn w:val="ListaszerbekezdsChar"/>
    <w:link w:val="Cmsor3szmozottnmhh"/>
    <w:rPr>
      <w:rFonts w:asciiTheme="majorHAnsi" w:hAnsiTheme="majorHAnsi" w:cstheme="majorHAnsi"/>
      <w:b/>
      <w:color w:val="43525A"/>
      <w:sz w:val="28"/>
      <w:szCs w:val="28"/>
    </w:rPr>
  </w:style>
  <w:style w:type="paragraph" w:customStyle="1" w:styleId="Irodalomjegyzkfelsorolsnmhh">
    <w:name w:val="Irodalomjegyzék_felsorolás_nmhh"/>
    <w:basedOn w:val="Bekezdsnmhh"/>
    <w:link w:val="IrodalomjegyzkfelsorolsnmhhChar"/>
    <w:qFormat/>
    <w:pPr>
      <w:numPr>
        <w:numId w:val="32"/>
      </w:numPr>
      <w:jc w:val="left"/>
    </w:pPr>
    <w:rPr>
      <w:color w:val="43525A"/>
    </w:rPr>
  </w:style>
  <w:style w:type="character" w:customStyle="1" w:styleId="Cmsor4szmozottnmhhChar">
    <w:name w:val="Címsor4_számozott_nmhh Char"/>
    <w:basedOn w:val="ListaszerbekezdsChar"/>
    <w:link w:val="Cmsor4szmozottnmhh"/>
    <w:rPr>
      <w:rFonts w:asciiTheme="majorHAnsi" w:hAnsiTheme="majorHAnsi" w:cstheme="majorHAnsi"/>
      <w:b/>
      <w:color w:val="43525A"/>
      <w:sz w:val="24"/>
      <w:szCs w:val="24"/>
    </w:rPr>
  </w:style>
  <w:style w:type="paragraph" w:styleId="TJ1">
    <w:name w:val="toc 1"/>
    <w:basedOn w:val="Norml"/>
    <w:next w:val="Norml"/>
    <w:autoRedefine/>
    <w:uiPriority w:val="39"/>
    <w:unhideWhenUsed/>
    <w:pPr>
      <w:spacing w:after="100"/>
    </w:pPr>
  </w:style>
  <w:style w:type="character" w:customStyle="1" w:styleId="IrodalomjegyzkfelsorolsnmhhChar">
    <w:name w:val="Irodalomjegyzék_felsorolás_nmhh Char"/>
    <w:basedOn w:val="BekezdsnmhhChar"/>
    <w:link w:val="Irodalomjegyzkfelsorolsnmhh"/>
    <w:rPr>
      <w:color w:val="43525A"/>
      <w:sz w:val="20"/>
      <w:szCs w:val="20"/>
    </w:rPr>
  </w:style>
  <w:style w:type="character" w:customStyle="1" w:styleId="Cmsor2Char">
    <w:name w:val="Címsor 2 Char"/>
    <w:aliases w:val="ECC Heading 2 Char"/>
    <w:basedOn w:val="Bekezdsalapbettpusa"/>
    <w:link w:val="Cmsor2"/>
    <w:uiPriority w:val="9"/>
    <w:semiHidden/>
    <w:rPr>
      <w:rFonts w:asciiTheme="majorHAnsi" w:eastAsiaTheme="majorEastAsia" w:hAnsiTheme="majorHAnsi" w:cstheme="majorBidi"/>
      <w:b/>
      <w:bCs/>
      <w:color w:val="666666" w:themeColor="text2" w:themeTint="99"/>
      <w:sz w:val="28"/>
      <w:szCs w:val="26"/>
    </w:rPr>
  </w:style>
  <w:style w:type="character" w:customStyle="1" w:styleId="Cmsor3Char">
    <w:name w:val="Címsor 3 Char"/>
    <w:aliases w:val="ECC Heading 3 Char"/>
    <w:basedOn w:val="Bekezdsalapbettpusa"/>
    <w:link w:val="Cmsor3"/>
    <w:uiPriority w:val="9"/>
    <w:semiHidden/>
    <w:rPr>
      <w:rFonts w:asciiTheme="majorHAnsi" w:eastAsiaTheme="majorEastAsia" w:hAnsiTheme="majorHAnsi" w:cstheme="majorBidi"/>
      <w:b/>
      <w:bCs/>
      <w:color w:val="999999" w:themeColor="text2" w:themeTint="66"/>
      <w:sz w:val="24"/>
    </w:rPr>
  </w:style>
  <w:style w:type="character" w:customStyle="1" w:styleId="Cmsor4Char">
    <w:name w:val="Címsor 4 Char"/>
    <w:aliases w:val="ECC Heading 4 Char"/>
    <w:basedOn w:val="Bekezdsalapbettpusa"/>
    <w:link w:val="Cmsor4"/>
    <w:uiPriority w:val="9"/>
    <w:semiHidden/>
    <w:rPr>
      <w:rFonts w:asciiTheme="majorHAnsi" w:eastAsiaTheme="majorEastAsia" w:hAnsiTheme="majorHAnsi" w:cstheme="majorBidi"/>
      <w:b/>
      <w:bCs/>
      <w:iCs/>
      <w:color w:val="CCCCCC" w:themeColor="text2" w:themeTint="33"/>
    </w:rPr>
  </w:style>
  <w:style w:type="paragraph" w:styleId="TJ2">
    <w:name w:val="toc 2"/>
    <w:basedOn w:val="Norml"/>
    <w:next w:val="Norml"/>
    <w:autoRedefine/>
    <w:uiPriority w:val="39"/>
    <w:unhideWhenUsed/>
    <w:pPr>
      <w:spacing w:after="100"/>
      <w:ind w:left="220"/>
    </w:pPr>
  </w:style>
  <w:style w:type="paragraph" w:styleId="TJ3">
    <w:name w:val="toc 3"/>
    <w:basedOn w:val="Norml"/>
    <w:next w:val="Norml"/>
    <w:autoRedefine/>
    <w:uiPriority w:val="39"/>
    <w:unhideWhenUsed/>
    <w:pPr>
      <w:spacing w:after="100"/>
      <w:ind w:left="440"/>
    </w:pPr>
  </w:style>
  <w:style w:type="paragraph" w:customStyle="1" w:styleId="BasicParagraph">
    <w:name w:val="[Basic Paragraph]"/>
    <w:basedOn w:val="Norml"/>
    <w:uiPriority w:val="99"/>
    <w:pPr>
      <w:autoSpaceDE w:val="0"/>
      <w:autoSpaceDN w:val="0"/>
      <w:adjustRightInd w:val="0"/>
      <w:spacing w:after="0" w:line="288" w:lineRule="auto"/>
      <w:jc w:val="left"/>
      <w:textAlignment w:val="center"/>
    </w:pPr>
    <w:rPr>
      <w:rFonts w:ascii="Minion Pro" w:hAnsi="Minion Pro" w:cs="Minion Pro"/>
      <w:color w:val="000000"/>
      <w:sz w:val="24"/>
      <w:szCs w:val="24"/>
      <w:lang w:val="en-GB"/>
    </w:rPr>
  </w:style>
  <w:style w:type="paragraph" w:customStyle="1" w:styleId="Style2">
    <w:name w:val="Style2"/>
    <w:basedOn w:val="Norml"/>
    <w:pPr>
      <w:spacing w:after="240" w:line="720" w:lineRule="exact"/>
      <w:jc w:val="left"/>
    </w:pPr>
    <w:rPr>
      <w:rFonts w:ascii="Arial" w:hAnsi="Arial" w:cstheme="minorBidi"/>
      <w:b/>
      <w:color w:val="911E6C"/>
      <w:sz w:val="60"/>
      <w:szCs w:val="60"/>
    </w:rPr>
  </w:style>
  <w:style w:type="paragraph" w:customStyle="1" w:styleId="Style3">
    <w:name w:val="Style3"/>
    <w:basedOn w:val="Norml"/>
    <w:pPr>
      <w:spacing w:after="160" w:line="440" w:lineRule="exact"/>
      <w:jc w:val="left"/>
    </w:pPr>
    <w:rPr>
      <w:rFonts w:ascii="Arial" w:hAnsi="Arial" w:cstheme="minorBidi"/>
      <w:color w:val="465155"/>
      <w:sz w:val="36"/>
      <w:szCs w:val="36"/>
    </w:rPr>
  </w:style>
  <w:style w:type="table" w:styleId="Rcsostblzat">
    <w:name w:val="Table Grid"/>
    <w:basedOn w:val="Normltblzat"/>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lyrzszveg">
    <w:name w:val="Placeholder Text"/>
    <w:basedOn w:val="Bekezdsalapbettpusa"/>
    <w:uiPriority w:val="99"/>
    <w:semiHidden/>
    <w:rPr>
      <w:color w:val="808080"/>
    </w:rPr>
  </w:style>
  <w:style w:type="character" w:styleId="Hiperhivatkozs">
    <w:name w:val="Hyperlink"/>
    <w:basedOn w:val="Bekezdsalapbettpusa"/>
    <w:uiPriority w:val="99"/>
    <w:unhideWhenUsed/>
    <w:rPr>
      <w:color w:val="0000FF" w:themeColor="hyperlink"/>
      <w:u w:val="single"/>
    </w:rPr>
  </w:style>
  <w:style w:type="paragraph" w:styleId="Buborkszveg">
    <w:name w:val="Balloon Text"/>
    <w:basedOn w:val="Norml"/>
    <w:link w:val="BuborkszvegChar"/>
    <w:uiPriority w:val="99"/>
    <w:semiHidden/>
    <w:unhideWhenUse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Tahoma" w:hAnsi="Tahoma" w:cs="Tahoma"/>
      <w:sz w:val="16"/>
      <w:szCs w:val="16"/>
    </w:rPr>
  </w:style>
  <w:style w:type="table" w:styleId="Tblzatrcsosvilgos">
    <w:name w:val="Grid Table Light"/>
    <w:basedOn w:val="Normltblzat"/>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bjegyzetszveg">
    <w:name w:val="footnote text"/>
    <w:aliases w:val="Char,Footnote text,Footnote Text Char Char Char Char,Footnote Text Char Char,Footnote Text Char Char Char Char Char,Footnote Text Char Char Char Char Char Char Char Char,Footnote Text Char Char Char,Footnote Text Char1,Char1 Char, Char"/>
    <w:basedOn w:val="Norml"/>
    <w:link w:val="LbjegyzetszvegChar"/>
    <w:unhideWhenUsed/>
    <w:qFormat/>
    <w:rsid w:val="007B2341"/>
    <w:pPr>
      <w:spacing w:after="0" w:line="240" w:lineRule="auto"/>
    </w:pPr>
    <w:rPr>
      <w:rFonts w:ascii="Arial" w:eastAsia="Times New Roman" w:hAnsi="Arial" w:cs="Times New Roman"/>
      <w:sz w:val="20"/>
      <w:szCs w:val="20"/>
    </w:rPr>
  </w:style>
  <w:style w:type="character" w:customStyle="1" w:styleId="LbjegyzetszvegChar">
    <w:name w:val="Lábjegyzetszöveg Char"/>
    <w:aliases w:val="Char Char,Footnote text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7B2341"/>
    <w:rPr>
      <w:rFonts w:ascii="Arial" w:eastAsia="Times New Roman" w:hAnsi="Arial" w:cs="Times New Roman"/>
      <w:sz w:val="20"/>
      <w:szCs w:val="20"/>
    </w:rPr>
  </w:style>
  <w:style w:type="character" w:styleId="Lbjegyzet-hivatkozs">
    <w:name w:val="footnote reference"/>
    <w:aliases w:val="Footnote symbol,Footnote,Nota"/>
    <w:basedOn w:val="Bekezdsalapbettpusa"/>
    <w:uiPriority w:val="99"/>
    <w:unhideWhenUsed/>
    <w:rsid w:val="007B2341"/>
    <w:rPr>
      <w:vertAlign w:val="superscript"/>
    </w:rPr>
  </w:style>
  <w:style w:type="table" w:customStyle="1" w:styleId="NormalTablePHPDOCX">
    <w:name w:val="Normal Table PHPDOCX"/>
    <w:uiPriority w:val="99"/>
    <w:semiHidden/>
    <w:unhideWhenUsed/>
    <w:qFormat/>
    <w:rsid w:val="00041388"/>
    <w:rPr>
      <w:rFonts w:cstheme="minorBidi"/>
      <w:lang w:val="en-US"/>
    </w:rPr>
    <w:tblPr>
      <w:tblInd w:w="0" w:type="dxa"/>
      <w:tblCellMar>
        <w:top w:w="0" w:type="dxa"/>
        <w:left w:w="108" w:type="dxa"/>
        <w:bottom w:w="0" w:type="dxa"/>
        <w:right w:w="108" w:type="dxa"/>
      </w:tblCellMar>
    </w:tblPr>
  </w:style>
  <w:style w:type="paragraph" w:customStyle="1" w:styleId="fnot1">
    <w:name w:val="fnot1"/>
    <w:basedOn w:val="Norml"/>
    <w:qFormat/>
    <w:rsid w:val="00F54787"/>
    <w:pPr>
      <w:spacing w:after="0" w:line="180" w:lineRule="atLeast"/>
      <w:jc w:val="left"/>
    </w:pPr>
    <w:rPr>
      <w:rFonts w:ascii="Arial" w:eastAsia="Times New Roman" w:hAnsi="Arial" w:cs="Times New Roman"/>
      <w:sz w:val="14"/>
      <w:szCs w:val="20"/>
    </w:rPr>
  </w:style>
  <w:style w:type="paragraph" w:customStyle="1" w:styleId="Hanging035">
    <w:name w:val="Hanging0_35"/>
    <w:basedOn w:val="Norml"/>
    <w:rsid w:val="00F54787"/>
    <w:pPr>
      <w:spacing w:after="0" w:line="240" w:lineRule="auto"/>
      <w:ind w:left="198" w:hanging="198"/>
      <w:jc w:val="left"/>
    </w:pPr>
    <w:rPr>
      <w:rFonts w:ascii="Arial" w:eastAsia="Times New Roman" w:hAnsi="Arial" w:cs="Times New Roman"/>
      <w:sz w:val="14"/>
      <w:szCs w:val="20"/>
      <w:lang w:eastAsia="hu-HU"/>
    </w:rPr>
  </w:style>
  <w:style w:type="character" w:styleId="Jegyzethivatkozs">
    <w:name w:val="annotation reference"/>
    <w:basedOn w:val="Bekezdsalapbettpusa"/>
    <w:uiPriority w:val="99"/>
    <w:unhideWhenUsed/>
    <w:rsid w:val="00F54787"/>
    <w:rPr>
      <w:sz w:val="16"/>
      <w:szCs w:val="16"/>
    </w:rPr>
  </w:style>
  <w:style w:type="paragraph" w:styleId="Jegyzetszveg">
    <w:name w:val="annotation text"/>
    <w:basedOn w:val="Norml"/>
    <w:link w:val="JegyzetszvegChar"/>
    <w:unhideWhenUsed/>
    <w:rsid w:val="00F54787"/>
    <w:pPr>
      <w:spacing w:line="240" w:lineRule="auto"/>
    </w:pPr>
    <w:rPr>
      <w:sz w:val="20"/>
      <w:szCs w:val="20"/>
    </w:rPr>
  </w:style>
  <w:style w:type="character" w:customStyle="1" w:styleId="JegyzetszvegChar">
    <w:name w:val="Jegyzetszöveg Char"/>
    <w:basedOn w:val="Bekezdsalapbettpusa"/>
    <w:link w:val="Jegyzetszveg"/>
    <w:rsid w:val="00F54787"/>
    <w:rPr>
      <w:sz w:val="20"/>
      <w:szCs w:val="20"/>
    </w:rPr>
  </w:style>
  <w:style w:type="paragraph" w:styleId="Megjegyzstrgya">
    <w:name w:val="annotation subject"/>
    <w:basedOn w:val="Jegyzetszveg"/>
    <w:next w:val="Jegyzetszveg"/>
    <w:link w:val="MegjegyzstrgyaChar"/>
    <w:uiPriority w:val="99"/>
    <w:semiHidden/>
    <w:unhideWhenUsed/>
    <w:rsid w:val="00C56362"/>
    <w:rPr>
      <w:b/>
      <w:bCs/>
    </w:rPr>
  </w:style>
  <w:style w:type="character" w:customStyle="1" w:styleId="MegjegyzstrgyaChar">
    <w:name w:val="Megjegyzés tárgya Char"/>
    <w:basedOn w:val="JegyzetszvegChar"/>
    <w:link w:val="Megjegyzstrgya"/>
    <w:uiPriority w:val="99"/>
    <w:semiHidden/>
    <w:rsid w:val="00C56362"/>
    <w:rPr>
      <w:b/>
      <w:bCs/>
      <w:sz w:val="20"/>
      <w:szCs w:val="20"/>
    </w:rPr>
  </w:style>
  <w:style w:type="paragraph" w:customStyle="1" w:styleId="fnot3">
    <w:name w:val="fnot3"/>
    <w:basedOn w:val="fnot1"/>
    <w:rsid w:val="007B55E4"/>
    <w:pPr>
      <w:ind w:left="2007"/>
    </w:pPr>
  </w:style>
  <w:style w:type="character" w:customStyle="1" w:styleId="fr">
    <w:name w:val="fr"/>
    <w:basedOn w:val="Bekezdsalapbettpusa"/>
    <w:rsid w:val="007B55E4"/>
    <w:rPr>
      <w:b/>
    </w:rPr>
  </w:style>
  <w:style w:type="paragraph" w:customStyle="1" w:styleId="fr1or2">
    <w:name w:val="fr1or2"/>
    <w:basedOn w:val="serv1"/>
    <w:rsid w:val="007B55E4"/>
    <w:rPr>
      <w:b/>
    </w:rPr>
  </w:style>
  <w:style w:type="paragraph" w:customStyle="1" w:styleId="frserv3">
    <w:name w:val="frserv3"/>
    <w:basedOn w:val="fnot1"/>
    <w:rsid w:val="007B55E4"/>
    <w:pPr>
      <w:tabs>
        <w:tab w:val="left" w:pos="2007"/>
      </w:tabs>
      <w:ind w:left="2121" w:hanging="2121"/>
    </w:pPr>
  </w:style>
  <w:style w:type="paragraph" w:customStyle="1" w:styleId="serv1">
    <w:name w:val="serv1"/>
    <w:basedOn w:val="fnot1"/>
    <w:rsid w:val="007B55E4"/>
    <w:pPr>
      <w:ind w:left="113" w:hanging="113"/>
    </w:pPr>
  </w:style>
  <w:style w:type="paragraph" w:customStyle="1" w:styleId="serv2">
    <w:name w:val="serv2"/>
    <w:basedOn w:val="Norml"/>
    <w:rsid w:val="007B55E4"/>
    <w:pPr>
      <w:spacing w:after="0" w:line="180" w:lineRule="atLeast"/>
      <w:ind w:left="567" w:hanging="113"/>
      <w:jc w:val="left"/>
    </w:pPr>
    <w:rPr>
      <w:rFonts w:ascii="Arial" w:eastAsia="Times New Roman" w:hAnsi="Arial" w:cs="Times New Roman"/>
      <w:sz w:val="14"/>
      <w:szCs w:val="20"/>
    </w:rPr>
  </w:style>
  <w:style w:type="paragraph" w:customStyle="1" w:styleId="serv3">
    <w:name w:val="serv3"/>
    <w:basedOn w:val="fnot3"/>
    <w:rsid w:val="007B55E4"/>
    <w:pPr>
      <w:ind w:left="2120" w:hanging="113"/>
    </w:pPr>
  </w:style>
  <w:style w:type="paragraph" w:customStyle="1" w:styleId="frthead">
    <w:name w:val="frthead"/>
    <w:basedOn w:val="fnot1"/>
    <w:rsid w:val="007B55E4"/>
    <w:pPr>
      <w:jc w:val="center"/>
    </w:pPr>
  </w:style>
  <w:style w:type="paragraph" w:styleId="Szvegtrzs">
    <w:name w:val="Body Text"/>
    <w:basedOn w:val="Norml"/>
    <w:link w:val="SzvegtrzsChar"/>
    <w:uiPriority w:val="99"/>
    <w:rsid w:val="007B55E4"/>
    <w:pPr>
      <w:spacing w:after="0" w:line="240" w:lineRule="auto"/>
    </w:pPr>
    <w:rPr>
      <w:rFonts w:ascii="Arial" w:eastAsia="Times New Roman" w:hAnsi="Arial" w:cs="Times New Roman"/>
      <w:sz w:val="24"/>
      <w:szCs w:val="20"/>
    </w:rPr>
  </w:style>
  <w:style w:type="character" w:customStyle="1" w:styleId="SzvegtrzsChar">
    <w:name w:val="Szövegtörzs Char"/>
    <w:basedOn w:val="Bekezdsalapbettpusa"/>
    <w:link w:val="Szvegtrzs"/>
    <w:uiPriority w:val="99"/>
    <w:rsid w:val="007B55E4"/>
    <w:rPr>
      <w:rFonts w:ascii="Arial" w:eastAsia="Times New Roman" w:hAnsi="Arial" w:cs="Times New Roman"/>
      <w:sz w:val="24"/>
      <w:szCs w:val="20"/>
    </w:rPr>
  </w:style>
  <w:style w:type="paragraph" w:customStyle="1" w:styleId="cf0">
    <w:name w:val="cf0"/>
    <w:basedOn w:val="Norml"/>
    <w:rsid w:val="007B55E4"/>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paragraph" w:styleId="Szvegtrzsbehzssal">
    <w:name w:val="Body Text Indent"/>
    <w:basedOn w:val="Norml"/>
    <w:link w:val="SzvegtrzsbehzssalChar"/>
    <w:rsid w:val="007B55E4"/>
    <w:pPr>
      <w:spacing w:line="240" w:lineRule="auto"/>
      <w:ind w:left="283"/>
      <w:jc w:val="left"/>
    </w:pPr>
    <w:rPr>
      <w:rFonts w:ascii="Times New Roman" w:eastAsia="Times New Roman" w:hAnsi="Times New Roman" w:cs="Times New Roman"/>
      <w:sz w:val="24"/>
      <w:szCs w:val="24"/>
      <w:lang w:val="en-US"/>
    </w:rPr>
  </w:style>
  <w:style w:type="character" w:customStyle="1" w:styleId="SzvegtrzsbehzssalChar">
    <w:name w:val="Szövegtörzs behúzással Char"/>
    <w:basedOn w:val="Bekezdsalapbettpusa"/>
    <w:link w:val="Szvegtrzsbehzssal"/>
    <w:rsid w:val="007B55E4"/>
    <w:rPr>
      <w:rFonts w:ascii="Times New Roman" w:eastAsia="Times New Roman" w:hAnsi="Times New Roman" w:cs="Times New Roman"/>
      <w:sz w:val="24"/>
      <w:szCs w:val="24"/>
      <w:lang w:val="en-US"/>
    </w:rPr>
  </w:style>
  <w:style w:type="character" w:styleId="Kiemels2">
    <w:name w:val="Strong"/>
    <w:basedOn w:val="Bekezdsalapbettpusa"/>
    <w:uiPriority w:val="22"/>
    <w:qFormat/>
    <w:rsid w:val="007B55E4"/>
    <w:rPr>
      <w:b/>
      <w:bCs/>
    </w:rPr>
  </w:style>
  <w:style w:type="character" w:customStyle="1" w:styleId="apple-converted-space">
    <w:name w:val="apple-converted-space"/>
    <w:basedOn w:val="Bekezdsalapbettpusa"/>
    <w:rsid w:val="007B55E4"/>
  </w:style>
  <w:style w:type="character" w:styleId="Mrltotthiperhivatkozs">
    <w:name w:val="FollowedHyperlink"/>
    <w:basedOn w:val="Bekezdsalapbettpusa"/>
    <w:uiPriority w:val="99"/>
    <w:semiHidden/>
    <w:unhideWhenUsed/>
    <w:rsid w:val="007B55E4"/>
    <w:rPr>
      <w:color w:val="800080" w:themeColor="followedHyperlink"/>
      <w:u w:val="single"/>
    </w:rPr>
  </w:style>
  <w:style w:type="paragraph" w:customStyle="1" w:styleId="doc-ti">
    <w:name w:val="doc-ti"/>
    <w:basedOn w:val="Norml"/>
    <w:rsid w:val="007B55E4"/>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paragraph" w:customStyle="1" w:styleId="Norml1">
    <w:name w:val="Normál1"/>
    <w:basedOn w:val="Norml"/>
    <w:rsid w:val="007B55E4"/>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paragraph" w:styleId="Szvegtrzs2">
    <w:name w:val="Body Text 2"/>
    <w:basedOn w:val="Norml"/>
    <w:link w:val="Szvegtrzs2Char"/>
    <w:uiPriority w:val="99"/>
    <w:semiHidden/>
    <w:unhideWhenUsed/>
    <w:rsid w:val="007B55E4"/>
    <w:pPr>
      <w:spacing w:line="480" w:lineRule="auto"/>
    </w:pPr>
  </w:style>
  <w:style w:type="character" w:customStyle="1" w:styleId="Szvegtrzs2Char">
    <w:name w:val="Szövegtörzs 2 Char"/>
    <w:basedOn w:val="Bekezdsalapbettpusa"/>
    <w:link w:val="Szvegtrzs2"/>
    <w:uiPriority w:val="99"/>
    <w:semiHidden/>
    <w:rsid w:val="007B55E4"/>
  </w:style>
  <w:style w:type="paragraph" w:styleId="Vltozat">
    <w:name w:val="Revision"/>
    <w:hidden/>
    <w:uiPriority w:val="99"/>
    <w:semiHidden/>
    <w:rsid w:val="007B55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3110">
      <w:bodyDiv w:val="1"/>
      <w:marLeft w:val="0"/>
      <w:marRight w:val="0"/>
      <w:marTop w:val="0"/>
      <w:marBottom w:val="0"/>
      <w:divBdr>
        <w:top w:val="none" w:sz="0" w:space="0" w:color="auto"/>
        <w:left w:val="none" w:sz="0" w:space="0" w:color="auto"/>
        <w:bottom w:val="none" w:sz="0" w:space="0" w:color="auto"/>
        <w:right w:val="none" w:sz="0" w:space="0" w:color="auto"/>
      </w:divBdr>
    </w:div>
    <w:div w:id="168714103">
      <w:bodyDiv w:val="1"/>
      <w:marLeft w:val="0"/>
      <w:marRight w:val="0"/>
      <w:marTop w:val="0"/>
      <w:marBottom w:val="0"/>
      <w:divBdr>
        <w:top w:val="none" w:sz="0" w:space="0" w:color="auto"/>
        <w:left w:val="none" w:sz="0" w:space="0" w:color="auto"/>
        <w:bottom w:val="none" w:sz="0" w:space="0" w:color="auto"/>
        <w:right w:val="none" w:sz="0" w:space="0" w:color="auto"/>
      </w:divBdr>
    </w:div>
    <w:div w:id="507644432">
      <w:bodyDiv w:val="1"/>
      <w:marLeft w:val="0"/>
      <w:marRight w:val="0"/>
      <w:marTop w:val="0"/>
      <w:marBottom w:val="0"/>
      <w:divBdr>
        <w:top w:val="none" w:sz="0" w:space="0" w:color="auto"/>
        <w:left w:val="none" w:sz="0" w:space="0" w:color="auto"/>
        <w:bottom w:val="none" w:sz="0" w:space="0" w:color="auto"/>
        <w:right w:val="none" w:sz="0" w:space="0" w:color="auto"/>
      </w:divBdr>
    </w:div>
    <w:div w:id="932275150">
      <w:bodyDiv w:val="1"/>
      <w:marLeft w:val="0"/>
      <w:marRight w:val="0"/>
      <w:marTop w:val="0"/>
      <w:marBottom w:val="0"/>
      <w:divBdr>
        <w:top w:val="none" w:sz="0" w:space="0" w:color="auto"/>
        <w:left w:val="none" w:sz="0" w:space="0" w:color="auto"/>
        <w:bottom w:val="none" w:sz="0" w:space="0" w:color="auto"/>
        <w:right w:val="none" w:sz="0" w:space="0" w:color="auto"/>
      </w:divBdr>
    </w:div>
    <w:div w:id="186548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Microsoft_Visio_2003_2010_rajz.vsd"/><Relationship Id="rId23" Type="http://schemas.openxmlformats.org/officeDocument/2006/relationships/image" Target="media/image9.emf"/><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image" Target="media/image8.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igital-strategy.ec.europa.eu/en/library/radio-spectrum-cept-mandates" TargetMode="External"/><Relationship Id="rId2" Type="http://schemas.openxmlformats.org/officeDocument/2006/relationships/hyperlink" Target="https://digital-strategy.ec.europa.eu/en/library/radio-spectrum-cept-mandates" TargetMode="External"/><Relationship Id="rId1" Type="http://schemas.openxmlformats.org/officeDocument/2006/relationships/hyperlink" Target="http://rspg-spectrum.eu/wp-content/uploads/2013/05/RPSG16-032-Opinion_5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unka\Documents\toth_laszlo\Adminisztracio\Sablonok\SGO_sablon\new_2016\NEW_SGO_sablon_20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E85A2A3E904405895CBFB5452ECE0A"/>
        <w:category>
          <w:name w:val="Általános"/>
          <w:gallery w:val="placeholder"/>
        </w:category>
        <w:types>
          <w:type w:val="bbPlcHdr"/>
        </w:types>
        <w:behaviors>
          <w:behavior w:val="content"/>
        </w:behaviors>
        <w:guid w:val="{2BD52FEA-9441-461A-932D-D1FF9081592D}"/>
      </w:docPartPr>
      <w:docPartBody>
        <w:p w:rsidR="00094F06" w:rsidRDefault="004F4D83">
          <w:pPr>
            <w:pStyle w:val="A7E85A2A3E904405895CBFB5452ECE0A"/>
          </w:pPr>
          <w:r>
            <w:t>A dokumentum címének beírásához kattintson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2040503050201020203"/>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PTSansRegular">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F06"/>
    <w:rsid w:val="00094F06"/>
    <w:rsid w:val="00252BEA"/>
    <w:rsid w:val="003224F2"/>
    <w:rsid w:val="00336D3C"/>
    <w:rsid w:val="003D00AE"/>
    <w:rsid w:val="004B5192"/>
    <w:rsid w:val="004F4D83"/>
    <w:rsid w:val="00510E6D"/>
    <w:rsid w:val="00561292"/>
    <w:rsid w:val="007678A6"/>
    <w:rsid w:val="007F6F0F"/>
    <w:rsid w:val="00956742"/>
    <w:rsid w:val="00A3703D"/>
    <w:rsid w:val="00DA1BB0"/>
    <w:rsid w:val="00DB05AC"/>
    <w:rsid w:val="00E02AFC"/>
    <w:rsid w:val="00E5687B"/>
    <w:rsid w:val="00ED11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7E85A2A3E904405895CBFB5452ECE0A">
    <w:name w:val="A7E85A2A3E904405895CBFB5452ECE0A"/>
  </w:style>
  <w:style w:type="character" w:styleId="Helyrzszveg">
    <w:name w:val="Placeholder Text"/>
    <w:basedOn w:val="Bekezdsalapbettpusa"/>
    <w:uiPriority w:val="99"/>
    <w:semiHidden/>
    <w:rPr>
      <w:color w:val="808080"/>
    </w:rPr>
  </w:style>
  <w:style w:type="paragraph" w:customStyle="1" w:styleId="30DC8A570EDC46E2A7B9493A59A3EDBF">
    <w:name w:val="30DC8A570EDC46E2A7B9493A59A3EDBF"/>
  </w:style>
  <w:style w:type="paragraph" w:customStyle="1" w:styleId="FCC917EE3B024B3F913875042D158217">
    <w:name w:val="FCC917EE3B024B3F913875042D1582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éma">
  <a:themeElements>
    <a:clrScheme name="Egyéni 1. séma">
      <a:dk1>
        <a:sysClr val="windowText" lastClr="000000"/>
      </a:dk1>
      <a:lt1>
        <a:sysClr val="window" lastClr="FFFFFF"/>
      </a:lt1>
      <a:dk2>
        <a:srgbClr val="000000"/>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MHH">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95032-C3DA-4A42-A765-9821263A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NEW_SGO_sablon_2017</Template>
  <TotalTime>3</TotalTime>
  <Pages>18</Pages>
  <Words>4873</Words>
  <Characters>33625</Characters>
  <Application>Microsoft Office Word</Application>
  <DocSecurity>0</DocSecurity>
  <Lines>280</Lines>
  <Paragraphs>76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SGO</dc:creator>
  <cp:keywords/>
  <dc:description/>
  <cp:lastModifiedBy>Szőgyényi Szilvia</cp:lastModifiedBy>
  <cp:revision>4</cp:revision>
  <dcterms:created xsi:type="dcterms:W3CDTF">2022-02-17T08:27:00Z</dcterms:created>
  <dcterms:modified xsi:type="dcterms:W3CDTF">2022-02-18T10:20:00Z</dcterms:modified>
</cp:coreProperties>
</file>