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HAnsi"/>
          <w:b w:val="0"/>
          <w:color w:val="0556A5"/>
          <w:spacing w:val="0"/>
          <w:kern w:val="0"/>
          <w:sz w:val="22"/>
          <w:szCs w:val="22"/>
        </w:rPr>
        <w:id w:val="7557074"/>
        <w:docPartObj>
          <w:docPartGallery w:val="Cover Pages"/>
          <w:docPartUnique/>
        </w:docPartObj>
      </w:sdtPr>
      <w:sdtEndPr>
        <w:rPr>
          <w:bCs/>
          <w:color w:val="auto"/>
        </w:rPr>
      </w:sdtEndPr>
      <w:sdtContent>
        <w:p w14:paraId="030D5133" w14:textId="767E8855" w:rsidR="003A0206" w:rsidRPr="00681FE6" w:rsidRDefault="004E7E24" w:rsidP="001E50C0">
          <w:pPr>
            <w:pStyle w:val="Cmnmhh"/>
            <w:jc w:val="center"/>
            <w:rPr>
              <w:color w:val="0556A5"/>
            </w:rPr>
          </w:pPr>
          <w:sdt>
            <w:sdtPr>
              <w:rPr>
                <w:color w:val="0556A5"/>
              </w:rPr>
              <w:alias w:val="Cím"/>
              <w:tag w:val="Cím"/>
              <w:id w:val="11965258"/>
            </w:sdtPr>
            <w:sdtEndPr/>
            <w:sdtContent>
              <w:sdt>
                <w:sdtPr>
                  <w:rPr>
                    <w:color w:val="0556A5"/>
                  </w:rPr>
                  <w:alias w:val="Cím"/>
                  <w:tag w:val="Cím"/>
                  <w:id w:val="27217761"/>
                </w:sdtPr>
                <w:sdtEndPr/>
                <w:sdtContent>
                  <w:r w:rsidR="001E50C0" w:rsidRPr="00681FE6">
                    <w:rPr>
                      <w:color w:val="0556A5"/>
                    </w:rPr>
                    <w:t xml:space="preserve">Sávismertető </w:t>
                  </w:r>
                  <w:r w:rsidR="001E50C0" w:rsidRPr="00681FE6">
                    <w:rPr>
                      <w:color w:val="0556A5"/>
                    </w:rPr>
                    <w:br/>
                  </w:r>
                  <w:r w:rsidR="003D4E11" w:rsidRPr="00681FE6">
                    <w:rPr>
                      <w:color w:val="0556A5"/>
                    </w:rPr>
                    <w:t>1500</w:t>
                  </w:r>
                  <w:r w:rsidR="001E50C0" w:rsidRPr="00681FE6">
                    <w:rPr>
                      <w:color w:val="0556A5"/>
                    </w:rPr>
                    <w:t xml:space="preserve"> MHz</w:t>
                  </w:r>
                  <w:r w:rsidR="003D4E11" w:rsidRPr="00681FE6">
                    <w:rPr>
                      <w:color w:val="0556A5"/>
                    </w:rPr>
                    <w:t>-es</w:t>
                  </w:r>
                  <w:r w:rsidR="001E50C0" w:rsidRPr="00681FE6">
                    <w:rPr>
                      <w:color w:val="0556A5"/>
                    </w:rPr>
                    <w:t xml:space="preserve"> </w:t>
                  </w:r>
                  <w:r w:rsidR="0055107B" w:rsidRPr="00681FE6">
                    <w:rPr>
                      <w:color w:val="0556A5"/>
                    </w:rPr>
                    <w:t>frekvencia</w:t>
                  </w:r>
                  <w:r w:rsidR="001E50C0" w:rsidRPr="00681FE6">
                    <w:rPr>
                      <w:color w:val="0556A5"/>
                    </w:rPr>
                    <w:t>sáv</w:t>
                  </w:r>
                </w:sdtContent>
              </w:sdt>
            </w:sdtContent>
          </w:sdt>
        </w:p>
        <w:p w14:paraId="30F0BD96" w14:textId="77777777" w:rsidR="003A0206" w:rsidRPr="00184A51" w:rsidRDefault="003A0206" w:rsidP="00184A51">
          <w:pPr>
            <w:pStyle w:val="Bortlapegybnmhh"/>
            <w:spacing w:before="3480"/>
            <w:rPr>
              <w:rStyle w:val="Helyrzszveg"/>
              <w:color w:val="4C5256"/>
            </w:rPr>
          </w:pPr>
          <w:r w:rsidRPr="00C57915">
            <w:rPr>
              <w:rStyle w:val="Helyrzszveg"/>
              <w:noProof/>
              <w:color w:val="4C5256"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435D35FC" wp14:editId="69ECD8B0">
                <wp:simplePos x="0" y="0"/>
                <wp:positionH relativeFrom="page">
                  <wp:posOffset>7175</wp:posOffset>
                </wp:positionH>
                <wp:positionV relativeFrom="page">
                  <wp:posOffset>10082151</wp:posOffset>
                </wp:positionV>
                <wp:extent cx="7545531" cy="534389"/>
                <wp:effectExtent l="19050" t="0" r="0" b="0"/>
                <wp:wrapNone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mhh_levelpapir_foo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9515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EA5F5D8" w14:textId="2446D4D1" w:rsidR="003A0206" w:rsidRPr="00184A51" w:rsidRDefault="004E7E24" w:rsidP="00900279">
          <w:pPr>
            <w:pStyle w:val="Bortlapegybnmhh"/>
            <w:spacing w:before="240"/>
            <w:jc w:val="center"/>
          </w:pPr>
          <w:sdt>
            <w:sdtPr>
              <w:rPr>
                <w:rStyle w:val="BortlapegybnmhhChar"/>
              </w:rPr>
              <w:alias w:val="Dátum"/>
              <w:tag w:val="Dátum"/>
              <w:id w:val="11965270"/>
              <w:date w:fullDate="2022-02-07T00:00:00Z">
                <w:dateFormat w:val="yyyy. MMMM d."/>
                <w:lid w:val="hu-HU"/>
                <w:storeMappedDataAs w:val="dateTime"/>
                <w:calendar w:val="gregorian"/>
              </w:date>
            </w:sdtPr>
            <w:sdtEndPr>
              <w:rPr>
                <w:rStyle w:val="Bekezdsalapbettpusa"/>
              </w:rPr>
            </w:sdtEndPr>
            <w:sdtContent>
              <w:r w:rsidR="00E1672D">
                <w:rPr>
                  <w:rStyle w:val="BortlapegybnmhhChar"/>
                </w:rPr>
                <w:t xml:space="preserve">2022. </w:t>
              </w:r>
              <w:r w:rsidR="009F7F60">
                <w:rPr>
                  <w:rStyle w:val="BortlapegybnmhhChar"/>
                </w:rPr>
                <w:t>február</w:t>
              </w:r>
              <w:r w:rsidR="00E1672D">
                <w:rPr>
                  <w:rStyle w:val="BortlapegybnmhhChar"/>
                </w:rPr>
                <w:t xml:space="preserve"> </w:t>
              </w:r>
              <w:r w:rsidR="00DD306C">
                <w:rPr>
                  <w:rStyle w:val="BortlapegybnmhhChar"/>
                </w:rPr>
                <w:t>7</w:t>
              </w:r>
              <w:r w:rsidR="00E1672D">
                <w:rPr>
                  <w:rStyle w:val="BortlapegybnmhhChar"/>
                </w:rPr>
                <w:t>.</w:t>
              </w:r>
            </w:sdtContent>
          </w:sdt>
        </w:p>
        <w:p w14:paraId="5FD51B7C" w14:textId="77777777" w:rsidR="003A0206" w:rsidRDefault="003A0206">
          <w:pPr>
            <w:spacing w:after="200"/>
            <w:jc w:val="left"/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28749728"/>
        <w:docPartObj>
          <w:docPartGallery w:val="Table of Contents"/>
          <w:docPartUnique/>
        </w:docPartObj>
      </w:sdtPr>
      <w:sdtEndPr/>
      <w:sdtContent>
        <w:p w14:paraId="0D8C50D9" w14:textId="77777777" w:rsidR="00DA31F6" w:rsidRDefault="00DA31F6" w:rsidP="00DA31F6">
          <w:pPr>
            <w:pStyle w:val="Tartalomjegyzkcmsoranmhh"/>
          </w:pPr>
          <w:r>
            <w:t>Tartalomjegyzék</w:t>
          </w:r>
        </w:p>
        <w:p w14:paraId="3978A4D9" w14:textId="7E7A1D7A" w:rsidR="002D1F7F" w:rsidRDefault="00DB678B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r>
            <w:fldChar w:fldCharType="begin"/>
          </w:r>
          <w:r w:rsidR="00DA31F6"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2D1F7F" w:rsidRPr="00E53F28">
            <w:rPr>
              <w:rStyle w:val="Hiperhivatkozs"/>
              <w:noProof/>
            </w:rPr>
            <w:fldChar w:fldCharType="begin"/>
          </w:r>
          <w:r w:rsidR="002D1F7F" w:rsidRPr="00E53F28">
            <w:rPr>
              <w:rStyle w:val="Hiperhivatkozs"/>
              <w:noProof/>
            </w:rPr>
            <w:instrText xml:space="preserve"> </w:instrText>
          </w:r>
          <w:r w:rsidR="002D1F7F">
            <w:rPr>
              <w:noProof/>
            </w:rPr>
            <w:instrText>HYPERLINK \l "_Toc96075648"</w:instrText>
          </w:r>
          <w:r w:rsidR="002D1F7F" w:rsidRPr="00E53F28">
            <w:rPr>
              <w:rStyle w:val="Hiperhivatkozs"/>
              <w:noProof/>
            </w:rPr>
            <w:instrText xml:space="preserve"> </w:instrText>
          </w:r>
          <w:r w:rsidR="002D1F7F" w:rsidRPr="00E53F28">
            <w:rPr>
              <w:rStyle w:val="Hiperhivatkozs"/>
              <w:noProof/>
            </w:rPr>
          </w:r>
          <w:r w:rsidR="002D1F7F" w:rsidRPr="00E53F28">
            <w:rPr>
              <w:rStyle w:val="Hiperhivatkozs"/>
              <w:noProof/>
            </w:rPr>
            <w:fldChar w:fldCharType="separate"/>
          </w:r>
          <w:r w:rsidR="002D1F7F" w:rsidRPr="00E53F28">
            <w:rPr>
              <w:rStyle w:val="Hiperhivatkozs"/>
              <w:noProof/>
            </w:rPr>
            <w:t>1.</w:t>
          </w:r>
          <w:r w:rsidR="002D1F7F">
            <w:rPr>
              <w:rFonts w:eastAsiaTheme="minorEastAsia" w:cstheme="minorBidi"/>
              <w:noProof/>
              <w:lang w:eastAsia="hu-HU"/>
            </w:rPr>
            <w:tab/>
          </w:r>
          <w:r w:rsidR="002D1F7F" w:rsidRPr="00E53F28">
            <w:rPr>
              <w:rStyle w:val="Hiperhivatkozs"/>
              <w:noProof/>
            </w:rPr>
            <w:t>Összefoglaló</w:t>
          </w:r>
          <w:r w:rsidR="002D1F7F">
            <w:rPr>
              <w:noProof/>
              <w:webHidden/>
            </w:rPr>
            <w:tab/>
          </w:r>
          <w:r w:rsidR="002D1F7F">
            <w:rPr>
              <w:noProof/>
              <w:webHidden/>
            </w:rPr>
            <w:fldChar w:fldCharType="begin"/>
          </w:r>
          <w:r w:rsidR="002D1F7F">
            <w:rPr>
              <w:noProof/>
              <w:webHidden/>
            </w:rPr>
            <w:instrText xml:space="preserve"> PAGEREF _Toc96075648 \h </w:instrText>
          </w:r>
          <w:r w:rsidR="002D1F7F">
            <w:rPr>
              <w:noProof/>
              <w:webHidden/>
            </w:rPr>
          </w:r>
          <w:r w:rsidR="002D1F7F">
            <w:rPr>
              <w:noProof/>
              <w:webHidden/>
            </w:rPr>
            <w:fldChar w:fldCharType="separate"/>
          </w:r>
          <w:r w:rsidR="002D1F7F">
            <w:rPr>
              <w:noProof/>
              <w:webHidden/>
            </w:rPr>
            <w:t>3</w:t>
          </w:r>
          <w:r w:rsidR="002D1F7F">
            <w:rPr>
              <w:noProof/>
              <w:webHidden/>
            </w:rPr>
            <w:fldChar w:fldCharType="end"/>
          </w:r>
          <w:r w:rsidR="002D1F7F" w:rsidRPr="00E53F28">
            <w:rPr>
              <w:rStyle w:val="Hiperhivatkozs"/>
              <w:noProof/>
            </w:rPr>
            <w:fldChar w:fldCharType="end"/>
          </w:r>
        </w:p>
        <w:p w14:paraId="6458D8AB" w14:textId="2BF17763" w:rsidR="002D1F7F" w:rsidRDefault="002D1F7F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49" w:history="1">
            <w:r w:rsidRPr="00E53F28">
              <w:rPr>
                <w:rStyle w:val="Hiperhivatkozs"/>
                <w:noProof/>
              </w:rPr>
              <w:t>2.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Bevezetés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D0F08" w14:textId="3C31812B" w:rsidR="002D1F7F" w:rsidRDefault="002D1F7F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0" w:history="1">
            <w:r w:rsidRPr="00E53F28">
              <w:rPr>
                <w:rStyle w:val="Hiperhivatkozs"/>
                <w:noProof/>
              </w:rPr>
              <w:t>3.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Az 1500 MHz-es frekvenciasáv használati szabályai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689DC" w14:textId="4A27F471" w:rsidR="002D1F7F" w:rsidRDefault="002D1F7F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1" w:history="1">
            <w:r w:rsidRPr="00E53F28">
              <w:rPr>
                <w:rStyle w:val="Hiperhivatkozs"/>
                <w:noProof/>
              </w:rPr>
              <w:t>3.1.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Nemzetközi szabályozás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3A299" w14:textId="23AAED19" w:rsidR="002D1F7F" w:rsidRDefault="002D1F7F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2" w:history="1">
            <w:r w:rsidRPr="00E53F28">
              <w:rPr>
                <w:rStyle w:val="Hiperhivatkozs"/>
                <w:noProof/>
              </w:rPr>
              <w:t>3.1.1.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ITU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1B415" w14:textId="4D69C907" w:rsidR="002D1F7F" w:rsidRDefault="002D1F7F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3" w:history="1">
            <w:r w:rsidRPr="00E53F28">
              <w:rPr>
                <w:rStyle w:val="Hiperhivatkozs"/>
                <w:noProof/>
              </w:rPr>
              <w:t>3.1.2.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CEPT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63DB5" w14:textId="72A39B20" w:rsidR="002D1F7F" w:rsidRDefault="002D1F7F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4" w:history="1">
            <w:r w:rsidRPr="00E53F28">
              <w:rPr>
                <w:rStyle w:val="Hiperhivatkozs"/>
                <w:noProof/>
              </w:rPr>
              <w:t>3.1.3.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A0573" w14:textId="583EEAEC" w:rsidR="002D1F7F" w:rsidRDefault="002D1F7F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5" w:history="1">
            <w:r w:rsidRPr="00E53F28">
              <w:rPr>
                <w:rStyle w:val="Hiperhivatkozs"/>
                <w:noProof/>
              </w:rPr>
              <w:t>3.2.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Nemzeti szabályozás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FC533" w14:textId="7C4D2643" w:rsidR="002D1F7F" w:rsidRDefault="002D1F7F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6" w:history="1">
            <w:r w:rsidRPr="00E53F28">
              <w:rPr>
                <w:rStyle w:val="Hiperhivatkozs"/>
                <w:noProof/>
              </w:rPr>
              <w:t>4.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Tényleges hazai használat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D06C0" w14:textId="0BCAE6F7" w:rsidR="002D1F7F" w:rsidRDefault="002D1F7F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7" w:history="1">
            <w:r w:rsidRPr="00E53F28">
              <w:rPr>
                <w:rStyle w:val="Hiperhivatkozs"/>
                <w:noProof/>
              </w:rPr>
              <w:t>5.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Hazai szabályozási tervek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8C9B2" w14:textId="11D3D50F" w:rsidR="002D1F7F" w:rsidRDefault="002D1F7F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8" w:history="1">
            <w:r w:rsidRPr="00E53F28">
              <w:rPr>
                <w:rStyle w:val="Hiperhivatkozs"/>
                <w:noProof/>
              </w:rPr>
              <w:t>6.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Határövezeti frekvenciafelhasználás és nemzetközi koordináció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E7240" w14:textId="1BB29CE2" w:rsidR="002D1F7F" w:rsidRDefault="002D1F7F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96075659" w:history="1">
            <w:r w:rsidRPr="00E53F28">
              <w:rPr>
                <w:rStyle w:val="Hiperhivatkozs"/>
                <w:noProof/>
              </w:rPr>
              <w:t>7.</w:t>
            </w:r>
            <w:r>
              <w:rPr>
                <w:rFonts w:eastAsiaTheme="minorEastAsia" w:cstheme="minorBidi"/>
                <w:noProof/>
                <w:lang w:eastAsia="hu-HU"/>
              </w:rPr>
              <w:tab/>
            </w:r>
            <w:r w:rsidRPr="00E53F28">
              <w:rPr>
                <w:rStyle w:val="Hiperhivatkozs"/>
                <w:noProof/>
              </w:rPr>
              <w:t>Rádióspektrumdíjak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_Toc96075659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507E2" w14:textId="0D2E04BE" w:rsidR="00657919" w:rsidRDefault="00DB678B">
          <w:r>
            <w:fldChar w:fldCharType="end"/>
          </w:r>
        </w:p>
      </w:sdtContent>
    </w:sdt>
    <w:p w14:paraId="71604B10" w14:textId="77777777" w:rsidR="00657919" w:rsidRPr="00657919" w:rsidRDefault="00657919" w:rsidP="00657919"/>
    <w:p w14:paraId="56F135B4" w14:textId="4439A1E7" w:rsidR="00657919" w:rsidRDefault="00657919" w:rsidP="00657919"/>
    <w:p w14:paraId="720506E3" w14:textId="475C38F4" w:rsidR="00DA31F6" w:rsidRPr="00657919" w:rsidRDefault="00657919" w:rsidP="00657919">
      <w:pPr>
        <w:tabs>
          <w:tab w:val="left" w:pos="5300"/>
        </w:tabs>
      </w:pPr>
      <w:r>
        <w:tab/>
      </w:r>
    </w:p>
    <w:p w14:paraId="316C2A97" w14:textId="77777777" w:rsidR="001E50C0" w:rsidRDefault="003D4E11" w:rsidP="001E50C0">
      <w:pPr>
        <w:pStyle w:val="Cmsor1szmozottnmhh"/>
        <w:ind w:left="431" w:hanging="431"/>
      </w:pPr>
      <w:bookmarkStart w:id="1" w:name="_Toc473880713"/>
      <w:bookmarkStart w:id="2" w:name="_Toc451860698"/>
      <w:bookmarkStart w:id="3" w:name="_Toc96075648"/>
      <w:r>
        <w:lastRenderedPageBreak/>
        <w:t>Ö</w:t>
      </w:r>
      <w:r w:rsidR="001E50C0">
        <w:t>sszefoglaló</w:t>
      </w:r>
      <w:bookmarkEnd w:id="3"/>
    </w:p>
    <w:p w14:paraId="25C1EE14" w14:textId="77DC8F72" w:rsidR="00B05643" w:rsidRDefault="008B7B27" w:rsidP="00B05643">
      <w:pPr>
        <w:pStyle w:val="Behzottbekezdsnmhh"/>
        <w:spacing w:before="120"/>
      </w:pPr>
      <w:r>
        <w:t xml:space="preserve">Az 1427-1518 MHz </w:t>
      </w:r>
      <w:r w:rsidR="00657AD5">
        <w:t>frekvencia</w:t>
      </w:r>
      <w:r>
        <w:t>sáv</w:t>
      </w:r>
      <w:r w:rsidR="005F6697">
        <w:t xml:space="preserve"> (a továbbiakban</w:t>
      </w:r>
      <w:r w:rsidR="00994AF6">
        <w:t>:</w:t>
      </w:r>
      <w:r w:rsidR="005F6697">
        <w:t xml:space="preserve"> 1500 MHz-es </w:t>
      </w:r>
      <w:r w:rsidR="0055107B">
        <w:t>frekvencia</w:t>
      </w:r>
      <w:r w:rsidR="005F6697">
        <w:t>sáv)</w:t>
      </w:r>
      <w:r w:rsidR="00657AD5">
        <w:t xml:space="preserve"> </w:t>
      </w:r>
      <w:r w:rsidR="004845A0">
        <w:t>vezetéknélküli szélessávú hírközlési szolgálatok nyújtására alkalmas mozgó és állandóhelyű hírközlési hálózatok (a továbbiakban: MFCN</w:t>
      </w:r>
      <w:r w:rsidR="004845A0">
        <w:rPr>
          <w:rStyle w:val="Lbjegyzet-hivatkozs"/>
        </w:rPr>
        <w:footnoteReference w:id="1"/>
      </w:r>
      <w:r w:rsidR="004845A0">
        <w:t>)</w:t>
      </w:r>
      <w:r>
        <w:t xml:space="preserve"> számára</w:t>
      </w:r>
      <w:r w:rsidR="00657AD5">
        <w:t xml:space="preserve"> harmonizált</w:t>
      </w:r>
      <w:r w:rsidR="00675894" w:rsidRPr="00675894">
        <w:t xml:space="preserve"> </w:t>
      </w:r>
      <w:r w:rsidR="00994AF6">
        <w:t>az E</w:t>
      </w:r>
      <w:r w:rsidR="00675894">
        <w:t xml:space="preserve">urópai </w:t>
      </w:r>
      <w:r w:rsidR="00994AF6">
        <w:t>U</w:t>
      </w:r>
      <w:r w:rsidR="00675894">
        <w:t>nióban</w:t>
      </w:r>
      <w:r w:rsidR="00657AD5">
        <w:t xml:space="preserve">. A vonatkozó uniós szabályozás elfogadása két lépésben történt. Első </w:t>
      </w:r>
      <w:proofErr w:type="gramStart"/>
      <w:r w:rsidR="00657AD5">
        <w:t>lépésben</w:t>
      </w:r>
      <w:proofErr w:type="gramEnd"/>
      <w:r w:rsidR="00657AD5">
        <w:t xml:space="preserve"> </w:t>
      </w:r>
      <w:r w:rsidR="004845A0">
        <w:t>a</w:t>
      </w:r>
      <w:r w:rsidR="003D4E11">
        <w:t>z európai országokban</w:t>
      </w:r>
      <w:r w:rsidR="004845A0">
        <w:t xml:space="preserve"> korábban </w:t>
      </w:r>
      <w:r w:rsidR="00657AD5">
        <w:t xml:space="preserve">digitális hangműsorszórásra </w:t>
      </w:r>
      <w:r w:rsidR="004845A0">
        <w:t>tervezett</w:t>
      </w:r>
      <w:r w:rsidR="003D4E11">
        <w:t xml:space="preserve"> 1452–1492 MHz </w:t>
      </w:r>
      <w:r w:rsidR="0055107B" w:rsidRPr="0055107B">
        <w:t>frekvencia</w:t>
      </w:r>
      <w:r w:rsidR="003D4E11">
        <w:t>sáv</w:t>
      </w:r>
      <w:r w:rsidR="004845A0">
        <w:t xml:space="preserve"> MFCN célú használ</w:t>
      </w:r>
      <w:r w:rsidR="00B003B7">
        <w:t>atá</w:t>
      </w:r>
      <w:r w:rsidR="004845A0">
        <w:t xml:space="preserve">ról született </w:t>
      </w:r>
      <w:r w:rsidR="00B0352B">
        <w:t>bizottsági végrehajtási határozat</w:t>
      </w:r>
      <w:r w:rsidR="004845A0">
        <w:t xml:space="preserve">, majd </w:t>
      </w:r>
      <w:r w:rsidR="005F6697">
        <w:t xml:space="preserve">a szomszédos 1427-1452 MHz és 1492-1518 MHz </w:t>
      </w:r>
      <w:r w:rsidR="0055107B">
        <w:t>frekvencia</w:t>
      </w:r>
      <w:r w:rsidR="005F6697">
        <w:t>sávok</w:t>
      </w:r>
      <w:r w:rsidR="00B65EC4">
        <w:t>ra</w:t>
      </w:r>
      <w:r w:rsidR="00EF0B3A">
        <w:t xml:space="preserve"> kiterjesztett</w:t>
      </w:r>
      <w:r w:rsidR="005F6697">
        <w:t xml:space="preserve"> módosító határozat is elfogadásra került. </w:t>
      </w:r>
      <w:r w:rsidR="003C6474">
        <w:t xml:space="preserve">A tagállamok vagy a teljes harmonizált frekvenciasávot, vagy annak egy részét kell, hogy MFCN célokra elérhetővé tegyék. Az, hogy </w:t>
      </w:r>
      <w:r w:rsidR="00994AF6">
        <w:t>az 1500 MHz-es frekvenciasávnak</w:t>
      </w:r>
      <w:r w:rsidR="00994AF6" w:rsidDel="00994AF6">
        <w:t xml:space="preserve"> </w:t>
      </w:r>
      <w:r w:rsidR="003C6474">
        <w:t>mekkora részét teszik a tagállamok elérhetővé, nagyban függ a meglevő használattól és a piaci igényektől.</w:t>
      </w:r>
      <w:r w:rsidR="005F6697">
        <w:t xml:space="preserve"> </w:t>
      </w:r>
      <w:r w:rsidR="00B05643">
        <w:t>A Nemzeti Média és Hírközlési Hatóság</w:t>
      </w:r>
      <w:r w:rsidR="00385D95">
        <w:t xml:space="preserve"> (a továbbiakban: NMHH)</w:t>
      </w:r>
      <w:r w:rsidR="00B05643">
        <w:t xml:space="preserve"> már 2017-ben és 2019-ben megrendezett nyilvános meghallgatásán is napirendre tűzte az 1500 MHz-es frekvenciasáv kérdését. Mindkét nyilvános meghallgatás ugyanazzal az eredménnyel zárult. Konkrét piaci igény nem jelentkezett és az NMHH előkészítő dokumentumokban megfogalmazott gondolatait igazolták a vélemények. </w:t>
      </w:r>
    </w:p>
    <w:p w14:paraId="1DAAB342" w14:textId="22EB04C8" w:rsidR="003D4E11" w:rsidRDefault="00B05643" w:rsidP="00B05643">
      <w:pPr>
        <w:pStyle w:val="Behzottbekezdsnmhh"/>
        <w:spacing w:before="120"/>
      </w:pPr>
      <w:r>
        <w:t>A nyilvános meghallgatással az NMHH célja a piaci igények felmérése.</w:t>
      </w:r>
    </w:p>
    <w:p w14:paraId="38AB9AA2" w14:textId="63926DBE" w:rsidR="003D4E11" w:rsidRDefault="003D4E11" w:rsidP="00B85A3A">
      <w:pPr>
        <w:pStyle w:val="Behzottbekezdsnmhh"/>
        <w:spacing w:before="120"/>
      </w:pPr>
      <w:r>
        <w:t xml:space="preserve">Az </w:t>
      </w:r>
      <w:r w:rsidR="005F6697">
        <w:t xml:space="preserve">uniós szabályozásnak megfelelően a teljes 1427-1518 MHz frekvenciasáv (az </w:t>
      </w:r>
      <w:r>
        <w:t>1452-1492 MHz</w:t>
      </w:r>
      <w:r w:rsidR="005F6697">
        <w:t>,</w:t>
      </w:r>
      <w:r>
        <w:t xml:space="preserve"> </w:t>
      </w:r>
      <w:r w:rsidR="00C4139F">
        <w:t>valamint a</w:t>
      </w:r>
      <w:r w:rsidR="005F6697">
        <w:t xml:space="preserve"> később harmonizált</w:t>
      </w:r>
      <w:r w:rsidR="00C4139F">
        <w:t xml:space="preserve"> 1427-1452 MHz és 1492-1518 MHz </w:t>
      </w:r>
      <w:r>
        <w:t>frekvenciasáv</w:t>
      </w:r>
      <w:r w:rsidR="005F6697">
        <w:t>ok is)</w:t>
      </w:r>
      <w:r w:rsidR="00B26052">
        <w:t xml:space="preserve"> </w:t>
      </w:r>
      <w:r>
        <w:t>kizárólag a kiegészítő lemenő irányú összeköttetések (supplemental downlink, a továbbiakban:</w:t>
      </w:r>
      <w:r w:rsidR="00775834">
        <w:t xml:space="preserve"> </w:t>
      </w:r>
      <w:r>
        <w:t>SDL) biztosítására</w:t>
      </w:r>
      <w:r w:rsidR="005F6697">
        <w:t xml:space="preserve"> használhatók</w:t>
      </w:r>
      <w:r>
        <w:t xml:space="preserve">. </w:t>
      </w:r>
    </w:p>
    <w:p w14:paraId="2A580069" w14:textId="458045E3" w:rsidR="001C7538" w:rsidRPr="001C7538" w:rsidRDefault="00F25C2C" w:rsidP="001C7538">
      <w:pPr>
        <w:pStyle w:val="Behzottbekezdsnmhh"/>
      </w:pPr>
      <w:r>
        <w:t>A</w:t>
      </w:r>
      <w:r w:rsidRPr="00F25C2C">
        <w:t xml:space="preserve"> jelenlegi hazai használ</w:t>
      </w:r>
      <w:r w:rsidR="00991B94">
        <w:t>at</w:t>
      </w:r>
      <w:r>
        <w:t xml:space="preserve"> és a vonatkozó nem</w:t>
      </w:r>
      <w:r w:rsidR="00900279">
        <w:t>zet</w:t>
      </w:r>
      <w:r>
        <w:t xml:space="preserve">közi előírások </w:t>
      </w:r>
      <w:r w:rsidR="00680324">
        <w:t xml:space="preserve">figyelembevételével </w:t>
      </w:r>
      <w:r>
        <w:t>a</w:t>
      </w:r>
      <w:r w:rsidR="00E46E8B">
        <w:t xml:space="preserve"> nemzeti frekvenciafelosztásról, valamint a frekvenciasávok felhasználási szabályairól szóló 7/2015. (XI. 13.) NMHH rendeletben (a továbbiakban: NFFF)</w:t>
      </w:r>
      <w:r>
        <w:t xml:space="preserve"> </w:t>
      </w:r>
      <w:r w:rsidRPr="00F25C2C">
        <w:t xml:space="preserve">az 1427-1492 MHz </w:t>
      </w:r>
      <w:r w:rsidR="0055107B" w:rsidRPr="0055107B">
        <w:t>frekvencia</w:t>
      </w:r>
      <w:r w:rsidRPr="00F25C2C">
        <w:t xml:space="preserve">sávrész </w:t>
      </w:r>
      <w:r w:rsidR="00E92E3F" w:rsidRPr="00F25C2C">
        <w:t>kijelölt</w:t>
      </w:r>
      <w:r w:rsidR="00680324">
        <w:t xml:space="preserve"> </w:t>
      </w:r>
      <w:r w:rsidR="00680324" w:rsidRPr="00F25C2C">
        <w:t>MFCN célra</w:t>
      </w:r>
      <w:r w:rsidR="00B65EC4">
        <w:t xml:space="preserve">, az 1492-1525 MHz </w:t>
      </w:r>
      <w:r w:rsidR="0055107B" w:rsidRPr="0055107B">
        <w:t>frekvencia</w:t>
      </w:r>
      <w:r w:rsidR="00B65EC4">
        <w:t xml:space="preserve">sávrész </w:t>
      </w:r>
      <w:r w:rsidR="008A332C" w:rsidRPr="008A332C">
        <w:t>nem</w:t>
      </w:r>
      <w:r w:rsidR="008A332C">
        <w:t xml:space="preserve"> </w:t>
      </w:r>
      <w:r w:rsidR="008A332C" w:rsidRPr="008A332C">
        <w:t>polgári</w:t>
      </w:r>
      <w:r w:rsidR="008A332C">
        <w:t xml:space="preserve"> célú</w:t>
      </w:r>
      <w:r w:rsidR="00B65EC4">
        <w:t xml:space="preserve"> használatra kijelölt</w:t>
      </w:r>
      <w:r w:rsidR="008A0BF6">
        <w:t>, amelyből a felső 7 MHz részsávot az uniós határozat nem érintett</w:t>
      </w:r>
      <w:r>
        <w:t>.</w:t>
      </w:r>
      <w:r w:rsidR="001C7538">
        <w:t xml:space="preserve"> </w:t>
      </w:r>
      <w:r w:rsidR="00680324">
        <w:t xml:space="preserve">Az európai szabályozás alapján az 1500 MHz-es </w:t>
      </w:r>
      <w:r w:rsidR="0055107B" w:rsidRPr="0055107B">
        <w:t>frekvencia</w:t>
      </w:r>
      <w:r w:rsidR="00680324">
        <w:t xml:space="preserve">sávban elérhető 90 MHz-es spektrumból, Magyarországon legfeljebb 65 MHz spektrum </w:t>
      </w:r>
      <w:r w:rsidR="00991B94">
        <w:t xml:space="preserve">osztható el </w:t>
      </w:r>
      <w:r w:rsidR="00680324">
        <w:t>MFCN SDL számára.</w:t>
      </w:r>
      <w:r w:rsidR="00680324" w:rsidRPr="00680324">
        <w:t xml:space="preserve"> </w:t>
      </w:r>
      <w:r w:rsidR="00680324">
        <w:t xml:space="preserve">A </w:t>
      </w:r>
      <w:r w:rsidR="0055107B" w:rsidRPr="0055107B">
        <w:t>frekvencia</w:t>
      </w:r>
      <w:r w:rsidR="00680324">
        <w:t>sáv használatba vétele iránti p</w:t>
      </w:r>
      <w:r w:rsidR="00680324" w:rsidRPr="001C7538">
        <w:t xml:space="preserve">iaci </w:t>
      </w:r>
      <w:r w:rsidR="001C7538" w:rsidRPr="001C7538">
        <w:t xml:space="preserve">igény esetén az 1427-1492 MHz </w:t>
      </w:r>
      <w:r w:rsidR="0055107B" w:rsidRPr="0055107B">
        <w:t>frekvencia</w:t>
      </w:r>
      <w:r w:rsidR="001C7538" w:rsidRPr="001C7538">
        <w:t>sáv</w:t>
      </w:r>
      <w:r w:rsidR="00675894">
        <w:t xml:space="preserve">ra </w:t>
      </w:r>
      <w:r w:rsidR="006779B9">
        <w:t xml:space="preserve">a </w:t>
      </w:r>
      <w:r w:rsidR="00675894">
        <w:t>rádióspektrum-használati jogosultság</w:t>
      </w:r>
      <w:r w:rsidR="001C7538" w:rsidRPr="001C7538">
        <w:t xml:space="preserve"> </w:t>
      </w:r>
      <w:r w:rsidR="001C7538">
        <w:t xml:space="preserve">versenyeztetési eljárás keretében </w:t>
      </w:r>
      <w:r w:rsidR="00991B94">
        <w:t>osztható el</w:t>
      </w:r>
      <w:r w:rsidR="00675894" w:rsidRPr="001C7538">
        <w:t xml:space="preserve"> </w:t>
      </w:r>
      <w:r w:rsidR="001C7538" w:rsidRPr="001C7538">
        <w:t>MFCN SDL célú szolgáltatások nyújtására.</w:t>
      </w:r>
    </w:p>
    <w:p w14:paraId="66B9F986" w14:textId="77777777" w:rsidR="00410AC8" w:rsidRDefault="00410AC8" w:rsidP="00410AC8">
      <w:pPr>
        <w:pStyle w:val="Behzottbekezdsnmhh"/>
        <w:spacing w:before="120"/>
      </w:pPr>
    </w:p>
    <w:p w14:paraId="07A66F96" w14:textId="77777777" w:rsidR="00410AC8" w:rsidRPr="00342DE4" w:rsidRDefault="00410AC8" w:rsidP="00B85A3A">
      <w:pPr>
        <w:pStyle w:val="Behzottbekezdsnmhh"/>
        <w:spacing w:before="120"/>
      </w:pPr>
    </w:p>
    <w:p w14:paraId="1713822B" w14:textId="77777777" w:rsidR="001E50C0" w:rsidRDefault="001E50C0" w:rsidP="00900279">
      <w:pPr>
        <w:pStyle w:val="Cmsor1szmozottnmhh"/>
        <w:spacing w:before="360"/>
        <w:ind w:left="431" w:hanging="431"/>
      </w:pPr>
      <w:bookmarkStart w:id="4" w:name="_Toc96075649"/>
      <w:r w:rsidRPr="002C53F8">
        <w:lastRenderedPageBreak/>
        <w:t>Bevezetés</w:t>
      </w:r>
      <w:bookmarkEnd w:id="1"/>
      <w:bookmarkEnd w:id="4"/>
    </w:p>
    <w:p w14:paraId="627579B2" w14:textId="0C9ADC72" w:rsidR="00D24EFD" w:rsidRPr="003D4E11" w:rsidRDefault="00D24EFD" w:rsidP="00D24EFD">
      <w:pPr>
        <w:pStyle w:val="Behzottbekezdsnmhh"/>
        <w:spacing w:before="120"/>
      </w:pPr>
      <w:r w:rsidRPr="003D4E11">
        <w:t xml:space="preserve">Az 1452-1492 MHz </w:t>
      </w:r>
      <w:r w:rsidR="006A01EF">
        <w:t>frekvencia</w:t>
      </w:r>
      <w:r w:rsidRPr="003D4E11">
        <w:t>sávot</w:t>
      </w:r>
      <w:r>
        <w:t xml:space="preserve"> földfelszíni és műholdas digitális hangműsorszórásra jelölték ki. </w:t>
      </w:r>
      <w:r w:rsidRPr="003D4E11">
        <w:t xml:space="preserve">Az 1427-1452 MHz és 1492-1518 MHz </w:t>
      </w:r>
      <w:r w:rsidR="0055107B" w:rsidRPr="0055107B">
        <w:t>frekvencia</w:t>
      </w:r>
      <w:r w:rsidRPr="003D4E11">
        <w:t>sávokban elsősorban az állandóhelyű szolgálat rendszerei számára jelöltek ki frekvenciát, ezen kívül a műsorgyártáshoz és különleges eseményeken használt eszközök (a továbbiakban: PMSE</w:t>
      </w:r>
      <w:r>
        <w:rPr>
          <w:rStyle w:val="Lbjegyzet-hivatkozs"/>
        </w:rPr>
        <w:footnoteReference w:id="2"/>
      </w:r>
      <w:r w:rsidRPr="003D4E11">
        <w:t xml:space="preserve">), valamint katonai eszközök működnek jellemzően.  </w:t>
      </w:r>
    </w:p>
    <w:p w14:paraId="4FCA85D8" w14:textId="3E25BBE4" w:rsidR="00D24EFD" w:rsidRDefault="00D24EFD" w:rsidP="00D24EFD">
      <w:pPr>
        <w:pStyle w:val="Behzottbekezdsnmhh"/>
        <w:spacing w:before="120"/>
      </w:pPr>
      <w:r w:rsidRPr="003D4E11">
        <w:t xml:space="preserve">Az 1429-1518 MHz </w:t>
      </w:r>
      <w:r w:rsidR="006A01EF">
        <w:t>frekvencia</w:t>
      </w:r>
      <w:r w:rsidRPr="003D4E11">
        <w:t>sávban a légi mozgószolgálat légiforgalmi távmérő rendszerei üzemelnek néhány országban (pl. Ukrajna, Oroszország, Egyesült Államok).</w:t>
      </w:r>
    </w:p>
    <w:p w14:paraId="277D83B1" w14:textId="1767A56A" w:rsidR="003D4E11" w:rsidRDefault="003D4E11" w:rsidP="00B85A3A">
      <w:pPr>
        <w:pStyle w:val="Behzottbekezdsnmhh"/>
        <w:spacing w:before="120"/>
      </w:pPr>
      <w:r>
        <w:t xml:space="preserve">Az 1452–1492 MHz </w:t>
      </w:r>
      <w:r w:rsidR="006A01EF">
        <w:t>frekvencia</w:t>
      </w:r>
      <w:r>
        <w:t>sáv nagy részét (1452-1479,5 MHz) korábban a</w:t>
      </w:r>
      <w:r w:rsidR="00D24EFD">
        <w:t>z uniós</w:t>
      </w:r>
      <w:r>
        <w:t xml:space="preserve"> tagállamokban földfelszíni digitális hangműsorszórásra (T-DAB) jelölték ki a Maastrichti Különleges Megállapodás alapján (MA02revCO07), de a T-DAB bevezetése nem terjedt el</w:t>
      </w:r>
      <w:r w:rsidR="009500D6">
        <w:t>,</w:t>
      </w:r>
      <w:r>
        <w:t xml:space="preserve"> és a </w:t>
      </w:r>
      <w:r w:rsidR="006A01EF" w:rsidRPr="006A01EF">
        <w:t>frekvencia</w:t>
      </w:r>
      <w:r>
        <w:t xml:space="preserve">sáv a legtöbb országban kihasználatlanul maradt. </w:t>
      </w:r>
    </w:p>
    <w:p w14:paraId="1531D713" w14:textId="413EAC1E" w:rsidR="003D4E11" w:rsidRDefault="003D4E11" w:rsidP="00B85A3A">
      <w:pPr>
        <w:pStyle w:val="Behzottbekezdsnmhh"/>
        <w:spacing w:before="120"/>
      </w:pPr>
      <w:r>
        <w:t xml:space="preserve">A </w:t>
      </w:r>
      <w:r w:rsidR="006A01EF" w:rsidRPr="006A01EF">
        <w:t>frekvencia</w:t>
      </w:r>
      <w:r>
        <w:t>sáv hatékonyabb használa</w:t>
      </w:r>
      <w:r w:rsidR="006A01EF">
        <w:t>ta</w:t>
      </w:r>
      <w:r>
        <w:t xml:space="preserve"> érdekében, 2015</w:t>
      </w:r>
      <w:r w:rsidR="00775834">
        <w:t>-</w:t>
      </w:r>
      <w:r>
        <w:t xml:space="preserve">ben elfogadásra került az </w:t>
      </w:r>
      <w:r w:rsidR="00B26052">
        <w:t>uniós szabályozás,</w:t>
      </w:r>
      <w:r>
        <w:t xml:space="preserve"> </w:t>
      </w:r>
      <w:r w:rsidR="00B26052">
        <w:t>a</w:t>
      </w:r>
      <w:r>
        <w:t xml:space="preserve">mely az 1452-1492 MHz </w:t>
      </w:r>
      <w:r w:rsidR="006A01EF" w:rsidRPr="006A01EF">
        <w:t>frekvencia</w:t>
      </w:r>
      <w:r>
        <w:t xml:space="preserve">sávot mozgó és állandóhelyű hírközlési hálózatokkal megvalósítható vezeték nélküli szélessávú elektronikus hírközlési szolgáltatások (MFCN) kiegészítő lemenő irányú (SDL) összeköttetései céljára harmonizálta, megengedve egyúttal a tagállamoknak a nemzeti sajátosságokhoz való igazodást a </w:t>
      </w:r>
      <w:r w:rsidR="006A01EF" w:rsidRPr="006A01EF">
        <w:t>frekvencia</w:t>
      </w:r>
      <w:r>
        <w:t xml:space="preserve">sáv egyes részeiben (például 1452–1479,5 MHz a földfelszíni műsorszórás céljára). </w:t>
      </w:r>
    </w:p>
    <w:p w14:paraId="3414A91A" w14:textId="37921CED" w:rsidR="000E066F" w:rsidRDefault="009500D6" w:rsidP="000E066F">
      <w:pPr>
        <w:pStyle w:val="Behzottbekezdsnmhh"/>
        <w:spacing w:before="120"/>
      </w:pPr>
      <w:r>
        <w:t>A 2015</w:t>
      </w:r>
      <w:r w:rsidR="000A1EE4">
        <w:t>-</w:t>
      </w:r>
      <w:r w:rsidR="000E066F">
        <w:t>ben megrendezett Rádiótávközlési Világértekezlet (WRC-15</w:t>
      </w:r>
      <w:r w:rsidR="000E066F">
        <w:rPr>
          <w:rStyle w:val="Lbjegyzet-hivatkozs"/>
        </w:rPr>
        <w:footnoteReference w:id="3"/>
      </w:r>
      <w:r w:rsidR="000E066F">
        <w:t xml:space="preserve">) az 1452-1492 MHz-es </w:t>
      </w:r>
      <w:r w:rsidR="006A01EF" w:rsidRPr="006A01EF">
        <w:t>frekvencia</w:t>
      </w:r>
      <w:r w:rsidR="000E066F">
        <w:t xml:space="preserve">sávval szomszédos 1427-1452 MHz és 1492-1518 MHz </w:t>
      </w:r>
      <w:r w:rsidR="006A01EF" w:rsidRPr="006A01EF">
        <w:t>frekvencia</w:t>
      </w:r>
      <w:r w:rsidR="000E066F">
        <w:t xml:space="preserve">sávokat is </w:t>
      </w:r>
      <w:r w:rsidR="00157317" w:rsidRPr="00B31710">
        <w:rPr>
          <w:rFonts w:ascii="Arial" w:hAnsi="Arial" w:cs="Arial"/>
        </w:rPr>
        <w:t>IMT</w:t>
      </w:r>
      <w:r w:rsidR="00157317">
        <w:rPr>
          <w:rStyle w:val="Lbjegyzet-hivatkozs"/>
          <w:rFonts w:ascii="Arial" w:hAnsi="Arial" w:cs="Arial"/>
        </w:rPr>
        <w:footnoteReference w:id="4"/>
      </w:r>
      <w:r w:rsidR="00157317">
        <w:rPr>
          <w:rFonts w:ascii="Arial" w:hAnsi="Arial" w:cs="Arial"/>
        </w:rPr>
        <w:t xml:space="preserve"> </w:t>
      </w:r>
      <w:r w:rsidR="000E066F">
        <w:t xml:space="preserve">céljára </w:t>
      </w:r>
      <w:r w:rsidR="00775834">
        <w:t>azonosította</w:t>
      </w:r>
      <w:r w:rsidR="000E066F">
        <w:t xml:space="preserve">, </w:t>
      </w:r>
      <w:r w:rsidR="000A1EE4">
        <w:t xml:space="preserve">és </w:t>
      </w:r>
      <w:r w:rsidR="000E066F">
        <w:t xml:space="preserve">európai szinten is megtörtént ezeknek a </w:t>
      </w:r>
      <w:r w:rsidR="006A01EF" w:rsidRPr="006A01EF">
        <w:t>frekvencia</w:t>
      </w:r>
      <w:r w:rsidR="000E066F">
        <w:t>sávoknak a vezeték nélküli szélessávú hírközlési szolgálatok nyújtására alkalmas mozgó és állandóhelyű hírközlési hálózatok céljára történő használ</w:t>
      </w:r>
      <w:r w:rsidR="00A013D6">
        <w:t>at</w:t>
      </w:r>
      <w:r w:rsidR="000E066F">
        <w:t xml:space="preserve">át biztosító harmonizált műszaki feltételek kidolgozása. </w:t>
      </w:r>
    </w:p>
    <w:p w14:paraId="17A822F0" w14:textId="305E47B2" w:rsidR="0001565B" w:rsidRDefault="000E066F" w:rsidP="000E066F">
      <w:pPr>
        <w:pStyle w:val="Behzottbekezdsnmhh"/>
        <w:spacing w:before="120"/>
      </w:pPr>
      <w:r>
        <w:t>Az 1452-1492 MHz</w:t>
      </w:r>
      <w:r w:rsidR="000A1EE4">
        <w:t>,</w:t>
      </w:r>
      <w:r>
        <w:t xml:space="preserve"> valamint az 1427-1452 MHz és 1492-1518 MHz frekvenciasávra elfogadott bizottsági végrehajtási határozatok</w:t>
      </w:r>
      <w:r w:rsidR="000A1EE4">
        <w:rPr>
          <w:rStyle w:val="Lbjegyzet-hivatkozs"/>
        </w:rPr>
        <w:footnoteReference w:id="5"/>
      </w:r>
      <w:r>
        <w:t xml:space="preserve"> alapján a teljes 1427-1518 MHz </w:t>
      </w:r>
      <w:r w:rsidR="0055107B" w:rsidRPr="0055107B">
        <w:t>frekvencia</w:t>
      </w:r>
      <w:r>
        <w:t xml:space="preserve">sáv, a technológiasemlegesség figyelembevételével, MFCN céljára használható, kizárólag a megnövekedett lemenő irányú forgalomhoz szükséges kiegészítő lemenő irányú összeköttetések biztosítására. </w:t>
      </w:r>
    </w:p>
    <w:p w14:paraId="28511885" w14:textId="15FAAFB2" w:rsidR="00F25C2C" w:rsidRDefault="00F25C2C" w:rsidP="00F25C2C">
      <w:pPr>
        <w:pStyle w:val="Behzottbekezdsnmhh"/>
        <w:spacing w:before="120"/>
      </w:pPr>
      <w:r>
        <w:t>Magyarország a jelenlegi hazai használ</w:t>
      </w:r>
      <w:r w:rsidR="00B05643">
        <w:t>at</w:t>
      </w:r>
      <w:r>
        <w:t xml:space="preserve"> figyelembevételével implementálta az 1500 MHz-es frekvenciasávra vonatkozó uniós joganyagot. Az 1492-1518 MHz-es </w:t>
      </w:r>
      <w:r w:rsidR="006A01EF" w:rsidRPr="006A01EF">
        <w:t>frekvencia</w:t>
      </w:r>
      <w:r>
        <w:t xml:space="preserve">sávrész nem polgári </w:t>
      </w:r>
      <w:r w:rsidR="008A332C">
        <w:t xml:space="preserve">célú </w:t>
      </w:r>
      <w:r>
        <w:t>használa</w:t>
      </w:r>
      <w:r w:rsidR="00B05643">
        <w:t>ta</w:t>
      </w:r>
      <w:r>
        <w:t xml:space="preserve"> miatt, az MFCN célra harmonizált 1427-1518 MHz frekvenciasávból a</w:t>
      </w:r>
      <w:r w:rsidR="00E46E8B">
        <w:t>z</w:t>
      </w:r>
      <w:r>
        <w:t xml:space="preserve"> NFFF alapján csak az 1427-1492 MHz </w:t>
      </w:r>
      <w:r w:rsidR="006A01EF" w:rsidRPr="006A01EF">
        <w:t>frekvencia</w:t>
      </w:r>
      <w:r>
        <w:t xml:space="preserve">sávrész kijelölt MFCN célra és ennek megfelelően tartalmazza a </w:t>
      </w:r>
      <w:r w:rsidR="0055107B" w:rsidRPr="0055107B">
        <w:t>frekvencia</w:t>
      </w:r>
      <w:r>
        <w:t xml:space="preserve">sáv </w:t>
      </w:r>
      <w:r w:rsidR="0055107B">
        <w:t xml:space="preserve">elosztását </w:t>
      </w:r>
      <w:r>
        <w:t>lehetővé tevő részletes műszaki és sávhasznál</w:t>
      </w:r>
      <w:r w:rsidR="00B05643">
        <w:t>at</w:t>
      </w:r>
      <w:r>
        <w:t xml:space="preserve">i előírásokat. </w:t>
      </w:r>
    </w:p>
    <w:p w14:paraId="4A267D28" w14:textId="6E9539B1" w:rsidR="000E066F" w:rsidRDefault="0001565B" w:rsidP="000E066F">
      <w:pPr>
        <w:pStyle w:val="Behzottbekezdsnmhh"/>
        <w:spacing w:before="120"/>
      </w:pPr>
      <w:r>
        <w:t xml:space="preserve">A határövezeti frekvenciahasználathoz szükséges koordinációs megállapodások Ausztria, Horvátország, Románia, Szlovákia és Szlovénia viszonylatában az 1452-1492 MHz frekvenciasávra rendelkezésre állnak, Szerbiának még nincs a </w:t>
      </w:r>
      <w:r w:rsidR="006A01EF" w:rsidRPr="006A01EF">
        <w:t>frekvencia</w:t>
      </w:r>
      <w:r>
        <w:t xml:space="preserve">sávra vonatkozóan elfogadott szabályozási terve, ezért még nem csatlakozott a megállapodáshoz. A módosított uniós szabályozásnak megfelelően a megállapodásokat meg kell kötni a kiterjesztett </w:t>
      </w:r>
      <w:r w:rsidR="006A01EF" w:rsidRPr="006A01EF">
        <w:t>frekvencia</w:t>
      </w:r>
      <w:r>
        <w:t>sávra vonatkozóan is. A szomszédos országok közül Ukrajnában légiforgalmi távmérő rendszerek is működnek, ezért Ukrajnával az MFCN és a légiforgalmi távmérő rendszerek zavarmentes használ</w:t>
      </w:r>
      <w:r w:rsidR="00B05643">
        <w:t>at</w:t>
      </w:r>
      <w:r>
        <w:t xml:space="preserve">át biztosító koordinációs megállapodás megkötésére került sor a teljes 1427-1518 MHz </w:t>
      </w:r>
      <w:r w:rsidR="006A01EF" w:rsidRPr="006A01EF">
        <w:t>frekvencia</w:t>
      </w:r>
      <w:r>
        <w:t xml:space="preserve">sávra.  </w:t>
      </w:r>
    </w:p>
    <w:p w14:paraId="56FE6AA8" w14:textId="72BF7013" w:rsidR="00680324" w:rsidRDefault="00680324" w:rsidP="000E066F">
      <w:pPr>
        <w:pStyle w:val="Behzottbekezdsnmhh"/>
        <w:spacing w:before="120"/>
      </w:pPr>
      <w:r w:rsidRPr="00794E2A">
        <w:rPr>
          <w:rFonts w:ascii="Arial" w:eastAsia="Calibri" w:hAnsi="Arial" w:cs="Times New Roman"/>
          <w:iCs/>
        </w:rPr>
        <w:lastRenderedPageBreak/>
        <w:t>A</w:t>
      </w:r>
      <w:r w:rsidR="008A332C">
        <w:rPr>
          <w:rFonts w:ascii="Arial" w:eastAsia="Calibri" w:hAnsi="Arial" w:cs="Times New Roman"/>
          <w:iCs/>
        </w:rPr>
        <w:t>z NMHH</w:t>
      </w:r>
      <w:r w:rsidRPr="00794E2A">
        <w:rPr>
          <w:rFonts w:ascii="Arial" w:eastAsia="Calibri" w:hAnsi="Arial" w:cs="Times New Roman"/>
          <w:iCs/>
        </w:rPr>
        <w:t xml:space="preserve"> 2017. november </w:t>
      </w:r>
      <w:r>
        <w:rPr>
          <w:rFonts w:ascii="Arial" w:eastAsia="Calibri" w:hAnsi="Arial" w:cs="Times New Roman"/>
          <w:iCs/>
        </w:rPr>
        <w:t>23</w:t>
      </w:r>
      <w:r w:rsidRPr="00794E2A">
        <w:rPr>
          <w:rFonts w:ascii="Arial" w:eastAsia="Calibri" w:hAnsi="Arial" w:cs="Times New Roman"/>
          <w:iCs/>
        </w:rPr>
        <w:t>-</w:t>
      </w:r>
      <w:r>
        <w:rPr>
          <w:rFonts w:ascii="Arial" w:eastAsia="Calibri" w:hAnsi="Arial" w:cs="Times New Roman"/>
          <w:iCs/>
        </w:rPr>
        <w:t>á</w:t>
      </w:r>
      <w:r w:rsidRPr="00794E2A">
        <w:rPr>
          <w:rFonts w:ascii="Arial" w:eastAsia="Calibri" w:hAnsi="Arial" w:cs="Times New Roman"/>
          <w:iCs/>
        </w:rPr>
        <w:t>n</w:t>
      </w:r>
      <w:r>
        <w:rPr>
          <w:rStyle w:val="Lbjegyzet-hivatkozs"/>
          <w:rFonts w:ascii="Arial" w:eastAsia="Calibri" w:hAnsi="Arial" w:cs="Times New Roman"/>
          <w:iCs/>
        </w:rPr>
        <w:footnoteReference w:id="6"/>
      </w:r>
      <w:r w:rsidRPr="00794E2A">
        <w:rPr>
          <w:rFonts w:ascii="Arial" w:eastAsia="Calibri" w:hAnsi="Arial" w:cs="Times New Roman"/>
          <w:iCs/>
        </w:rPr>
        <w:t xml:space="preserve"> </w:t>
      </w:r>
      <w:r>
        <w:rPr>
          <w:rFonts w:ascii="Arial" w:eastAsia="Calibri" w:hAnsi="Arial" w:cs="Times New Roman"/>
          <w:iCs/>
        </w:rPr>
        <w:t>és 2019. december 13-án</w:t>
      </w:r>
      <w:r w:rsidR="00A365F9">
        <w:rPr>
          <w:rStyle w:val="Lbjegyzet-hivatkozs"/>
          <w:rFonts w:ascii="Arial" w:eastAsia="Calibri" w:hAnsi="Arial" w:cs="Times New Roman"/>
          <w:iCs/>
        </w:rPr>
        <w:footnoteReference w:id="7"/>
      </w:r>
      <w:r>
        <w:rPr>
          <w:rFonts w:ascii="Arial" w:eastAsia="Calibri" w:hAnsi="Arial" w:cs="Times New Roman"/>
          <w:iCs/>
        </w:rPr>
        <w:t xml:space="preserve"> tartott </w:t>
      </w:r>
      <w:r w:rsidRPr="00794E2A">
        <w:rPr>
          <w:rFonts w:ascii="Arial" w:eastAsia="Calibri" w:hAnsi="Arial" w:cs="Times New Roman"/>
          <w:iCs/>
        </w:rPr>
        <w:t>nyilvános meghallgatás</w:t>
      </w:r>
      <w:r>
        <w:rPr>
          <w:rFonts w:ascii="Arial" w:eastAsia="Calibri" w:hAnsi="Arial" w:cs="Times New Roman"/>
          <w:iCs/>
        </w:rPr>
        <w:t>a</w:t>
      </w:r>
      <w:r w:rsidRPr="00794E2A">
        <w:rPr>
          <w:rFonts w:ascii="Arial" w:eastAsia="Calibri" w:hAnsi="Arial" w:cs="Times New Roman"/>
          <w:iCs/>
        </w:rPr>
        <w:t xml:space="preserve"> a</w:t>
      </w:r>
      <w:r>
        <w:rPr>
          <w:rFonts w:ascii="Arial" w:eastAsia="Calibri" w:hAnsi="Arial" w:cs="Times New Roman"/>
          <w:iCs/>
        </w:rPr>
        <w:t>z</w:t>
      </w:r>
      <w:r w:rsidRPr="00794E2A">
        <w:rPr>
          <w:rFonts w:ascii="Arial" w:eastAsia="Calibri" w:hAnsi="Arial" w:cs="Times New Roman"/>
          <w:iCs/>
        </w:rPr>
        <w:t xml:space="preserve"> </w:t>
      </w:r>
      <w:r>
        <w:rPr>
          <w:rFonts w:ascii="Arial" w:eastAsia="Calibri" w:hAnsi="Arial" w:cs="Times New Roman"/>
          <w:iCs/>
        </w:rPr>
        <w:t>1500</w:t>
      </w:r>
      <w:r w:rsidRPr="00794E2A">
        <w:rPr>
          <w:rFonts w:ascii="Arial" w:eastAsia="Calibri" w:hAnsi="Arial" w:cs="Times New Roman"/>
          <w:iCs/>
        </w:rPr>
        <w:t xml:space="preserve"> </w:t>
      </w:r>
      <w:r>
        <w:rPr>
          <w:rFonts w:ascii="Arial" w:eastAsia="Calibri" w:hAnsi="Arial" w:cs="Times New Roman"/>
          <w:iCs/>
        </w:rPr>
        <w:t>M</w:t>
      </w:r>
      <w:r w:rsidRPr="00794E2A">
        <w:rPr>
          <w:rFonts w:ascii="Arial" w:eastAsia="Calibri" w:hAnsi="Arial" w:cs="Times New Roman"/>
          <w:iCs/>
        </w:rPr>
        <w:t xml:space="preserve">Hz-es </w:t>
      </w:r>
      <w:r w:rsidRPr="00426D01">
        <w:t>frekvencia</w:t>
      </w:r>
      <w:r w:rsidRPr="00794E2A">
        <w:rPr>
          <w:rFonts w:ascii="Arial" w:eastAsia="Calibri" w:hAnsi="Arial" w:cs="Times New Roman"/>
          <w:iCs/>
        </w:rPr>
        <w:t xml:space="preserve">sáv hasznosításával </w:t>
      </w:r>
      <w:r>
        <w:rPr>
          <w:rFonts w:ascii="Arial" w:eastAsia="Calibri" w:hAnsi="Arial" w:cs="Times New Roman"/>
          <w:iCs/>
        </w:rPr>
        <w:t>összefüggő kérdéseket is érintette</w:t>
      </w:r>
      <w:r w:rsidRPr="00794E2A">
        <w:rPr>
          <w:rFonts w:ascii="Arial" w:eastAsia="Calibri" w:hAnsi="Arial" w:cs="Times New Roman"/>
          <w:iCs/>
        </w:rPr>
        <w:t>. A</w:t>
      </w:r>
      <w:r>
        <w:rPr>
          <w:rFonts w:ascii="Arial" w:eastAsia="Calibri" w:hAnsi="Arial" w:cs="Times New Roman"/>
          <w:iCs/>
        </w:rPr>
        <w:t>z előző</w:t>
      </w:r>
      <w:r w:rsidRPr="00794E2A">
        <w:rPr>
          <w:rFonts w:ascii="Arial" w:eastAsia="Calibri" w:hAnsi="Arial" w:cs="Times New Roman"/>
          <w:iCs/>
        </w:rPr>
        <w:t xml:space="preserve"> nyilvános meghallgatás</w:t>
      </w:r>
      <w:r>
        <w:rPr>
          <w:rFonts w:ascii="Arial" w:eastAsia="Calibri" w:hAnsi="Arial" w:cs="Times New Roman"/>
          <w:iCs/>
        </w:rPr>
        <w:t>ok</w:t>
      </w:r>
      <w:r w:rsidRPr="00794E2A">
        <w:rPr>
          <w:rFonts w:ascii="Arial" w:eastAsia="Calibri" w:hAnsi="Arial" w:cs="Times New Roman"/>
          <w:iCs/>
        </w:rPr>
        <w:t xml:space="preserve"> során a piaci szereplők nem jeleztek igényt e </w:t>
      </w:r>
      <w:r w:rsidRPr="00426D01">
        <w:t>frekvencia</w:t>
      </w:r>
      <w:r w:rsidRPr="00794E2A">
        <w:rPr>
          <w:rFonts w:ascii="Arial" w:eastAsia="Calibri" w:hAnsi="Arial" w:cs="Times New Roman"/>
          <w:iCs/>
        </w:rPr>
        <w:t xml:space="preserve">sáv </w:t>
      </w:r>
      <w:r>
        <w:rPr>
          <w:rFonts w:ascii="Arial" w:eastAsia="Calibri" w:hAnsi="Arial" w:cs="Times New Roman"/>
          <w:iCs/>
        </w:rPr>
        <w:t xml:space="preserve">SDL célú </w:t>
      </w:r>
      <w:r w:rsidRPr="00794E2A">
        <w:rPr>
          <w:rFonts w:ascii="Arial" w:eastAsia="Calibri" w:hAnsi="Arial" w:cs="Times New Roman"/>
          <w:iCs/>
        </w:rPr>
        <w:t>használatával összefüggésben</w:t>
      </w:r>
      <w:r>
        <w:rPr>
          <w:rFonts w:ascii="Arial" w:eastAsia="Calibri" w:hAnsi="Arial" w:cs="Times New Roman"/>
          <w:iCs/>
        </w:rPr>
        <w:t>.</w:t>
      </w:r>
    </w:p>
    <w:p w14:paraId="419C5560" w14:textId="6DD320C0" w:rsidR="001E50C0" w:rsidRDefault="00197F12" w:rsidP="006A01EF">
      <w:pPr>
        <w:pStyle w:val="Cmsor1szmozottnmhh"/>
      </w:pPr>
      <w:bookmarkStart w:id="5" w:name="_Toc473880714"/>
      <w:bookmarkStart w:id="6" w:name="_Toc96075650"/>
      <w:r>
        <w:lastRenderedPageBreak/>
        <w:t xml:space="preserve">Az 1500 MHz-es </w:t>
      </w:r>
      <w:r w:rsidR="006A01EF" w:rsidRPr="006A01EF">
        <w:t>frekvencia</w:t>
      </w:r>
      <w:r>
        <w:t>sáv</w:t>
      </w:r>
      <w:r w:rsidR="006A01EF">
        <w:t xml:space="preserve"> </w:t>
      </w:r>
      <w:r>
        <w:t>használat</w:t>
      </w:r>
      <w:r w:rsidR="006A01EF">
        <w:t>i</w:t>
      </w:r>
      <w:r>
        <w:t xml:space="preserve"> szabálya</w:t>
      </w:r>
      <w:bookmarkEnd w:id="5"/>
      <w:r w:rsidR="006A01EF">
        <w:t>i</w:t>
      </w:r>
      <w:bookmarkEnd w:id="6"/>
    </w:p>
    <w:p w14:paraId="258428A8" w14:textId="25AF9703" w:rsidR="003D4E11" w:rsidRPr="003D4E11" w:rsidRDefault="00921695" w:rsidP="00B85A3A">
      <w:pPr>
        <w:pStyle w:val="Behzottbekezdsnmhh"/>
        <w:spacing w:before="120"/>
      </w:pPr>
      <w:r>
        <w:t>Tekintettel arra, hogy n</w:t>
      </w:r>
      <w:r w:rsidR="003D4E11" w:rsidRPr="003D4E11">
        <w:t>emzetközi téren, Európában és más régiókban is jellemző</w:t>
      </w:r>
      <w:r>
        <w:t>en kihasználatlan volt az 1427-1518 MHz frekvenciasáv, ezért európai és globális szinten is megtörténtek a vizsgálatok a szélessávú mozgószolgálati alkalmazások bevezetésének lehetősége érdekében</w:t>
      </w:r>
      <w:r w:rsidR="00775834">
        <w:t xml:space="preserve"> és elfogadásra került a </w:t>
      </w:r>
      <w:r w:rsidR="00FA419B">
        <w:t xml:space="preserve">vonatkozó </w:t>
      </w:r>
      <w:r w:rsidR="001C7538">
        <w:t xml:space="preserve">nemzetközi </w:t>
      </w:r>
      <w:r w:rsidR="00775834">
        <w:t>szabályozás</w:t>
      </w:r>
      <w:r>
        <w:t>.</w:t>
      </w:r>
    </w:p>
    <w:p w14:paraId="5A187445" w14:textId="77777777" w:rsidR="001E50C0" w:rsidRDefault="001E50C0" w:rsidP="00900279">
      <w:pPr>
        <w:pStyle w:val="Cmsor2szmozottnmhh"/>
        <w:spacing w:before="360"/>
        <w:ind w:left="578" w:hanging="578"/>
      </w:pPr>
      <w:bookmarkStart w:id="7" w:name="_Toc473880715"/>
      <w:bookmarkStart w:id="8" w:name="_Toc96075651"/>
      <w:r>
        <w:t>Nemzetközi szabályozás</w:t>
      </w:r>
      <w:bookmarkEnd w:id="7"/>
      <w:bookmarkEnd w:id="8"/>
    </w:p>
    <w:p w14:paraId="77316097" w14:textId="678A7212" w:rsidR="003D4E11" w:rsidRPr="003D4E11" w:rsidRDefault="003D4E11" w:rsidP="00B85A3A">
      <w:pPr>
        <w:pStyle w:val="Behzottbekezdsnmhh"/>
        <w:spacing w:before="120"/>
      </w:pPr>
      <w:r w:rsidRPr="003D4E11">
        <w:t xml:space="preserve">Az 1452-1492 MHz </w:t>
      </w:r>
      <w:r w:rsidR="006A01EF" w:rsidRPr="006A01EF">
        <w:t>frekvencia</w:t>
      </w:r>
      <w:r w:rsidRPr="003D4E11">
        <w:t>sáv globális szintű harmonizálása és elérhetővé tétele az IMT számára széles támogatást kapott a piaci szereplők részéről, ezért a megfelelő szabályozási keretek megteremtése kiemelt kérdés volt az érintett nemzetközi szervezetekben és frekvenciagazdálkodásért felelős csoportokban (ITU</w:t>
      </w:r>
      <w:r>
        <w:rPr>
          <w:rStyle w:val="Lbjegyzet-hivatkozs"/>
        </w:rPr>
        <w:footnoteReference w:id="8"/>
      </w:r>
      <w:r w:rsidRPr="003D4E11">
        <w:t>, CEPT</w:t>
      </w:r>
      <w:r>
        <w:rPr>
          <w:rStyle w:val="Lbjegyzet-hivatkozs"/>
        </w:rPr>
        <w:footnoteReference w:id="9"/>
      </w:r>
      <w:r w:rsidRPr="003D4E11">
        <w:t xml:space="preserve">, Európai </w:t>
      </w:r>
      <w:r w:rsidR="00D24EFD">
        <w:t>Unió</w:t>
      </w:r>
      <w:r w:rsidRPr="003D4E11">
        <w:t xml:space="preserve">). </w:t>
      </w:r>
    </w:p>
    <w:p w14:paraId="3C5385C7" w14:textId="77777777" w:rsidR="001E50C0" w:rsidRDefault="001E50C0" w:rsidP="00900279">
      <w:pPr>
        <w:pStyle w:val="Cmsor3szmozottnmhh"/>
        <w:spacing w:before="360"/>
        <w:ind w:left="993" w:hanging="851"/>
      </w:pPr>
      <w:bookmarkStart w:id="9" w:name="_Toc473880717"/>
      <w:bookmarkStart w:id="10" w:name="_Toc473880716"/>
      <w:bookmarkStart w:id="11" w:name="_Toc96075652"/>
      <w:r>
        <w:t>ITU</w:t>
      </w:r>
      <w:bookmarkEnd w:id="9"/>
      <w:bookmarkEnd w:id="11"/>
    </w:p>
    <w:p w14:paraId="6B40061F" w14:textId="0921026A" w:rsidR="00D24EFD" w:rsidRPr="003D4E11" w:rsidRDefault="00D24EFD" w:rsidP="00D24EFD">
      <w:pPr>
        <w:pStyle w:val="Behzottbekezdsnmhh"/>
        <w:spacing w:before="120"/>
      </w:pPr>
      <w:r w:rsidRPr="003D4E11">
        <w:t xml:space="preserve">Az 1452-1492 MHz </w:t>
      </w:r>
      <w:r w:rsidR="006A01EF" w:rsidRPr="006A01EF">
        <w:t>frekvencia</w:t>
      </w:r>
      <w:r w:rsidRPr="003D4E11">
        <w:t>sáv globális szintű azonosítása IMT céljára csak részben valósult meg a Nemzetközi Rádiószabályzatban</w:t>
      </w:r>
      <w:r w:rsidR="002F0E9E">
        <w:t xml:space="preserve"> (a továbbiakban: RR)</w:t>
      </w:r>
      <w:r w:rsidRPr="003D4E11">
        <w:t xml:space="preserve">, ugyanakkor a </w:t>
      </w:r>
      <w:r w:rsidR="006A01EF" w:rsidRPr="006A01EF">
        <w:t>frekvencia</w:t>
      </w:r>
      <w:r w:rsidRPr="003D4E11">
        <w:t xml:space="preserve">sávval szomszédos 1427-1452 MHz és 1492-1518 MHz </w:t>
      </w:r>
      <w:r w:rsidR="006A01EF" w:rsidRPr="006A01EF">
        <w:t>frekvencia</w:t>
      </w:r>
      <w:r w:rsidRPr="003D4E11">
        <w:t xml:space="preserve">sávok a WRC-15-ön elfogadott módosítás alapján globálisan az </w:t>
      </w:r>
      <w:r w:rsidR="00157317" w:rsidRPr="00B31710">
        <w:rPr>
          <w:rFonts w:ascii="Arial" w:hAnsi="Arial" w:cs="Arial"/>
        </w:rPr>
        <w:t>IMT</w:t>
      </w:r>
      <w:r w:rsidR="00157317">
        <w:rPr>
          <w:rFonts w:ascii="Arial" w:hAnsi="Arial" w:cs="Arial"/>
        </w:rPr>
        <w:t xml:space="preserve"> </w:t>
      </w:r>
      <w:r w:rsidRPr="003D4E11">
        <w:t xml:space="preserve">számára használhatók. </w:t>
      </w:r>
    </w:p>
    <w:p w14:paraId="1237C382" w14:textId="52665BBF" w:rsidR="003D4E11" w:rsidRPr="003D4E11" w:rsidRDefault="003D4E11" w:rsidP="00B85A3A">
      <w:pPr>
        <w:pStyle w:val="Behzottbekezdsnmhh"/>
        <w:spacing w:before="120"/>
      </w:pPr>
      <w:r w:rsidRPr="003D4E11">
        <w:t xml:space="preserve">Az NFFF 1. melléklete tartalmazza </w:t>
      </w:r>
      <w:r w:rsidR="002F0E9E">
        <w:t xml:space="preserve">az RR </w:t>
      </w:r>
      <w:r w:rsidRPr="003D4E11">
        <w:t xml:space="preserve">szerinti nemzetközi felosztást.  </w:t>
      </w:r>
    </w:p>
    <w:p w14:paraId="0054099A" w14:textId="08D0199E" w:rsidR="003D4E11" w:rsidRPr="003D4E11" w:rsidRDefault="003D4E11" w:rsidP="00B85A3A">
      <w:pPr>
        <w:pStyle w:val="Behzottbekezdsnmhh"/>
        <w:spacing w:before="120"/>
      </w:pPr>
      <w:r w:rsidRPr="003D4E11">
        <w:t xml:space="preserve">Az </w:t>
      </w:r>
      <w:r w:rsidR="002F0E9E">
        <w:t xml:space="preserve">RR </w:t>
      </w:r>
      <w:r w:rsidRPr="003D4E11">
        <w:t xml:space="preserve">az uniós tagállamokat is magában foglaló 1. Körzetben az </w:t>
      </w:r>
      <w:r w:rsidR="00C91A12">
        <w:t xml:space="preserve">1427-1518 MHz </w:t>
      </w:r>
      <w:r w:rsidR="00014E90">
        <w:t>frekvencia</w:t>
      </w:r>
      <w:r w:rsidR="00C91A12">
        <w:t xml:space="preserve">sávot </w:t>
      </w:r>
      <w:r w:rsidRPr="003D4E11">
        <w:t xml:space="preserve">az állandóhelyű, </w:t>
      </w:r>
      <w:r w:rsidR="002F0E9E">
        <w:t xml:space="preserve">valamint </w:t>
      </w:r>
      <w:r w:rsidRPr="003D4E11">
        <w:t>a mozgó</w:t>
      </w:r>
      <w:r w:rsidR="002F0E9E">
        <w:t>szolgálat</w:t>
      </w:r>
      <w:r w:rsidRPr="003D4E11">
        <w:t xml:space="preserve"> (a légi mozgó</w:t>
      </w:r>
      <w:r w:rsidR="00385D95">
        <w:t>szolgálat</w:t>
      </w:r>
      <w:r w:rsidRPr="003D4E11">
        <w:t xml:space="preserve"> kivételével)</w:t>
      </w:r>
      <w:r w:rsidR="001C7538">
        <w:t xml:space="preserve"> </w:t>
      </w:r>
      <w:r w:rsidRPr="003D4E11">
        <w:t xml:space="preserve">számára osztja fel, </w:t>
      </w:r>
      <w:r>
        <w:t>elsődleges jelleggel</w:t>
      </w:r>
      <w:r w:rsidR="00C91A12">
        <w:t xml:space="preserve">, ezen belül az </w:t>
      </w:r>
      <w:r w:rsidR="00C91A12" w:rsidRPr="003D4E11">
        <w:t>1452–1492 MHz frekvenciasáv</w:t>
      </w:r>
      <w:r w:rsidR="00C91A12">
        <w:t xml:space="preserve"> a</w:t>
      </w:r>
      <w:r w:rsidR="00C91A12" w:rsidRPr="00C91A12">
        <w:t xml:space="preserve"> </w:t>
      </w:r>
      <w:r w:rsidR="00C91A12" w:rsidRPr="003D4E11">
        <w:t>műsorszóró és a műholdas műsorszóró szolgálat</w:t>
      </w:r>
      <w:r w:rsidR="00C91A12">
        <w:t xml:space="preserve"> számára is felosztott</w:t>
      </w:r>
      <w:r w:rsidR="002640D6">
        <w:t xml:space="preserve">, továbbá az 1427-1429 MHz </w:t>
      </w:r>
      <w:r w:rsidR="00B475DF" w:rsidRPr="00B475DF">
        <w:t>frekvencia</w:t>
      </w:r>
      <w:r w:rsidR="002640D6">
        <w:t>sáv az űrbeli üzemeltetés számára is felosztott.</w:t>
      </w:r>
    </w:p>
    <w:p w14:paraId="4B9C6D84" w14:textId="1E754DCB" w:rsidR="00DE62EF" w:rsidRDefault="00DE62EF" w:rsidP="00B85A3A">
      <w:pPr>
        <w:pStyle w:val="Behzottbekezdsnmhh"/>
        <w:spacing w:before="120"/>
      </w:pPr>
      <w:r>
        <w:t>Az 1429</w:t>
      </w:r>
      <w:r w:rsidRPr="003D4E11">
        <w:t>–</w:t>
      </w:r>
      <w:r>
        <w:t xml:space="preserve">1535 MHz </w:t>
      </w:r>
      <w:r w:rsidR="00B475DF" w:rsidRPr="00B475DF">
        <w:t>frekvencia</w:t>
      </w:r>
      <w:r>
        <w:t>sáv (és ezen belül az 1452</w:t>
      </w:r>
      <w:r w:rsidRPr="003D4E11">
        <w:t>–</w:t>
      </w:r>
      <w:r>
        <w:t xml:space="preserve">1492 MHz </w:t>
      </w:r>
      <w:r w:rsidR="00B475DF" w:rsidRPr="00B475DF">
        <w:t>frekvencia</w:t>
      </w:r>
      <w:r>
        <w:t xml:space="preserve">sáv) néhány országban, köztük a Magyarországgal szomszédos Ukrajnában is, elsődleges jelleggel a légi mozgószolgálat számára is felosztott a Rádiószabályzat 5.342 lábjegyzete alapján: </w:t>
      </w:r>
    </w:p>
    <w:p w14:paraId="4B22510C" w14:textId="63C7291E" w:rsidR="00DE62EF" w:rsidRPr="00DE62EF" w:rsidRDefault="00DE62EF" w:rsidP="00B85A3A">
      <w:pPr>
        <w:pStyle w:val="Behzottbekezdsnmhh"/>
        <w:spacing w:before="120"/>
        <w:ind w:left="851" w:hanging="851"/>
        <w:rPr>
          <w:i/>
        </w:rPr>
      </w:pPr>
      <w:r w:rsidRPr="00DE62EF">
        <w:rPr>
          <w:i/>
        </w:rPr>
        <w:t xml:space="preserve">5.342 </w:t>
      </w:r>
      <w:r w:rsidRPr="00DE62EF">
        <w:rPr>
          <w:i/>
        </w:rPr>
        <w:tab/>
        <w:t>Járulékos felosztás: Örményországban, Azerbajdzsánban, Fehéroroszországban, az Oroszországi Föderációban, Üzbegisztánban, Kirgizisztánban és Ukrajnában az 1429</w:t>
      </w:r>
      <w:r w:rsidR="00987C97">
        <w:rPr>
          <w:i/>
        </w:rPr>
        <w:t xml:space="preserve"> -</w:t>
      </w:r>
      <w:r w:rsidRPr="00DE62EF">
        <w:rPr>
          <w:i/>
        </w:rPr>
        <w:t xml:space="preserve">1535 MHz </w:t>
      </w:r>
      <w:r w:rsidR="00B475DF" w:rsidRPr="00B475DF">
        <w:rPr>
          <w:i/>
        </w:rPr>
        <w:t>frekvencia</w:t>
      </w:r>
      <w:r w:rsidRPr="00DE62EF">
        <w:rPr>
          <w:i/>
        </w:rPr>
        <w:t>sávot</w:t>
      </w:r>
      <w:r w:rsidR="002640D6">
        <w:rPr>
          <w:i/>
        </w:rPr>
        <w:t xml:space="preserve"> </w:t>
      </w:r>
      <w:r w:rsidRPr="00DE62EF">
        <w:rPr>
          <w:i/>
        </w:rPr>
        <w:t>elsődleges jelleggel a légi mozgószolgálat számára is felosztották kizárólag a nemzeti felségterületen belüli légiforgalmi távmérés céljaira. 2007. április 1-jétől az 1452</w:t>
      </w:r>
      <w:r w:rsidRPr="003D4E11">
        <w:t>–</w:t>
      </w:r>
      <w:r w:rsidRPr="00DE62EF">
        <w:rPr>
          <w:i/>
        </w:rPr>
        <w:t xml:space="preserve">1492 MHz </w:t>
      </w:r>
      <w:r w:rsidR="00B475DF" w:rsidRPr="00B475DF">
        <w:rPr>
          <w:i/>
        </w:rPr>
        <w:t>frekvencia</w:t>
      </w:r>
      <w:r w:rsidRPr="00DE62EF">
        <w:rPr>
          <w:i/>
        </w:rPr>
        <w:t>sáv használata az érdekelt igazgatások közötti megállapodástól függően lehetséges. (WRC-</w:t>
      </w:r>
      <w:r w:rsidR="00815983">
        <w:rPr>
          <w:i/>
        </w:rPr>
        <w:t>15</w:t>
      </w:r>
      <w:r w:rsidRPr="00DE62EF">
        <w:rPr>
          <w:i/>
        </w:rPr>
        <w:t xml:space="preserve">) </w:t>
      </w:r>
    </w:p>
    <w:p w14:paraId="7E8C0901" w14:textId="62262EF9" w:rsidR="00DE62EF" w:rsidRDefault="00DE62EF" w:rsidP="00B85A3A">
      <w:pPr>
        <w:pStyle w:val="Behzottbekezdsnmhh"/>
        <w:spacing w:before="120"/>
      </w:pPr>
      <w:r>
        <w:t>Az ITU-R M.2324 Jelentés</w:t>
      </w:r>
      <w:r>
        <w:rPr>
          <w:rStyle w:val="Lbjegyzet-hivatkozs"/>
        </w:rPr>
        <w:footnoteReference w:id="10"/>
      </w:r>
      <w:r>
        <w:t xml:space="preserve"> tartalmazza az 1429-1535 MHz </w:t>
      </w:r>
      <w:r w:rsidR="00B475DF" w:rsidRPr="00B475DF">
        <w:t>frekvencia</w:t>
      </w:r>
      <w:r>
        <w:t xml:space="preserve">sávban üzemelő légiforgalmi távmérő rendszerek és az IMT rendszerek közötti kompatibilitási vizsgálatok eredményeit.  </w:t>
      </w:r>
    </w:p>
    <w:p w14:paraId="5D426EC9" w14:textId="763D78C5" w:rsidR="00DE62EF" w:rsidRDefault="00DE62EF" w:rsidP="00B85A3A">
      <w:pPr>
        <w:pStyle w:val="Behzottbekezdsnmhh"/>
        <w:spacing w:before="120"/>
      </w:pPr>
      <w:r>
        <w:t xml:space="preserve">Az 1427-1452 MHz és 1492-1518 MHz </w:t>
      </w:r>
      <w:r w:rsidR="00B475DF" w:rsidRPr="00B475DF">
        <w:t>frekvencia</w:t>
      </w:r>
      <w:r>
        <w:t>sávokra nézve a WRC-15 lehetővé tette az IMT célú használ</w:t>
      </w:r>
      <w:r w:rsidR="00B05643">
        <w:t>a</w:t>
      </w:r>
      <w:r>
        <w:t>t</w:t>
      </w:r>
      <w:r w:rsidR="00B05643">
        <w:t>ot</w:t>
      </w:r>
      <w:r>
        <w:t xml:space="preserve"> az 5.341A lábjegyzet elfogadásával:  </w:t>
      </w:r>
    </w:p>
    <w:p w14:paraId="58A105EF" w14:textId="139AB6F6" w:rsidR="00DE62EF" w:rsidRPr="002C3924" w:rsidRDefault="00DE62EF" w:rsidP="00B85A3A">
      <w:pPr>
        <w:pStyle w:val="Behzottbekezdsnmhh"/>
        <w:spacing w:before="120"/>
        <w:ind w:left="851" w:hanging="851"/>
        <w:rPr>
          <w:i/>
        </w:rPr>
      </w:pPr>
      <w:r w:rsidRPr="00DE62EF">
        <w:rPr>
          <w:i/>
        </w:rPr>
        <w:t>5.341</w:t>
      </w:r>
      <w:proofErr w:type="gramStart"/>
      <w:r w:rsidRPr="00DE62EF">
        <w:rPr>
          <w:i/>
        </w:rPr>
        <w:t>A</w:t>
      </w:r>
      <w:proofErr w:type="gramEnd"/>
      <w:r w:rsidRPr="00DE62EF">
        <w:rPr>
          <w:i/>
        </w:rPr>
        <w:t xml:space="preserve"> </w:t>
      </w:r>
      <w:r w:rsidRPr="00DE62EF">
        <w:rPr>
          <w:i/>
        </w:rPr>
        <w:tab/>
        <w:t>Az 1. Körzetben az 1427-1452 MHz és az 1492</w:t>
      </w:r>
      <w:r w:rsidRPr="003D4E11">
        <w:t>–</w:t>
      </w:r>
      <w:r w:rsidRPr="00DE62EF">
        <w:rPr>
          <w:i/>
        </w:rPr>
        <w:t xml:space="preserve">1518 MHz frekvenciasáv azon igazgatások általi használatra van szánva, amelyek a nemzetközi mozgó távközlést (IMT) kívánják </w:t>
      </w:r>
      <w:r w:rsidRPr="00DE62EF">
        <w:rPr>
          <w:i/>
        </w:rPr>
        <w:lastRenderedPageBreak/>
        <w:t>megvalósítani a 223. (Rev</w:t>
      </w:r>
      <w:proofErr w:type="gramStart"/>
      <w:r w:rsidRPr="00DE62EF">
        <w:rPr>
          <w:i/>
        </w:rPr>
        <w:t>.WRC-1</w:t>
      </w:r>
      <w:r w:rsidR="00125279">
        <w:rPr>
          <w:i/>
        </w:rPr>
        <w:t>9</w:t>
      </w:r>
      <w:proofErr w:type="gramEnd"/>
      <w:r w:rsidRPr="00DE62EF">
        <w:rPr>
          <w:i/>
        </w:rPr>
        <w:t>)</w:t>
      </w:r>
      <w:r>
        <w:rPr>
          <w:rStyle w:val="Lbjegyzet-hivatkozs"/>
          <w:i/>
        </w:rPr>
        <w:footnoteReference w:id="11"/>
      </w:r>
      <w:r w:rsidRPr="00DE62EF">
        <w:rPr>
          <w:i/>
        </w:rPr>
        <w:t xml:space="preserve"> Határozatnak megfelelően. Ez a meghatározás nem zárja ki, hogy ezen frekvenciasávokat azon </w:t>
      </w:r>
      <w:r w:rsidRPr="002C3924">
        <w:rPr>
          <w:i/>
        </w:rPr>
        <w:t>szolgálatok bármely alkalmazása használja, amelyek számára ezeket felosztották, továbbá a Rádiószabályzatban sem állapít meg elsőbbséget. Az IMT állomások használata a 9.21 Bekezdés szerint megszerzett egyetértéstől függően lehetséges az 5.342 Bekezdés szerint működő légiforgalmi távmérés céljára használt légi mozgószolgálat tekintetében. (WRC-15)</w:t>
      </w:r>
    </w:p>
    <w:p w14:paraId="346D97C3" w14:textId="3B652213" w:rsidR="0053019E" w:rsidRDefault="0053019E" w:rsidP="00720CD3">
      <w:pPr>
        <w:pStyle w:val="Behzottbekezdsnmhh"/>
        <w:spacing w:before="120"/>
      </w:pPr>
      <w:r>
        <w:t xml:space="preserve">A WRC-15 napirendjén szerepelt a teljes 1427-1518 MHz </w:t>
      </w:r>
      <w:r w:rsidR="00B475DF" w:rsidRPr="00B475DF">
        <w:t>frekvencia</w:t>
      </w:r>
      <w:r>
        <w:t xml:space="preserve">sáv globális szintű IMT azonosításának elérése, azonban az </w:t>
      </w:r>
      <w:r w:rsidR="0002694A">
        <w:t>1. Körzetben</w:t>
      </w:r>
      <w:r>
        <w:t xml:space="preserve"> végül csak az 1427-1452 MHz és 1492-1518 MHz </w:t>
      </w:r>
      <w:r w:rsidR="00B475DF" w:rsidRPr="00B475DF">
        <w:t>frekvencia</w:t>
      </w:r>
      <w:r>
        <w:t>sávok IMT azonosítása valósult meg. Az</w:t>
      </w:r>
      <w:r w:rsidR="0002694A">
        <w:t xml:space="preserve"> európai országokban az</w:t>
      </w:r>
      <w:r>
        <w:t xml:space="preserve"> 1452-1492 MHz </w:t>
      </w:r>
      <w:r w:rsidR="00B475DF" w:rsidRPr="00B475DF">
        <w:t>frekvencia</w:t>
      </w:r>
      <w:r>
        <w:t>sávban</w:t>
      </w:r>
      <w:r w:rsidR="0002694A">
        <w:t xml:space="preserve"> </w:t>
      </w:r>
      <w:r>
        <w:t xml:space="preserve">az MFCN bevezetésére az európai szabályozás alapján nyílik lehetőség. </w:t>
      </w:r>
    </w:p>
    <w:p w14:paraId="6B63E9EE" w14:textId="77777777" w:rsidR="001E50C0" w:rsidRDefault="00DE62EF" w:rsidP="00643A2A">
      <w:pPr>
        <w:pStyle w:val="Cmsor3szmozottnmhh"/>
        <w:spacing w:before="360"/>
        <w:ind w:left="993" w:hanging="851"/>
      </w:pPr>
      <w:bookmarkStart w:id="12" w:name="_Toc26089474"/>
      <w:bookmarkStart w:id="13" w:name="_Toc26091885"/>
      <w:bookmarkStart w:id="14" w:name="_Toc26095856"/>
      <w:bookmarkStart w:id="15" w:name="_Toc26089475"/>
      <w:bookmarkStart w:id="16" w:name="_Toc26091886"/>
      <w:bookmarkStart w:id="17" w:name="_Toc26095857"/>
      <w:bookmarkStart w:id="18" w:name="_Toc96075653"/>
      <w:bookmarkEnd w:id="10"/>
      <w:bookmarkEnd w:id="12"/>
      <w:bookmarkEnd w:id="13"/>
      <w:bookmarkEnd w:id="14"/>
      <w:bookmarkEnd w:id="15"/>
      <w:bookmarkEnd w:id="16"/>
      <w:bookmarkEnd w:id="17"/>
      <w:r>
        <w:t>CEPT</w:t>
      </w:r>
      <w:bookmarkEnd w:id="18"/>
    </w:p>
    <w:p w14:paraId="73124459" w14:textId="06D47BBC" w:rsidR="00DE62EF" w:rsidRDefault="00DE62EF" w:rsidP="00385D95">
      <w:pPr>
        <w:pStyle w:val="CM14"/>
        <w:spacing w:before="120" w:after="120" w:line="276" w:lineRule="auto"/>
        <w:ind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Az </w:t>
      </w:r>
      <w:r w:rsidR="00CA77FD">
        <w:rPr>
          <w:color w:val="000000"/>
          <w:sz w:val="20"/>
          <w:szCs w:val="20"/>
        </w:rPr>
        <w:t>1427</w:t>
      </w:r>
      <w:r>
        <w:rPr>
          <w:color w:val="000000"/>
          <w:sz w:val="20"/>
          <w:szCs w:val="20"/>
        </w:rPr>
        <w:t>-</w:t>
      </w:r>
      <w:r w:rsidR="00CA77FD">
        <w:rPr>
          <w:color w:val="000000"/>
          <w:sz w:val="20"/>
          <w:szCs w:val="20"/>
        </w:rPr>
        <w:t xml:space="preserve">1518 </w:t>
      </w:r>
      <w:r>
        <w:rPr>
          <w:color w:val="000000"/>
          <w:sz w:val="20"/>
          <w:szCs w:val="20"/>
        </w:rPr>
        <w:t xml:space="preserve">MHz </w:t>
      </w:r>
      <w:r w:rsidR="00B475DF" w:rsidRPr="00B475DF">
        <w:rPr>
          <w:color w:val="000000"/>
          <w:sz w:val="20"/>
          <w:szCs w:val="20"/>
        </w:rPr>
        <w:t>frekvencia</w:t>
      </w:r>
      <w:r>
        <w:rPr>
          <w:color w:val="000000"/>
          <w:sz w:val="20"/>
          <w:szCs w:val="20"/>
        </w:rPr>
        <w:t>sáv használ</w:t>
      </w:r>
      <w:r w:rsidR="00B05643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ára vonatkozóan a CEPT felelős munkacsoportjaiban az </w:t>
      </w:r>
      <w:r w:rsidR="00CA77FD">
        <w:rPr>
          <w:color w:val="000000"/>
          <w:sz w:val="20"/>
          <w:szCs w:val="20"/>
        </w:rPr>
        <w:t>alábbi</w:t>
      </w:r>
      <w:r>
        <w:rPr>
          <w:color w:val="000000"/>
          <w:sz w:val="20"/>
          <w:szCs w:val="20"/>
        </w:rPr>
        <w:t xml:space="preserve"> dokumentumok kerültek</w:t>
      </w:r>
      <w:r w:rsidR="00CA77FD">
        <w:rPr>
          <w:color w:val="000000"/>
          <w:sz w:val="20"/>
          <w:szCs w:val="20"/>
        </w:rPr>
        <w:t xml:space="preserve"> elfogadásra</w:t>
      </w:r>
      <w:r>
        <w:rPr>
          <w:color w:val="000000"/>
          <w:sz w:val="20"/>
          <w:szCs w:val="20"/>
        </w:rPr>
        <w:t xml:space="preserve">: </w:t>
      </w:r>
    </w:p>
    <w:p w14:paraId="1ED4F1F6" w14:textId="55E00DD2" w:rsidR="00CA77FD" w:rsidRPr="00720CD3" w:rsidRDefault="00CA77FD" w:rsidP="00B475DF">
      <w:pPr>
        <w:pStyle w:val="CM14"/>
        <w:numPr>
          <w:ilvl w:val="0"/>
          <w:numId w:val="9"/>
        </w:numPr>
        <w:spacing w:before="120" w:after="120" w:line="276" w:lineRule="auto"/>
        <w:jc w:val="both"/>
        <w:rPr>
          <w:color w:val="000000"/>
          <w:sz w:val="20"/>
          <w:szCs w:val="20"/>
        </w:rPr>
      </w:pPr>
      <w:r w:rsidRPr="00CA77FD">
        <w:rPr>
          <w:color w:val="000000"/>
          <w:sz w:val="20"/>
          <w:szCs w:val="20"/>
        </w:rPr>
        <w:t xml:space="preserve">CEPT </w:t>
      </w:r>
      <w:r w:rsidR="008809CB">
        <w:rPr>
          <w:color w:val="000000"/>
          <w:sz w:val="20"/>
          <w:szCs w:val="20"/>
        </w:rPr>
        <w:t xml:space="preserve">54. </w:t>
      </w:r>
      <w:r w:rsidRPr="00CA77FD">
        <w:rPr>
          <w:color w:val="000000"/>
          <w:sz w:val="20"/>
          <w:szCs w:val="20"/>
        </w:rPr>
        <w:t>jelentés</w:t>
      </w:r>
      <w:r>
        <w:rPr>
          <w:rStyle w:val="Lbjegyzet-hivatkozs"/>
          <w:color w:val="000000"/>
          <w:sz w:val="20"/>
          <w:szCs w:val="20"/>
        </w:rPr>
        <w:footnoteReference w:id="12"/>
      </w:r>
      <w:r w:rsidRPr="00CA77FD">
        <w:rPr>
          <w:color w:val="000000"/>
          <w:sz w:val="20"/>
          <w:szCs w:val="20"/>
        </w:rPr>
        <w:t>, amely</w:t>
      </w:r>
      <w:r>
        <w:rPr>
          <w:color w:val="000000"/>
          <w:sz w:val="20"/>
          <w:szCs w:val="20"/>
        </w:rPr>
        <w:t xml:space="preserve"> a Bizottságnak a CEPT felé kiadott megbízására válaszul</w:t>
      </w:r>
      <w:r w:rsidRPr="00CA77FD">
        <w:rPr>
          <w:color w:val="000000"/>
          <w:sz w:val="20"/>
          <w:szCs w:val="20"/>
        </w:rPr>
        <w:t xml:space="preserve"> javasolta az 1452–1492 MHz </w:t>
      </w:r>
      <w:r w:rsidR="00B475DF" w:rsidRPr="00B475DF">
        <w:rPr>
          <w:color w:val="000000"/>
          <w:sz w:val="20"/>
          <w:szCs w:val="20"/>
        </w:rPr>
        <w:t>frekvencia</w:t>
      </w:r>
      <w:r w:rsidRPr="00CA77FD">
        <w:rPr>
          <w:color w:val="000000"/>
          <w:sz w:val="20"/>
          <w:szCs w:val="20"/>
        </w:rPr>
        <w:t xml:space="preserve">sáv harmonizálását vezetéknélküli szélessávú kiegészítő lemenő irányú összeköttetések céljára, megengedve egyúttal a tagállamoknak a nemzeti sajátosságokhoz való igazodást a </w:t>
      </w:r>
      <w:r w:rsidR="00B475DF" w:rsidRPr="00B475DF">
        <w:rPr>
          <w:color w:val="000000"/>
          <w:sz w:val="20"/>
          <w:szCs w:val="20"/>
        </w:rPr>
        <w:t>frekvencia</w:t>
      </w:r>
      <w:r w:rsidRPr="00CA77FD">
        <w:rPr>
          <w:color w:val="000000"/>
          <w:sz w:val="20"/>
          <w:szCs w:val="20"/>
        </w:rPr>
        <w:t xml:space="preserve">sáv egyes részeiben (például 1 452–1 479,5 MHz a földfelszíni műsorszórás céljára). A Bizottság számára összeállított CEPT </w:t>
      </w:r>
      <w:r w:rsidR="008809CB">
        <w:rPr>
          <w:color w:val="000000"/>
          <w:sz w:val="20"/>
          <w:szCs w:val="20"/>
        </w:rPr>
        <w:t>54. J</w:t>
      </w:r>
      <w:r w:rsidRPr="00CA77FD">
        <w:rPr>
          <w:color w:val="000000"/>
          <w:sz w:val="20"/>
          <w:szCs w:val="20"/>
        </w:rPr>
        <w:t xml:space="preserve">elentés meghatározza a vezetéknélküli szélessávú elektronikus hírközlési szolgáltatások és a T-DAB, valamint a légiforgalmi távmérési szolgálat közötti, határövezeti – beleértve az Unió határain levőket is – koordinációhoz szükséges műszaki feltételeket és alapelveket az 1452–1492 MHz </w:t>
      </w:r>
      <w:r w:rsidR="00B475DF" w:rsidRPr="00B475DF">
        <w:rPr>
          <w:color w:val="000000"/>
          <w:sz w:val="20"/>
          <w:szCs w:val="20"/>
        </w:rPr>
        <w:t>frekvencia</w:t>
      </w:r>
      <w:r w:rsidRPr="00CA77FD">
        <w:rPr>
          <w:color w:val="000000"/>
          <w:sz w:val="20"/>
          <w:szCs w:val="20"/>
        </w:rPr>
        <w:t>sávban</w:t>
      </w:r>
    </w:p>
    <w:p w14:paraId="6A5325EF" w14:textId="0F7F0FED" w:rsidR="00DE62EF" w:rsidRDefault="00DE62EF" w:rsidP="0055107B">
      <w:pPr>
        <w:pStyle w:val="CM21"/>
        <w:numPr>
          <w:ilvl w:val="0"/>
          <w:numId w:val="9"/>
        </w:numP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ECC/DEC/(13</w:t>
      </w:r>
      <w:proofErr w:type="gramStart"/>
      <w:r>
        <w:rPr>
          <w:color w:val="000000"/>
          <w:sz w:val="20"/>
          <w:szCs w:val="20"/>
        </w:rPr>
        <w:t>)03</w:t>
      </w:r>
      <w:proofErr w:type="gramEnd"/>
      <w:r>
        <w:rPr>
          <w:rStyle w:val="Lbjegyzet-hivatkozs"/>
          <w:color w:val="000000"/>
          <w:sz w:val="20"/>
          <w:szCs w:val="20"/>
        </w:rPr>
        <w:footnoteReference w:id="13"/>
      </w:r>
      <w:r>
        <w:rPr>
          <w:color w:val="000000"/>
          <w:sz w:val="20"/>
          <w:szCs w:val="20"/>
        </w:rPr>
        <w:t xml:space="preserve"> </w:t>
      </w:r>
      <w:r w:rsidR="008809CB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atározat, mely tartalmazza az 1452–1492 MHz </w:t>
      </w:r>
      <w:r w:rsidR="0055107B" w:rsidRPr="0055107B">
        <w:rPr>
          <w:color w:val="000000"/>
          <w:sz w:val="20"/>
          <w:szCs w:val="20"/>
        </w:rPr>
        <w:t>frekvencia</w:t>
      </w:r>
      <w:r>
        <w:rPr>
          <w:color w:val="000000"/>
          <w:sz w:val="20"/>
          <w:szCs w:val="20"/>
        </w:rPr>
        <w:t>sáv MFCN célú használ</w:t>
      </w:r>
      <w:r w:rsidR="00B05643">
        <w:rPr>
          <w:color w:val="000000"/>
          <w:sz w:val="20"/>
          <w:szCs w:val="20"/>
        </w:rPr>
        <w:t>at</w:t>
      </w:r>
      <w:r>
        <w:rPr>
          <w:color w:val="000000"/>
          <w:sz w:val="20"/>
          <w:szCs w:val="20"/>
        </w:rPr>
        <w:t xml:space="preserve">ához szükséges harmonizált műszaki feltételeket, a javasolt csatornaelrendezést és a különböző rádiós szolgálatok együttélését biztosító maximálisan kisugározható teljesítményértékeket; </w:t>
      </w:r>
    </w:p>
    <w:p w14:paraId="12E32B2D" w14:textId="1892BA63" w:rsidR="00DE62EF" w:rsidRDefault="00DE62EF" w:rsidP="008809CB">
      <w:pPr>
        <w:pStyle w:val="CM14"/>
        <w:numPr>
          <w:ilvl w:val="0"/>
          <w:numId w:val="9"/>
        </w:numP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ECC/REC/(15</w:t>
      </w:r>
      <w:proofErr w:type="gramStart"/>
      <w:r>
        <w:rPr>
          <w:color w:val="000000"/>
          <w:sz w:val="20"/>
          <w:szCs w:val="20"/>
        </w:rPr>
        <w:t>)01</w:t>
      </w:r>
      <w:proofErr w:type="gramEnd"/>
      <w:r>
        <w:rPr>
          <w:rStyle w:val="Lbjegyzet-hivatkozs"/>
          <w:color w:val="000000"/>
          <w:sz w:val="20"/>
          <w:szCs w:val="20"/>
        </w:rPr>
        <w:footnoteReference w:id="14"/>
      </w:r>
      <w:r>
        <w:rPr>
          <w:color w:val="000000"/>
          <w:sz w:val="20"/>
          <w:szCs w:val="20"/>
        </w:rPr>
        <w:t xml:space="preserve"> </w:t>
      </w:r>
      <w:r w:rsidR="008809CB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jánlás: az 1452–1492 MHz, 3400–3600 MHz és a 3600–3800 MHz frekvenciasávban működő mozgó/állandóhelyű hírközlő hálózatok (MFCN) határövezeti koordinációjára vonatkozik; </w:t>
      </w:r>
    </w:p>
    <w:p w14:paraId="2FFC1FA9" w14:textId="766FB846" w:rsidR="00DE62EF" w:rsidRPr="00DE62EF" w:rsidRDefault="00DE62EF" w:rsidP="00B475DF">
      <w:pPr>
        <w:pStyle w:val="Behzottbekezdsnmhh"/>
        <w:numPr>
          <w:ilvl w:val="0"/>
          <w:numId w:val="9"/>
        </w:numPr>
        <w:spacing w:before="120"/>
      </w:pPr>
      <w:r>
        <w:rPr>
          <w:color w:val="000000"/>
        </w:rPr>
        <w:t>ECC 202</w:t>
      </w:r>
      <w:r w:rsidR="008809CB">
        <w:rPr>
          <w:color w:val="000000"/>
        </w:rPr>
        <w:t>.</w:t>
      </w:r>
      <w:r>
        <w:rPr>
          <w:rStyle w:val="Lbjegyzet-hivatkozs"/>
          <w:color w:val="000000"/>
        </w:rPr>
        <w:footnoteReference w:id="15"/>
      </w:r>
      <w:r>
        <w:rPr>
          <w:color w:val="000000"/>
        </w:rPr>
        <w:t xml:space="preserve"> </w:t>
      </w:r>
      <w:r w:rsidR="008809CB">
        <w:rPr>
          <w:color w:val="000000"/>
        </w:rPr>
        <w:t>J</w:t>
      </w:r>
      <w:r>
        <w:rPr>
          <w:color w:val="000000"/>
        </w:rPr>
        <w:t xml:space="preserve">elentés: az 1452–1492 MHz </w:t>
      </w:r>
      <w:r w:rsidR="00B475DF" w:rsidRPr="00B475DF">
        <w:rPr>
          <w:color w:val="000000"/>
        </w:rPr>
        <w:t>frekvencia</w:t>
      </w:r>
      <w:r>
        <w:rPr>
          <w:color w:val="000000"/>
        </w:rPr>
        <w:t>sávban működő kiegészítő lemenő irányú (SDL) mozgó/állandóhelyű hírközlő hálózatok (MFCN) sávon kívüli sugárzási követelményeit tartalmazza;</w:t>
      </w:r>
    </w:p>
    <w:p w14:paraId="765766B7" w14:textId="5D44EA32" w:rsidR="00405E03" w:rsidRDefault="00DE62EF" w:rsidP="00B475DF">
      <w:pPr>
        <w:pStyle w:val="Behzottbekezdsnmhh"/>
        <w:numPr>
          <w:ilvl w:val="0"/>
          <w:numId w:val="9"/>
        </w:numPr>
        <w:spacing w:before="120"/>
      </w:pPr>
      <w:r>
        <w:lastRenderedPageBreak/>
        <w:t>ECC 227</w:t>
      </w:r>
      <w:r w:rsidR="008809CB">
        <w:t>.</w:t>
      </w:r>
      <w:r>
        <w:rPr>
          <w:rStyle w:val="Lbjegyzet-hivatkozs"/>
        </w:rPr>
        <w:footnoteReference w:id="16"/>
      </w:r>
      <w:r>
        <w:t xml:space="preserve"> </w:t>
      </w:r>
      <w:r w:rsidR="008809CB">
        <w:t>J</w:t>
      </w:r>
      <w:r>
        <w:t xml:space="preserve">elentés: az 1452–1492 MHz </w:t>
      </w:r>
      <w:r w:rsidR="00B475DF" w:rsidRPr="00B475DF">
        <w:t>frekvencia</w:t>
      </w:r>
      <w:r>
        <w:t>sávban működő kiegészítő lemenőirányú (SDL) mozgó/állandóhelyű hírközlő hálózatok (MFCN) valamint az egyéb érintettszolgálatok (műsorszórás, légiforgalmi távmérés) közötti kompatibilitási vizsgálatokat tartalmazza</w:t>
      </w:r>
      <w:r w:rsidR="00405E03">
        <w:t>;</w:t>
      </w:r>
    </w:p>
    <w:p w14:paraId="120C6FE5" w14:textId="15009B9E" w:rsidR="00734F92" w:rsidRDefault="00734F92" w:rsidP="00E1332E">
      <w:pPr>
        <w:pStyle w:val="Behzottbekezdsnmhh"/>
        <w:numPr>
          <w:ilvl w:val="0"/>
          <w:numId w:val="9"/>
        </w:numPr>
        <w:spacing w:before="120"/>
      </w:pPr>
      <w:r>
        <w:t>ECC/DEC/(17</w:t>
      </w:r>
      <w:proofErr w:type="gramStart"/>
      <w:r>
        <w:t>)06</w:t>
      </w:r>
      <w:proofErr w:type="gramEnd"/>
      <w:r>
        <w:rPr>
          <w:rStyle w:val="Lbjegyzet-hivatkozs"/>
          <w:color w:val="000000"/>
        </w:rPr>
        <w:footnoteReference w:id="17"/>
      </w:r>
      <w:r>
        <w:t xml:space="preserve"> </w:t>
      </w:r>
      <w:r w:rsidR="008809CB">
        <w:t xml:space="preserve">Határozat: </w:t>
      </w:r>
      <w:r w:rsidR="00526853">
        <w:t xml:space="preserve">az 1427-1452 MHz és az 1492-1518 MHz frekvenciasávnak a mozgó/állandóhelyű hírközlő hálózatok kiegészítő lemenő irányú összeköttetései (MFCN SDL) céljára történő harmonizált </w:t>
      </w:r>
      <w:r w:rsidR="00526853">
        <w:rPr>
          <w:color w:val="000000"/>
        </w:rPr>
        <w:t>használ</w:t>
      </w:r>
      <w:r w:rsidR="00B05643">
        <w:rPr>
          <w:color w:val="000000"/>
        </w:rPr>
        <w:t>até</w:t>
      </w:r>
      <w:r w:rsidR="00526853">
        <w:rPr>
          <w:color w:val="000000"/>
        </w:rPr>
        <w:t>hoz szükséges műszaki feltételeket, a javasolt csatornaelrendezést tartalmazza;</w:t>
      </w:r>
    </w:p>
    <w:p w14:paraId="022D6FF3" w14:textId="44A30992" w:rsidR="00B85A3A" w:rsidRDefault="00405E03" w:rsidP="00B475DF">
      <w:pPr>
        <w:pStyle w:val="Behzottbekezdsnmhh"/>
        <w:numPr>
          <w:ilvl w:val="0"/>
          <w:numId w:val="9"/>
        </w:numPr>
        <w:spacing w:before="120"/>
      </w:pPr>
      <w:r>
        <w:t>ECC 295</w:t>
      </w:r>
      <w:r w:rsidR="008809CB">
        <w:t>.</w:t>
      </w:r>
      <w:r w:rsidR="00C91A12">
        <w:rPr>
          <w:rStyle w:val="Lbjegyzet-hivatkozs"/>
          <w:color w:val="000000"/>
        </w:rPr>
        <w:footnoteReference w:id="18"/>
      </w:r>
      <w:r>
        <w:t xml:space="preserve"> </w:t>
      </w:r>
      <w:r w:rsidR="008809CB">
        <w:t>J</w:t>
      </w:r>
      <w:r>
        <w:t>elentés:</w:t>
      </w:r>
      <w:r w:rsidR="00C91A12">
        <w:t xml:space="preserve"> útmutat</w:t>
      </w:r>
      <w:r w:rsidR="00FB7FD3">
        <w:t>á</w:t>
      </w:r>
      <w:r w:rsidR="00C91A12">
        <w:t xml:space="preserve">st nyújt </w:t>
      </w:r>
      <w:r w:rsidR="00C91A12" w:rsidRPr="00C91A12">
        <w:t>a</w:t>
      </w:r>
      <w:r w:rsidR="00C91A12">
        <w:t>z RR 5.342</w:t>
      </w:r>
      <w:r w:rsidR="00C91A12" w:rsidRPr="00C91A12">
        <w:t xml:space="preserve"> </w:t>
      </w:r>
      <w:r w:rsidR="00C91A12">
        <w:t xml:space="preserve">lábjegyzetében szereplő országok és a velük szomszédos országok számára a </w:t>
      </w:r>
      <w:r w:rsidR="00C91A12" w:rsidRPr="00C91A12">
        <w:t xml:space="preserve">mozgó/állandóhelyű hírközlő hálózatok (MFCN) és az 1429-1518 MHz </w:t>
      </w:r>
      <w:r w:rsidR="00B475DF" w:rsidRPr="00B475DF">
        <w:t>frekvencia</w:t>
      </w:r>
      <w:r w:rsidR="00C91A12" w:rsidRPr="00C91A12">
        <w:t>sávban működő légiforgalmi távmérés határövezeti koordinációjához</w:t>
      </w:r>
      <w:r w:rsidR="00C91A12">
        <w:t>. Ukrajna is szerepel a lábjegyzetben, így Magyarország is érintett ország.</w:t>
      </w:r>
    </w:p>
    <w:p w14:paraId="242C62E5" w14:textId="3DB3019A" w:rsidR="00B85A3A" w:rsidRDefault="00B85A3A" w:rsidP="00B85A3A">
      <w:pPr>
        <w:pStyle w:val="Behzottbekezdsnmhh"/>
        <w:spacing w:before="120"/>
      </w:pPr>
      <w:r>
        <w:t xml:space="preserve">Az ECC/DEC/(13)03 </w:t>
      </w:r>
      <w:r w:rsidR="005A60B1">
        <w:t xml:space="preserve">és ECC/DEC/(17)06 </w:t>
      </w:r>
      <w:r w:rsidR="008809CB">
        <w:t>H</w:t>
      </w:r>
      <w:r>
        <w:t>atározat</w:t>
      </w:r>
      <w:r w:rsidR="005A60B1">
        <w:t>ok</w:t>
      </w:r>
      <w:r w:rsidR="00405E03">
        <w:t xml:space="preserve"> szerinti</w:t>
      </w:r>
      <w:r>
        <w:t xml:space="preserve"> harmonizált </w:t>
      </w:r>
      <w:r w:rsidR="007B6AEC">
        <w:t>spektrum</w:t>
      </w:r>
      <w:r>
        <w:t>használ</w:t>
      </w:r>
      <w:r w:rsidR="007B6AEC">
        <w:t>atnak</w:t>
      </w:r>
      <w:r>
        <w:t xml:space="preserve"> megfelelő frekvenciaelrendezést az 1452-1492 MHz</w:t>
      </w:r>
      <w:r w:rsidR="005A60B1">
        <w:t>, illetve az 1427-1452 MHz és 1492-1518 MHz</w:t>
      </w:r>
      <w:r>
        <w:t xml:space="preserve"> </w:t>
      </w:r>
      <w:r w:rsidR="005A60B1">
        <w:t xml:space="preserve">frekvenciatartományokban </w:t>
      </w:r>
      <w:r>
        <w:t xml:space="preserve">a </w:t>
      </w:r>
      <w:r w:rsidR="007B6AEC">
        <w:t>3.1.2</w:t>
      </w:r>
      <w:r w:rsidR="008809CB">
        <w:t>.</w:t>
      </w:r>
      <w:proofErr w:type="gramStart"/>
      <w:r w:rsidR="008809CB">
        <w:t>a</w:t>
      </w:r>
      <w:proofErr w:type="gramEnd"/>
      <w:r w:rsidR="008809CB">
        <w:t xml:space="preserve"> és b.</w:t>
      </w:r>
      <w:r w:rsidR="007B6AEC">
        <w:t xml:space="preserve"> </w:t>
      </w:r>
      <w:proofErr w:type="gramStart"/>
      <w:r>
        <w:t>ábra</w:t>
      </w:r>
      <w:proofErr w:type="gramEnd"/>
      <w:r>
        <w:t xml:space="preserve"> szemlélteti</w:t>
      </w:r>
      <w:r w:rsidR="00B05643">
        <w:t>.</w:t>
      </w:r>
      <w:r>
        <w:t xml:space="preserve"> </w:t>
      </w:r>
    </w:p>
    <w:p w14:paraId="38C9CCAA" w14:textId="29530135" w:rsidR="0043051F" w:rsidRDefault="00B85A3A" w:rsidP="00167CD4">
      <w:pPr>
        <w:jc w:val="center"/>
        <w:rPr>
          <w:bCs/>
          <w:color w:val="4F81BD" w:themeColor="accent1"/>
          <w:sz w:val="18"/>
          <w:szCs w:val="18"/>
        </w:rPr>
      </w:pPr>
      <w:r w:rsidRPr="00B85A3A">
        <w:rPr>
          <w:noProof/>
          <w:lang w:eastAsia="hu-HU"/>
        </w:rPr>
        <w:drawing>
          <wp:inline distT="0" distB="0" distL="0" distR="0" wp14:anchorId="6A7C1C1F" wp14:editId="1C6C2A16">
            <wp:extent cx="5760720" cy="7805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F9A0" w14:textId="1F78954A" w:rsidR="001B2C68" w:rsidRDefault="00B52E57" w:rsidP="001B2C68">
      <w:pPr>
        <w:pStyle w:val="Kpalrs"/>
        <w:keepNext/>
        <w:jc w:val="center"/>
      </w:pPr>
      <w:fldSimple w:instr=" SEQ táblázat \* ARABIC ">
        <w:r w:rsidR="001B2C68" w:rsidRPr="00222B4B">
          <w:rPr>
            <w:noProof/>
          </w:rPr>
          <w:t>3</w:t>
        </w:r>
      </w:fldSimple>
      <w:r w:rsidR="002640D6">
        <w:t>1.2</w:t>
      </w:r>
      <w:r w:rsidR="001B2C68" w:rsidRPr="00222B4B">
        <w:t>.</w:t>
      </w:r>
      <w:proofErr w:type="gramStart"/>
      <w:r w:rsidR="002640D6">
        <w:t>a</w:t>
      </w:r>
      <w:proofErr w:type="gramEnd"/>
      <w:r w:rsidR="001B2C68" w:rsidRPr="00222B4B">
        <w:t xml:space="preserve"> </w:t>
      </w:r>
      <w:r w:rsidR="001B2C68">
        <w:t>ábra</w:t>
      </w:r>
      <w:r w:rsidR="001B2C68" w:rsidRPr="00222B4B">
        <w:t xml:space="preserve">: </w:t>
      </w:r>
      <w:r w:rsidR="001B2C68">
        <w:t xml:space="preserve">Az 1452 -1492 MHz </w:t>
      </w:r>
      <w:r w:rsidR="00B475DF" w:rsidRPr="00B475DF">
        <w:t>frekvencia</w:t>
      </w:r>
      <w:r w:rsidR="001B2C68">
        <w:t>sávrész (1500 MHz „core band”) csatornakiosztása</w:t>
      </w:r>
    </w:p>
    <w:p w14:paraId="14FD255B" w14:textId="77777777" w:rsidR="00167CD4" w:rsidRDefault="00167CD4" w:rsidP="00167CD4">
      <w:pPr>
        <w:pStyle w:val="Behzottbekezdsnmhh"/>
        <w:spacing w:before="120"/>
        <w:ind w:firstLine="0"/>
        <w:jc w:val="center"/>
      </w:pPr>
      <w:r>
        <w:rPr>
          <w:noProof/>
          <w:lang w:eastAsia="hu-HU"/>
        </w:rPr>
        <w:drawing>
          <wp:inline distT="0" distB="0" distL="0" distR="0" wp14:anchorId="55E8ABAF" wp14:editId="5A0F3290">
            <wp:extent cx="4482933" cy="863911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879" cy="88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EC356" w14:textId="77777777" w:rsidR="00167CD4" w:rsidRDefault="00167CD4" w:rsidP="00167CD4">
      <w:pPr>
        <w:pStyle w:val="Behzottbekezdsnmhh"/>
        <w:spacing w:before="120"/>
        <w:ind w:firstLine="0"/>
        <w:jc w:val="center"/>
      </w:pPr>
      <w:r>
        <w:rPr>
          <w:noProof/>
          <w:lang w:eastAsia="hu-HU"/>
        </w:rPr>
        <w:drawing>
          <wp:inline distT="0" distB="0" distL="0" distR="0" wp14:anchorId="14139DED" wp14:editId="4F9E37E2">
            <wp:extent cx="5183469" cy="7835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021" cy="7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FAC4" w14:textId="212EB8E3" w:rsidR="009221CF" w:rsidRDefault="00B52E57" w:rsidP="00330E55">
      <w:pPr>
        <w:pStyle w:val="Kpalrs"/>
        <w:keepNext/>
        <w:jc w:val="center"/>
      </w:pPr>
      <w:fldSimple w:instr=" SEQ táblázat \* ARABIC ">
        <w:r w:rsidR="009221CF" w:rsidRPr="00222B4B">
          <w:rPr>
            <w:noProof/>
          </w:rPr>
          <w:t>3</w:t>
        </w:r>
      </w:fldSimple>
      <w:r w:rsidR="009221CF" w:rsidRPr="00222B4B">
        <w:t>.</w:t>
      </w:r>
      <w:r w:rsidR="002640D6">
        <w:t>1.2</w:t>
      </w:r>
      <w:proofErr w:type="gramStart"/>
      <w:r w:rsidR="002640D6">
        <w:t>.b</w:t>
      </w:r>
      <w:proofErr w:type="gramEnd"/>
      <w:r w:rsidR="009221CF" w:rsidRPr="00222B4B">
        <w:t xml:space="preserve"> </w:t>
      </w:r>
      <w:r w:rsidR="00222B4B">
        <w:t>ábra</w:t>
      </w:r>
      <w:r w:rsidR="009221CF" w:rsidRPr="00222B4B">
        <w:t xml:space="preserve">: </w:t>
      </w:r>
      <w:r w:rsidR="00222B4B">
        <w:t xml:space="preserve">Az 1427-1452 MHz és az </w:t>
      </w:r>
      <w:r w:rsidR="009221CF" w:rsidRPr="00222B4B">
        <w:t>1492-1518 MHz</w:t>
      </w:r>
      <w:r w:rsidR="00222B4B">
        <w:t xml:space="preserve"> </w:t>
      </w:r>
      <w:r w:rsidR="00B475DF" w:rsidRPr="00B475DF">
        <w:t>frekvencia</w:t>
      </w:r>
      <w:r w:rsidR="00222B4B">
        <w:t>sávrészek (1500 MH</w:t>
      </w:r>
      <w:r w:rsidR="001B2C68">
        <w:t>z</w:t>
      </w:r>
      <w:r w:rsidR="00222B4B">
        <w:t xml:space="preserve"> </w:t>
      </w:r>
      <w:r w:rsidR="002640D6">
        <w:t>”extension”</w:t>
      </w:r>
      <w:r w:rsidR="001B2C68">
        <w:t>)</w:t>
      </w:r>
      <w:r w:rsidR="00222B4B">
        <w:t xml:space="preserve"> csatornakiosztása</w:t>
      </w:r>
    </w:p>
    <w:p w14:paraId="17C2BD18" w14:textId="77777777" w:rsidR="00167CD4" w:rsidRDefault="00167CD4" w:rsidP="00B85A3A">
      <w:pPr>
        <w:pStyle w:val="Behzottbekezdsnmhh"/>
        <w:spacing w:before="120"/>
        <w:ind w:firstLine="284"/>
      </w:pPr>
    </w:p>
    <w:p w14:paraId="4419E83D" w14:textId="21FDC829" w:rsidR="00B85A3A" w:rsidRDefault="00B85A3A" w:rsidP="00B85A3A">
      <w:pPr>
        <w:pStyle w:val="Behzottbekezdsnmhh"/>
        <w:spacing w:before="120"/>
        <w:ind w:firstLine="284"/>
      </w:pPr>
      <w:r w:rsidRPr="00222B4B">
        <w:t>A</w:t>
      </w:r>
      <w:r w:rsidR="00A6788F" w:rsidRPr="00222B4B">
        <w:t xml:space="preserve"> CEPT szinten</w:t>
      </w:r>
      <w:r w:rsidRPr="00222B4B">
        <w:t xml:space="preserve"> MFCN </w:t>
      </w:r>
      <w:r w:rsidR="00B65EC4" w:rsidRPr="00222B4B">
        <w:t xml:space="preserve">célra </w:t>
      </w:r>
      <w:r w:rsidRPr="00222B4B">
        <w:t>harmonizá</w:t>
      </w:r>
      <w:r w:rsidR="00B65EC4" w:rsidRPr="00222B4B">
        <w:t>lt</w:t>
      </w:r>
      <w:r w:rsidRPr="00222B4B">
        <w:t xml:space="preserve"> </w:t>
      </w:r>
      <w:r w:rsidR="00B65EC4" w:rsidRPr="00222B4B">
        <w:t xml:space="preserve">1500 MHz-es </w:t>
      </w:r>
      <w:r w:rsidR="00B475DF" w:rsidRPr="00B475DF">
        <w:t>frekvencia</w:t>
      </w:r>
      <w:r w:rsidR="00B65EC4" w:rsidRPr="00222B4B">
        <w:t xml:space="preserve">sávban még több országban üzemelnek </w:t>
      </w:r>
      <w:r w:rsidR="00A6788F" w:rsidRPr="00222B4B">
        <w:t>katonai</w:t>
      </w:r>
      <w:r w:rsidR="00494512" w:rsidRPr="00222B4B">
        <w:t xml:space="preserve"> </w:t>
      </w:r>
      <w:r w:rsidR="00B65EC4" w:rsidRPr="00222B4B">
        <w:t>rendszerek is</w:t>
      </w:r>
      <w:r w:rsidR="001B2C68">
        <w:t>.</w:t>
      </w:r>
      <w:r w:rsidR="00B65EC4" w:rsidRPr="00222B4B">
        <w:t xml:space="preserve"> </w:t>
      </w:r>
      <w:r w:rsidR="00A6788F" w:rsidRPr="00222B4B">
        <w:t xml:space="preserve">Az </w:t>
      </w:r>
      <w:r w:rsidRPr="00222B4B">
        <w:t xml:space="preserve">1427-1452 MHz és 1492-1518 MH </w:t>
      </w:r>
      <w:r w:rsidR="00B475DF" w:rsidRPr="00B475DF">
        <w:t>frekvencia</w:t>
      </w:r>
      <w:r w:rsidRPr="00222B4B">
        <w:t xml:space="preserve">sávok a CEPT-en belül kis kapacitású állandóhelyű összeköttetések számára </w:t>
      </w:r>
      <w:r w:rsidR="00A6788F" w:rsidRPr="00222B4B">
        <w:t>is ki</w:t>
      </w:r>
      <w:r w:rsidRPr="00222B4B">
        <w:t>jelölhetők a T/R 13-01</w:t>
      </w:r>
      <w:r w:rsidRPr="00222B4B">
        <w:rPr>
          <w:rStyle w:val="Lbjegyzet-hivatkozs"/>
        </w:rPr>
        <w:footnoteReference w:id="19"/>
      </w:r>
      <w:r w:rsidRPr="00222B4B">
        <w:t xml:space="preserve"> műszaki ajánlás </w:t>
      </w:r>
      <w:r w:rsidRPr="00222B4B">
        <w:lastRenderedPageBreak/>
        <w:t>alapján</w:t>
      </w:r>
      <w:r w:rsidR="00A6788F" w:rsidRPr="00222B4B">
        <w:t xml:space="preserve">. </w:t>
      </w:r>
      <w:r w:rsidRPr="00222B4B">
        <w:t xml:space="preserve"> Az 1492-</w:t>
      </w:r>
      <w:r>
        <w:t xml:space="preserve">1518 MHz </w:t>
      </w:r>
      <w:r w:rsidR="00B475DF" w:rsidRPr="00B475DF">
        <w:t>frekvencia</w:t>
      </w:r>
      <w:r>
        <w:t>sávban az ERC/REC 70-03</w:t>
      </w:r>
      <w:r>
        <w:rPr>
          <w:rStyle w:val="Lbjegyzet-hivatkozs"/>
        </w:rPr>
        <w:footnoteReference w:id="20"/>
      </w:r>
      <w:r>
        <w:t xml:space="preserve"> </w:t>
      </w:r>
      <w:r w:rsidR="002E5035">
        <w:t>A</w:t>
      </w:r>
      <w:r>
        <w:t>jánlás alapján SRD</w:t>
      </w:r>
      <w:r>
        <w:rPr>
          <w:rStyle w:val="Lbjegyzet-hivatkozs"/>
        </w:rPr>
        <w:footnoteReference w:id="21"/>
      </w:r>
      <w:r>
        <w:t xml:space="preserve"> alkalmazások is </w:t>
      </w:r>
      <w:r w:rsidR="00A6788F">
        <w:t>üzemelhetnek</w:t>
      </w:r>
      <w:r w:rsidR="00F60A55">
        <w:t>.</w:t>
      </w:r>
      <w:r w:rsidR="00A6788F">
        <w:t xml:space="preserve"> </w:t>
      </w:r>
    </w:p>
    <w:p w14:paraId="30EF44CD" w14:textId="397A4D53" w:rsidR="005A60B1" w:rsidRDefault="005A60B1" w:rsidP="00B85A3A">
      <w:pPr>
        <w:pStyle w:val="Behzottbekezdsnmhh"/>
        <w:spacing w:before="120"/>
        <w:ind w:firstLine="284"/>
      </w:pPr>
      <w:r>
        <w:t xml:space="preserve">A CEPT vizsgálatok során az 5G megfelelőség szempontjait is figyelembe kellett venni, az EU által </w:t>
      </w:r>
      <w:r w:rsidR="001C7538">
        <w:t>adott mandátum</w:t>
      </w:r>
      <w:r w:rsidR="008C365B">
        <w:rPr>
          <w:rStyle w:val="Lbjegyzet-hivatkozs"/>
        </w:rPr>
        <w:footnoteReference w:id="22"/>
      </w:r>
      <w:r>
        <w:t xml:space="preserve"> szerint fontos </w:t>
      </w:r>
      <w:r w:rsidR="00F60A55">
        <w:t xml:space="preserve">feltétel </w:t>
      </w:r>
      <w:r>
        <w:t xml:space="preserve">volt, hogy a teljes 1427-1518 MHz </w:t>
      </w:r>
      <w:r w:rsidR="00B475DF" w:rsidRPr="00B475DF">
        <w:t>frekvencia</w:t>
      </w:r>
      <w:r>
        <w:t xml:space="preserve">sávban biztosítani </w:t>
      </w:r>
      <w:r w:rsidR="008C365B">
        <w:t>lehessen</w:t>
      </w:r>
      <w:r>
        <w:t xml:space="preserve"> az 5G megfelelőséget</w:t>
      </w:r>
      <w:r w:rsidR="008C365B">
        <w:t>.</w:t>
      </w:r>
    </w:p>
    <w:p w14:paraId="662F41BD" w14:textId="4289151A" w:rsidR="0053019E" w:rsidRDefault="0053019E" w:rsidP="0053019E">
      <w:pPr>
        <w:pStyle w:val="Behzottbekezdsnmhh"/>
      </w:pPr>
      <w:r w:rsidRPr="00C5430D">
        <w:t>A</w:t>
      </w:r>
      <w:r w:rsidR="005A60B1">
        <w:t>z 1500 MHz-es frekvenciasávban, az elfogadott határozatok értelmében, a CEPT igazgatásoknak a nemzeti használ</w:t>
      </w:r>
      <w:r w:rsidR="00B05643">
        <w:t>at</w:t>
      </w:r>
      <w:r w:rsidR="005A60B1">
        <w:t xml:space="preserve">i sajátosságokat és a piaci igényeket figyelembe véve kell dönteniük az MFCN bevezetéséről. </w:t>
      </w:r>
    </w:p>
    <w:p w14:paraId="19BC4A5A" w14:textId="64E3217A" w:rsidR="003B669A" w:rsidRDefault="003B669A" w:rsidP="003B669A">
      <w:pPr>
        <w:pStyle w:val="Behzottbekezdsnmhh"/>
      </w:pPr>
      <w:r>
        <w:t>CEPT</w:t>
      </w:r>
      <w:r w:rsidRPr="002C3924">
        <w:t xml:space="preserve"> szinten </w:t>
      </w:r>
      <w:r>
        <w:t>megvizsgálták</w:t>
      </w:r>
      <w:r w:rsidRPr="002C3924">
        <w:t xml:space="preserve"> az</w:t>
      </w:r>
      <w:r>
        <w:t xml:space="preserve"> </w:t>
      </w:r>
      <w:r w:rsidRPr="002C3924">
        <w:t>1</w:t>
      </w:r>
      <w:r>
        <w:t>500 MHz-es frekvenciasáv</w:t>
      </w:r>
      <w:r w:rsidRPr="002C3924">
        <w:t xml:space="preserve"> </w:t>
      </w:r>
      <w:r w:rsidRPr="009C685B">
        <w:rPr>
          <w:rFonts w:ascii="Arial" w:hAnsi="Arial" w:cs="Arial"/>
        </w:rPr>
        <w:t>5G NR</w:t>
      </w:r>
      <w:r w:rsidRPr="009C685B">
        <w:rPr>
          <w:rStyle w:val="Lbjegyzet-hivatkozs"/>
          <w:rFonts w:ascii="Arial" w:hAnsi="Arial" w:cs="Arial"/>
        </w:rPr>
        <w:footnoteReference w:id="23"/>
      </w:r>
      <w:r w:rsidRPr="009C685B">
        <w:rPr>
          <w:rFonts w:ascii="Arial" w:hAnsi="Arial" w:cs="Arial"/>
        </w:rPr>
        <w:t xml:space="preserve"> </w:t>
      </w:r>
      <w:r>
        <w:t xml:space="preserve">használatának lehetőségét is. Az 1500 MHz-es </w:t>
      </w:r>
      <w:r w:rsidR="00B475DF" w:rsidRPr="00B475DF">
        <w:t>frekvencia</w:t>
      </w:r>
      <w:r>
        <w:t xml:space="preserve">sávban a nemzetközi vizsgálatok alapján nem tervezett az aktív antennarendszerű 5G NR bevezetése. </w:t>
      </w:r>
    </w:p>
    <w:p w14:paraId="3DF9E4A0" w14:textId="77777777" w:rsidR="001E50C0" w:rsidRDefault="00B85A3A" w:rsidP="00643A2A">
      <w:pPr>
        <w:pStyle w:val="Cmsor3szmozottnmhh"/>
        <w:spacing w:before="360"/>
        <w:ind w:left="993" w:hanging="851"/>
      </w:pPr>
      <w:bookmarkStart w:id="19" w:name="_Toc96075654"/>
      <w:r>
        <w:t>EU</w:t>
      </w:r>
      <w:bookmarkEnd w:id="19"/>
    </w:p>
    <w:p w14:paraId="36C4965B" w14:textId="33F47192" w:rsidR="008C365B" w:rsidRPr="00CC3F46" w:rsidRDefault="00B85A3A" w:rsidP="00B85A3A">
      <w:pPr>
        <w:pStyle w:val="Behzottbekezdsnmhh"/>
        <w:spacing w:before="120"/>
        <w:ind w:firstLine="284"/>
      </w:pPr>
      <w:bookmarkStart w:id="20" w:name="_Toc473880721"/>
      <w:r w:rsidRPr="00CC3F46">
        <w:t>A</w:t>
      </w:r>
      <w:r w:rsidR="008C365B" w:rsidRPr="00CC3F46">
        <w:t xml:space="preserve">z 1500 MHz-es </w:t>
      </w:r>
      <w:r w:rsidR="00B475DF" w:rsidRPr="00B475DF">
        <w:t>frekvencia</w:t>
      </w:r>
      <w:r w:rsidR="008C365B" w:rsidRPr="00CC3F46">
        <w:t>sáv MFCN célú harmonizált használ</w:t>
      </w:r>
      <w:r w:rsidR="00B475DF">
        <w:t>a</w:t>
      </w:r>
      <w:r w:rsidR="008C365B" w:rsidRPr="00CC3F46">
        <w:t>t</w:t>
      </w:r>
      <w:r w:rsidR="00B475DF">
        <w:t>át</w:t>
      </w:r>
      <w:r w:rsidR="008C365B" w:rsidRPr="00CC3F46">
        <w:t xml:space="preserve"> az alábbi uniós dokumentumok </w:t>
      </w:r>
      <w:r w:rsidR="00B475DF">
        <w:t>írják elő</w:t>
      </w:r>
      <w:r w:rsidR="008C365B" w:rsidRPr="00CC3F46">
        <w:t>:</w:t>
      </w:r>
    </w:p>
    <w:p w14:paraId="2EC8FECC" w14:textId="77777777" w:rsidR="00B85A3A" w:rsidRPr="00720CD3" w:rsidRDefault="00B85A3A" w:rsidP="00E1332E">
      <w:pPr>
        <w:pStyle w:val="Behzottbekezdsnmhh"/>
        <w:numPr>
          <w:ilvl w:val="0"/>
          <w:numId w:val="10"/>
        </w:numPr>
        <w:spacing w:before="120"/>
      </w:pPr>
      <w:r w:rsidRPr="00CA77FD">
        <w:t>(EU) 2015/750</w:t>
      </w:r>
      <w:r w:rsidR="00B26052">
        <w:rPr>
          <w:rStyle w:val="Lbjegyzet-hivatkozs"/>
        </w:rPr>
        <w:footnoteReference w:id="24"/>
      </w:r>
      <w:r w:rsidRPr="00CA77FD">
        <w:t xml:space="preserve"> </w:t>
      </w:r>
      <w:r w:rsidR="008C365B" w:rsidRPr="00CA77FD">
        <w:t xml:space="preserve">bizottsági </w:t>
      </w:r>
      <w:r w:rsidRPr="00CA77FD">
        <w:t>végrehajtási határozata (2015. május 8.) az 1452-1492 MHz frekvenciasávnak az Unión belül elektronikus hírközlési szolgáltatások nyújt</w:t>
      </w:r>
      <w:r w:rsidRPr="00720CD3">
        <w:t>ására alkalmas földfelszíni rendszerek érdekében történő harmonizálásáról</w:t>
      </w:r>
      <w:r w:rsidR="008C365B" w:rsidRPr="00720CD3">
        <w:t>;</w:t>
      </w:r>
    </w:p>
    <w:p w14:paraId="6FE39480" w14:textId="77777777" w:rsidR="009500D6" w:rsidRDefault="00B85A3A" w:rsidP="00E1332E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720CD3">
        <w:rPr>
          <w:sz w:val="20"/>
          <w:szCs w:val="20"/>
        </w:rPr>
        <w:t xml:space="preserve">(EU) </w:t>
      </w:r>
      <w:r w:rsidR="00F8365D" w:rsidRPr="00720CD3">
        <w:rPr>
          <w:sz w:val="20"/>
          <w:szCs w:val="20"/>
        </w:rPr>
        <w:t>2018</w:t>
      </w:r>
      <w:r w:rsidRPr="00720CD3">
        <w:rPr>
          <w:sz w:val="20"/>
          <w:szCs w:val="20"/>
        </w:rPr>
        <w:t>/</w:t>
      </w:r>
      <w:r w:rsidR="00F8365D" w:rsidRPr="00720CD3">
        <w:rPr>
          <w:sz w:val="20"/>
          <w:szCs w:val="20"/>
        </w:rPr>
        <w:t>661</w:t>
      </w:r>
      <w:r w:rsidR="00B26052">
        <w:rPr>
          <w:rStyle w:val="Lbjegyzet-hivatkozs"/>
        </w:rPr>
        <w:footnoteReference w:id="25"/>
      </w:r>
      <w:r w:rsidR="00F8365D" w:rsidRPr="00720CD3">
        <w:rPr>
          <w:sz w:val="20"/>
          <w:szCs w:val="20"/>
        </w:rPr>
        <w:t xml:space="preserve"> </w:t>
      </w:r>
      <w:r w:rsidR="00CC3F46" w:rsidRPr="00720CD3">
        <w:rPr>
          <w:sz w:val="20"/>
          <w:szCs w:val="20"/>
        </w:rPr>
        <w:t xml:space="preserve">bizottsági </w:t>
      </w:r>
      <w:r w:rsidR="00CC3F46" w:rsidRPr="00720CD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végrehajtási határozat</w:t>
      </w:r>
      <w:r w:rsidR="00B061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a</w:t>
      </w:r>
      <w:r w:rsidR="00CC3F46" w:rsidRPr="00720CD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(</w:t>
      </w:r>
      <w:r w:rsidR="00CC3F46" w:rsidRPr="00720CD3">
        <w:rPr>
          <w:rFonts w:asciiTheme="minorHAnsi" w:hAnsiTheme="minorHAnsi" w:cstheme="minorHAnsi"/>
          <w:color w:val="auto"/>
          <w:sz w:val="20"/>
          <w:szCs w:val="20"/>
        </w:rPr>
        <w:t xml:space="preserve">2018. április 26.) az </w:t>
      </w:r>
      <w:r w:rsidR="00F8365D" w:rsidRPr="00720CD3">
        <w:rPr>
          <w:sz w:val="20"/>
          <w:szCs w:val="20"/>
        </w:rPr>
        <w:t>1452–1492 MHz frekvenciasávnak az Unión belül elektronikus hírközlési szolgáltatások nyújtására alkalmas földfelszíni rendszerek érdekében történő harmonizálásáról szóló (EU) 2015/750 végrehajtási határozatnak a harmonizált 1427–1452 MHz és 1492–1517 MHz frekvenciasávra történő kiterjesztéséről.</w:t>
      </w:r>
    </w:p>
    <w:p w14:paraId="08C4DBC7" w14:textId="77777777" w:rsidR="00B85A3A" w:rsidRDefault="00B85A3A" w:rsidP="00720CD3">
      <w:pPr>
        <w:pStyle w:val="Default"/>
        <w:ind w:left="720"/>
        <w:jc w:val="both"/>
        <w:rPr>
          <w:sz w:val="20"/>
          <w:szCs w:val="20"/>
        </w:rPr>
      </w:pPr>
    </w:p>
    <w:p w14:paraId="03301CB7" w14:textId="77777777" w:rsidR="00B061E3" w:rsidRDefault="00CC3F46" w:rsidP="00720CD3">
      <w:pPr>
        <w:pStyle w:val="Behzottbekezdsnmhh"/>
      </w:pPr>
      <w:r w:rsidRPr="00CA77FD">
        <w:t>Az uniós szabályozás szerint</w:t>
      </w:r>
      <w:r w:rsidR="004331B6" w:rsidRPr="00CA77FD">
        <w:t xml:space="preserve">, a módosító határozat </w:t>
      </w:r>
      <w:r w:rsidRPr="00CA77FD">
        <w:t>melléklet</w:t>
      </w:r>
      <w:r w:rsidR="004331B6" w:rsidRPr="00CA77FD">
        <w:t>é</w:t>
      </w:r>
      <w:r w:rsidRPr="00CA77FD">
        <w:t xml:space="preserve">ben meghatározott paramétereknek megfelelően – nem kizárólagos jelleggel – </w:t>
      </w:r>
      <w:r w:rsidR="004331B6" w:rsidRPr="00720CD3">
        <w:t xml:space="preserve">kell </w:t>
      </w:r>
      <w:r w:rsidRPr="00720CD3">
        <w:t>gondoskod</w:t>
      </w:r>
      <w:r w:rsidR="004331B6" w:rsidRPr="00720CD3">
        <w:t xml:space="preserve">niuk a tagállamoknak </w:t>
      </w:r>
      <w:r w:rsidRPr="00720CD3">
        <w:t>az 1427–1452 MHz és az 1492–1517 MHz frekvenciasáv vagy a frekvenciasáv egy részének vezeték nélküli szélessávú elektronikus hírközlési szolgáltatások nyújtására alkalmas földfelszíni rendszerekre számára történő kijelöléséről és rendelkezésre állásáról</w:t>
      </w:r>
      <w:r w:rsidR="004331B6" w:rsidRPr="00720CD3">
        <w:t xml:space="preserve">. </w:t>
      </w:r>
    </w:p>
    <w:p w14:paraId="67CA4D87" w14:textId="77777777" w:rsidR="00B061E3" w:rsidRDefault="00CC3F46" w:rsidP="00720CD3">
      <w:pPr>
        <w:pStyle w:val="Behzottbekezdsnmhh"/>
      </w:pPr>
      <w:r w:rsidRPr="00CA77FD">
        <w:t>Amennyiben a tagállamok az 1427–1452 MHz vagy az 1492–1517 MHz frekvenciasávnak csak egy részét jelölik ki és bocsátják rendelkezésre</w:t>
      </w:r>
      <w:r w:rsidR="004331B6" w:rsidRPr="00720CD3">
        <w:t xml:space="preserve">, biztosítaniuk kell, hogy </w:t>
      </w:r>
      <w:r w:rsidRPr="00720CD3">
        <w:t xml:space="preserve">a </w:t>
      </w:r>
      <w:proofErr w:type="gramStart"/>
      <w:r w:rsidRPr="00720CD3">
        <w:t xml:space="preserve">spektrum </w:t>
      </w:r>
      <w:r w:rsidR="001C7538">
        <w:t>rendelkezésre</w:t>
      </w:r>
      <w:proofErr w:type="gramEnd"/>
      <w:r w:rsidR="001C7538">
        <w:t xml:space="preserve"> bocsátott</w:t>
      </w:r>
      <w:r w:rsidR="001C7538" w:rsidRPr="00720CD3">
        <w:t xml:space="preserve"> </w:t>
      </w:r>
      <w:r w:rsidRPr="00720CD3">
        <w:t>része az 1452–1492 MHz frekvenciasávval együtt egy összefüggő frekvenciasávot alkosson</w:t>
      </w:r>
      <w:r w:rsidR="004331B6" w:rsidRPr="00720CD3">
        <w:t>.</w:t>
      </w:r>
    </w:p>
    <w:p w14:paraId="570D24F6" w14:textId="4D53AD25" w:rsidR="00CC3F46" w:rsidRPr="00720CD3" w:rsidRDefault="004331B6" w:rsidP="00720CD3">
      <w:pPr>
        <w:pStyle w:val="Behzottbekezdsnmhh"/>
      </w:pPr>
      <w:r w:rsidRPr="00CA77FD">
        <w:t>A</w:t>
      </w:r>
      <w:r w:rsidR="00CC3F46" w:rsidRPr="00CA77FD">
        <w:t>mennyiben nem merül</w:t>
      </w:r>
      <w:r w:rsidRPr="00CA77FD">
        <w:t xml:space="preserve"> </w:t>
      </w:r>
      <w:r w:rsidR="00CC3F46" w:rsidRPr="00CA77FD">
        <w:t>fel nemzeti igény vezeték nélküli szélessávú elektroni</w:t>
      </w:r>
      <w:r w:rsidRPr="00CA77FD">
        <w:t xml:space="preserve">kus hírközlési szolgáltatásokra, </w:t>
      </w:r>
      <w:r w:rsidR="00CC3F46" w:rsidRPr="00720CD3">
        <w:t xml:space="preserve">ezen </w:t>
      </w:r>
      <w:r w:rsidR="00B475DF" w:rsidRPr="00B475DF">
        <w:t>frekvencia</w:t>
      </w:r>
      <w:r w:rsidR="00CC3F46" w:rsidRPr="00720CD3">
        <w:t>sávok továbbra is használ</w:t>
      </w:r>
      <w:r w:rsidRPr="00720CD3">
        <w:t>hatók</w:t>
      </w:r>
      <w:r w:rsidR="00CC3F46" w:rsidRPr="00720CD3">
        <w:t xml:space="preserve"> </w:t>
      </w:r>
      <w:r w:rsidR="00643A2A">
        <w:t>a</w:t>
      </w:r>
      <w:r w:rsidR="00CC3F46" w:rsidRPr="00720CD3">
        <w:t xml:space="preserve"> már eddig is meglévő más olyan </w:t>
      </w:r>
      <w:r w:rsidR="00643A2A">
        <w:lastRenderedPageBreak/>
        <w:t>alkalmazások</w:t>
      </w:r>
      <w:r w:rsidR="00CC3F46" w:rsidRPr="00720CD3">
        <w:t xml:space="preserve"> céljára, amelyek nem tudják vezeték nélküli szélessávú elektronikus hírközlési szolgáltatásokkal megosztva használni </w:t>
      </w:r>
      <w:proofErr w:type="gramStart"/>
      <w:r w:rsidR="00CC3F46" w:rsidRPr="00720CD3">
        <w:t>ezen</w:t>
      </w:r>
      <w:proofErr w:type="gramEnd"/>
      <w:r w:rsidR="00CC3F46" w:rsidRPr="00720CD3">
        <w:t xml:space="preserve"> </w:t>
      </w:r>
      <w:r w:rsidR="00B475DF" w:rsidRPr="00B475DF">
        <w:t>frekvencia</w:t>
      </w:r>
      <w:r w:rsidR="00CC3F46" w:rsidRPr="00720CD3">
        <w:t>sávokat.</w:t>
      </w:r>
    </w:p>
    <w:p w14:paraId="2E4FD7F2" w14:textId="77777777" w:rsidR="0053019E" w:rsidRDefault="0053019E" w:rsidP="00720CD3">
      <w:pPr>
        <w:pStyle w:val="Behzottbekezdsnmhh"/>
        <w:spacing w:before="120"/>
      </w:pPr>
    </w:p>
    <w:p w14:paraId="481C2BF1" w14:textId="77777777" w:rsidR="00643A2A" w:rsidRDefault="00643A2A" w:rsidP="00720CD3">
      <w:pPr>
        <w:pStyle w:val="Behzottbekezdsnmhh"/>
        <w:spacing w:before="120"/>
      </w:pPr>
    </w:p>
    <w:p w14:paraId="7BCE8BE6" w14:textId="77777777" w:rsidR="001E50C0" w:rsidRDefault="00B85A3A" w:rsidP="002C3924">
      <w:pPr>
        <w:pStyle w:val="Cmsor2szmozottnmhh"/>
        <w:ind w:left="578" w:hanging="578"/>
      </w:pPr>
      <w:bookmarkStart w:id="21" w:name="_Toc96075655"/>
      <w:bookmarkEnd w:id="20"/>
      <w:r>
        <w:t>Nemzeti szabályozás</w:t>
      </w:r>
      <w:bookmarkEnd w:id="21"/>
    </w:p>
    <w:p w14:paraId="3DD9DE1B" w14:textId="0881D0DF" w:rsidR="00B85A3A" w:rsidRDefault="00B85A3A" w:rsidP="00B85A3A">
      <w:pPr>
        <w:pStyle w:val="CM14"/>
        <w:spacing w:before="120" w:after="120" w:line="276" w:lineRule="auto"/>
        <w:ind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Az </w:t>
      </w:r>
      <w:r w:rsidR="00132A14">
        <w:rPr>
          <w:color w:val="000000"/>
          <w:sz w:val="20"/>
          <w:szCs w:val="20"/>
        </w:rPr>
        <w:t>1500</w:t>
      </w:r>
      <w:r>
        <w:rPr>
          <w:color w:val="000000"/>
          <w:sz w:val="20"/>
          <w:szCs w:val="20"/>
        </w:rPr>
        <w:t xml:space="preserve"> MHz</w:t>
      </w:r>
      <w:r w:rsidR="00132A14">
        <w:rPr>
          <w:color w:val="000000"/>
          <w:sz w:val="20"/>
          <w:szCs w:val="20"/>
        </w:rPr>
        <w:t>-es</w:t>
      </w:r>
      <w:r>
        <w:rPr>
          <w:color w:val="000000"/>
          <w:sz w:val="20"/>
          <w:szCs w:val="20"/>
        </w:rPr>
        <w:t xml:space="preserve"> </w:t>
      </w:r>
      <w:r w:rsidR="0055107B" w:rsidRPr="0055107B">
        <w:rPr>
          <w:color w:val="000000"/>
          <w:sz w:val="20"/>
          <w:szCs w:val="20"/>
        </w:rPr>
        <w:t>frekvencia</w:t>
      </w:r>
      <w:r>
        <w:rPr>
          <w:color w:val="000000"/>
          <w:sz w:val="20"/>
          <w:szCs w:val="20"/>
        </w:rPr>
        <w:t xml:space="preserve">sávra vonatkozó hazai szabályozást a hatályos NFFF tartalmazza. </w:t>
      </w:r>
    </w:p>
    <w:p w14:paraId="0D558AD8" w14:textId="76F3E139" w:rsidR="00103E81" w:rsidRPr="004C28EF" w:rsidRDefault="00330E55" w:rsidP="004C28EF">
      <w:pPr>
        <w:pStyle w:val="CM14"/>
        <w:spacing w:before="120" w:after="120" w:line="276" w:lineRule="auto"/>
        <w:ind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Ö</w:t>
      </w:r>
      <w:r w:rsidR="00103E81">
        <w:rPr>
          <w:color w:val="000000"/>
          <w:sz w:val="20"/>
          <w:szCs w:val="20"/>
        </w:rPr>
        <w:t xml:space="preserve">sszhangban a Nemzetközi Rádiószabályzattal, </w:t>
      </w:r>
      <w:r>
        <w:rPr>
          <w:color w:val="000000"/>
          <w:sz w:val="20"/>
          <w:szCs w:val="20"/>
        </w:rPr>
        <w:t xml:space="preserve">Magyarországon </w:t>
      </w:r>
      <w:r w:rsidR="00103E81">
        <w:rPr>
          <w:color w:val="000000"/>
          <w:sz w:val="20"/>
          <w:szCs w:val="20"/>
        </w:rPr>
        <w:t xml:space="preserve">az 1427-1429 MHz </w:t>
      </w:r>
      <w:r w:rsidR="00B475DF" w:rsidRPr="00B475DF">
        <w:rPr>
          <w:color w:val="000000"/>
          <w:sz w:val="20"/>
          <w:szCs w:val="20"/>
        </w:rPr>
        <w:t>frekvencia</w:t>
      </w:r>
      <w:r w:rsidR="00103E81">
        <w:rPr>
          <w:color w:val="000000"/>
          <w:sz w:val="20"/>
          <w:szCs w:val="20"/>
        </w:rPr>
        <w:t>sáv az űrbéli üzemeltetés (Föld-űr irány), az állandóhelyű- és a mozgószolgálat (a légi mozgó kivételével) sz</w:t>
      </w:r>
      <w:r w:rsidR="00E64C22">
        <w:rPr>
          <w:color w:val="000000"/>
          <w:sz w:val="20"/>
          <w:szCs w:val="20"/>
        </w:rPr>
        <w:t>ámára felosztott</w:t>
      </w:r>
      <w:r w:rsidR="000C042F">
        <w:rPr>
          <w:color w:val="000000"/>
          <w:sz w:val="20"/>
          <w:szCs w:val="20"/>
        </w:rPr>
        <w:t xml:space="preserve"> elsődleges jellegge</w:t>
      </w:r>
      <w:r w:rsidR="009D4481">
        <w:rPr>
          <w:color w:val="000000"/>
          <w:sz w:val="20"/>
          <w:szCs w:val="20"/>
        </w:rPr>
        <w:t>l</w:t>
      </w:r>
      <w:r w:rsidR="00E64C22">
        <w:rPr>
          <w:color w:val="000000"/>
          <w:sz w:val="20"/>
          <w:szCs w:val="20"/>
        </w:rPr>
        <w:t xml:space="preserve">. Az 1429-1452 MHz, valamint az 1492-1518 MHz sávok </w:t>
      </w:r>
      <w:r w:rsidR="002556BD">
        <w:rPr>
          <w:color w:val="000000"/>
          <w:sz w:val="20"/>
          <w:szCs w:val="20"/>
        </w:rPr>
        <w:t>az állandóhelyű- és a mozgószolgálat (a légi mozgó kivételével) számára felosztott</w:t>
      </w:r>
      <w:r w:rsidR="009D4481">
        <w:rPr>
          <w:color w:val="000000"/>
          <w:sz w:val="20"/>
          <w:szCs w:val="20"/>
        </w:rPr>
        <w:t>ak elsődleges jelleggel</w:t>
      </w:r>
      <w:r w:rsidR="002556BD">
        <w:rPr>
          <w:color w:val="000000"/>
          <w:sz w:val="20"/>
          <w:szCs w:val="20"/>
        </w:rPr>
        <w:t>. Az 1452-1492 MHz-es</w:t>
      </w:r>
      <w:r w:rsidR="009D4481">
        <w:rPr>
          <w:color w:val="000000"/>
          <w:sz w:val="20"/>
          <w:szCs w:val="20"/>
        </w:rPr>
        <w:t xml:space="preserve"> </w:t>
      </w:r>
      <w:r w:rsidR="00B475DF" w:rsidRPr="00B475DF">
        <w:rPr>
          <w:color w:val="000000"/>
          <w:sz w:val="20"/>
          <w:szCs w:val="20"/>
        </w:rPr>
        <w:t>frekvencia</w:t>
      </w:r>
      <w:r w:rsidR="009D4481">
        <w:rPr>
          <w:color w:val="000000"/>
          <w:sz w:val="20"/>
          <w:szCs w:val="20"/>
        </w:rPr>
        <w:t>sáv az állandóhelyű szolgálat, a mozgószolgálat (a légi mozgó kivételével), a műsorszóró és a műholdas műsorszóró szolgálat számára felosztott elsődleges jelleggel.</w:t>
      </w:r>
    </w:p>
    <w:p w14:paraId="7D6A2EE7" w14:textId="77E5F1F0" w:rsidR="00B85A3A" w:rsidRDefault="00B85A3A" w:rsidP="00B85A3A">
      <w:pPr>
        <w:pStyle w:val="CM14"/>
        <w:spacing w:before="120" w:after="120" w:line="276" w:lineRule="auto"/>
        <w:ind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Az NFFF 2. melléklete szerint az </w:t>
      </w:r>
      <w:r w:rsidR="00132A14">
        <w:rPr>
          <w:color w:val="000000"/>
          <w:sz w:val="20"/>
          <w:szCs w:val="20"/>
        </w:rPr>
        <w:t>1427</w:t>
      </w:r>
      <w:r>
        <w:rPr>
          <w:color w:val="000000"/>
          <w:sz w:val="20"/>
          <w:szCs w:val="20"/>
        </w:rPr>
        <w:t xml:space="preserve">-1492 MHz </w:t>
      </w:r>
      <w:r w:rsidR="00B475DF" w:rsidRPr="00B475DF">
        <w:rPr>
          <w:color w:val="000000"/>
          <w:sz w:val="20"/>
          <w:szCs w:val="20"/>
        </w:rPr>
        <w:t>frekvencia</w:t>
      </w:r>
      <w:r>
        <w:rPr>
          <w:color w:val="000000"/>
          <w:sz w:val="20"/>
          <w:szCs w:val="20"/>
        </w:rPr>
        <w:t xml:space="preserve">sávban az elektronikus hírközlési szolgáltatások nyújtására alkalmas földfelszíni rendszerek </w:t>
      </w:r>
      <w:r w:rsidR="00AF2CEB">
        <w:rPr>
          <w:color w:val="000000"/>
          <w:sz w:val="20"/>
          <w:szCs w:val="20"/>
        </w:rPr>
        <w:t xml:space="preserve">(MFCN SDL) </w:t>
      </w:r>
      <w:r>
        <w:rPr>
          <w:color w:val="000000"/>
          <w:sz w:val="20"/>
          <w:szCs w:val="20"/>
        </w:rPr>
        <w:t xml:space="preserve">számára jelölhető ki frekvencia elsődleges jelleggel. Szintén elsődleges jelleggel földön kívüli forrásból származó szándékos adások passzív kutatása is végezhető az 5.341 lábjegyzet alapján. A </w:t>
      </w:r>
      <w:r w:rsidR="00B475DF" w:rsidRPr="00B475DF">
        <w:rPr>
          <w:color w:val="000000"/>
          <w:sz w:val="20"/>
          <w:szCs w:val="20"/>
        </w:rPr>
        <w:t>frekvencia</w:t>
      </w:r>
      <w:r>
        <w:rPr>
          <w:color w:val="000000"/>
          <w:sz w:val="20"/>
          <w:szCs w:val="20"/>
        </w:rPr>
        <w:t xml:space="preserve">sávban harmadlagos jelleggel polgári és nem polgári célú SRD rádiómeghatározó alkalmazások is működhetnek. </w:t>
      </w:r>
      <w:r w:rsidR="003B669A">
        <w:rPr>
          <w:color w:val="000000"/>
          <w:sz w:val="20"/>
          <w:szCs w:val="20"/>
        </w:rPr>
        <w:t xml:space="preserve">Az 1427-1429 MHz </w:t>
      </w:r>
      <w:r w:rsidR="00B475DF" w:rsidRPr="00B475DF">
        <w:rPr>
          <w:color w:val="000000"/>
          <w:sz w:val="20"/>
          <w:szCs w:val="20"/>
        </w:rPr>
        <w:t>frekvencia</w:t>
      </w:r>
      <w:r w:rsidR="003B669A">
        <w:rPr>
          <w:color w:val="000000"/>
          <w:sz w:val="20"/>
          <w:szCs w:val="20"/>
        </w:rPr>
        <w:t>sáv űrbeli üzemeltetés (Föld-űr irány) alkalmazásai számára is tervezett</w:t>
      </w:r>
      <w:r w:rsidR="00222B4B">
        <w:rPr>
          <w:rStyle w:val="Lbjegyzet-hivatkozs"/>
          <w:color w:val="000000"/>
          <w:sz w:val="20"/>
          <w:szCs w:val="20"/>
        </w:rPr>
        <w:footnoteReference w:id="26"/>
      </w:r>
      <w:r w:rsidR="00222B4B">
        <w:rPr>
          <w:color w:val="000000"/>
          <w:sz w:val="20"/>
          <w:szCs w:val="20"/>
        </w:rPr>
        <w:t>.</w:t>
      </w:r>
      <w:r w:rsidR="003B669A">
        <w:rPr>
          <w:color w:val="000000"/>
          <w:sz w:val="20"/>
          <w:szCs w:val="20"/>
        </w:rPr>
        <w:t xml:space="preserve"> </w:t>
      </w:r>
    </w:p>
    <w:p w14:paraId="6D965E75" w14:textId="2C5E76E9" w:rsidR="00132A14" w:rsidRDefault="00B85A3A" w:rsidP="00B85A3A">
      <w:pPr>
        <w:pStyle w:val="CM14"/>
        <w:spacing w:before="120" w:after="120" w:line="276" w:lineRule="auto"/>
        <w:ind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1492-15</w:t>
      </w:r>
      <w:r w:rsidR="00494512">
        <w:rPr>
          <w:color w:val="000000"/>
          <w:sz w:val="20"/>
          <w:szCs w:val="20"/>
        </w:rPr>
        <w:t>18</w:t>
      </w:r>
      <w:r>
        <w:rPr>
          <w:color w:val="000000"/>
          <w:sz w:val="20"/>
          <w:szCs w:val="20"/>
        </w:rPr>
        <w:t xml:space="preserve"> MHz </w:t>
      </w:r>
      <w:r w:rsidR="00494512">
        <w:rPr>
          <w:color w:val="000000"/>
          <w:sz w:val="20"/>
          <w:szCs w:val="20"/>
        </w:rPr>
        <w:t>frekvenciatartományban (az</w:t>
      </w:r>
      <w:r w:rsidR="00330E55">
        <w:rPr>
          <w:color w:val="000000"/>
          <w:sz w:val="20"/>
          <w:szCs w:val="20"/>
        </w:rPr>
        <w:t xml:space="preserve"> </w:t>
      </w:r>
      <w:r w:rsidR="00494512">
        <w:rPr>
          <w:color w:val="000000"/>
          <w:sz w:val="20"/>
          <w:szCs w:val="20"/>
        </w:rPr>
        <w:t xml:space="preserve">1492-1525 MHz </w:t>
      </w:r>
      <w:r w:rsidR="00330E55">
        <w:rPr>
          <w:color w:val="000000"/>
          <w:sz w:val="20"/>
          <w:szCs w:val="20"/>
        </w:rPr>
        <w:t>nem</w:t>
      </w:r>
      <w:r w:rsidR="00D642B9">
        <w:rPr>
          <w:color w:val="000000"/>
          <w:sz w:val="20"/>
          <w:szCs w:val="20"/>
        </w:rPr>
        <w:t xml:space="preserve"> </w:t>
      </w:r>
      <w:r w:rsidR="00330E55">
        <w:rPr>
          <w:color w:val="000000"/>
          <w:sz w:val="20"/>
          <w:szCs w:val="20"/>
        </w:rPr>
        <w:t xml:space="preserve">polgári használatú </w:t>
      </w:r>
      <w:r w:rsidR="00494512">
        <w:rPr>
          <w:color w:val="000000"/>
          <w:sz w:val="20"/>
          <w:szCs w:val="20"/>
        </w:rPr>
        <w:t>frekvenciasáv</w:t>
      </w:r>
      <w:r w:rsidR="00330E55">
        <w:rPr>
          <w:color w:val="000000"/>
          <w:sz w:val="20"/>
          <w:szCs w:val="20"/>
        </w:rPr>
        <w:t xml:space="preserve">on belül) </w:t>
      </w:r>
      <w:r>
        <w:rPr>
          <w:color w:val="000000"/>
          <w:sz w:val="20"/>
          <w:szCs w:val="20"/>
        </w:rPr>
        <w:t>nem polgári használ</w:t>
      </w:r>
      <w:r w:rsidR="00B05643">
        <w:rPr>
          <w:color w:val="000000"/>
          <w:sz w:val="20"/>
          <w:szCs w:val="20"/>
        </w:rPr>
        <w:t>at</w:t>
      </w:r>
      <w:r>
        <w:rPr>
          <w:color w:val="000000"/>
          <w:sz w:val="20"/>
          <w:szCs w:val="20"/>
        </w:rPr>
        <w:t>ú pont-pont, pont-többpont</w:t>
      </w:r>
      <w:r w:rsidR="00A27457">
        <w:rPr>
          <w:color w:val="000000"/>
          <w:sz w:val="20"/>
          <w:szCs w:val="20"/>
        </w:rPr>
        <w:t>, katonai állandóhelyű</w:t>
      </w:r>
      <w:r>
        <w:rPr>
          <w:color w:val="000000"/>
          <w:sz w:val="20"/>
          <w:szCs w:val="20"/>
        </w:rPr>
        <w:t xml:space="preserve"> és általános többpont</w:t>
      </w:r>
      <w:r w:rsidR="00D642B9">
        <w:rPr>
          <w:color w:val="000000"/>
          <w:sz w:val="20"/>
          <w:szCs w:val="20"/>
        </w:rPr>
        <w:t>, valamint</w:t>
      </w:r>
      <w:r>
        <w:rPr>
          <w:color w:val="000000"/>
          <w:sz w:val="20"/>
          <w:szCs w:val="20"/>
        </w:rPr>
        <w:t xml:space="preserve"> egy- és kétfrekvenciás </w:t>
      </w:r>
      <w:r w:rsidR="00D642B9">
        <w:rPr>
          <w:color w:val="000000"/>
          <w:sz w:val="20"/>
          <w:szCs w:val="20"/>
        </w:rPr>
        <w:t xml:space="preserve">mozgó </w:t>
      </w:r>
      <w:r>
        <w:rPr>
          <w:color w:val="000000"/>
          <w:sz w:val="20"/>
          <w:szCs w:val="20"/>
        </w:rPr>
        <w:t>rendszerek üzemelhetnek</w:t>
      </w:r>
      <w:r w:rsidR="00A27457">
        <w:rPr>
          <w:color w:val="000000"/>
          <w:sz w:val="20"/>
          <w:szCs w:val="20"/>
        </w:rPr>
        <w:t xml:space="preserve">, </w:t>
      </w:r>
      <w:r w:rsidR="00D642B9">
        <w:rPr>
          <w:color w:val="000000"/>
          <w:sz w:val="20"/>
          <w:szCs w:val="20"/>
        </w:rPr>
        <w:t xml:space="preserve">továbbá </w:t>
      </w:r>
      <w:r w:rsidR="00A27457">
        <w:rPr>
          <w:color w:val="000000"/>
          <w:sz w:val="20"/>
          <w:szCs w:val="20"/>
        </w:rPr>
        <w:t xml:space="preserve">polgári célú </w:t>
      </w:r>
      <w:r w:rsidR="005D1D26">
        <w:rPr>
          <w:color w:val="000000"/>
          <w:sz w:val="20"/>
          <w:szCs w:val="20"/>
        </w:rPr>
        <w:t xml:space="preserve">földön kívüli forrásból származó szándékos adások passzív kutatása is </w:t>
      </w:r>
      <w:r w:rsidR="00952809">
        <w:rPr>
          <w:color w:val="000000"/>
          <w:sz w:val="20"/>
          <w:szCs w:val="20"/>
        </w:rPr>
        <w:t>végezhető elsődleges jelleggel.</w:t>
      </w:r>
    </w:p>
    <w:p w14:paraId="3CB2A929" w14:textId="3F0488C9" w:rsidR="00B85A3A" w:rsidRDefault="00B85A3A" w:rsidP="00B85A3A">
      <w:pPr>
        <w:pStyle w:val="CM14"/>
        <w:spacing w:before="120" w:after="120" w:line="276" w:lineRule="auto"/>
        <w:ind w:firstLine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Harmadlagos jelleggel az 1427-</w:t>
      </w:r>
      <w:r w:rsidR="00C0083F">
        <w:rPr>
          <w:color w:val="000000"/>
          <w:sz w:val="20"/>
          <w:szCs w:val="20"/>
        </w:rPr>
        <w:t xml:space="preserve">1525 </w:t>
      </w:r>
      <w:r>
        <w:rPr>
          <w:color w:val="000000"/>
          <w:sz w:val="20"/>
          <w:szCs w:val="20"/>
        </w:rPr>
        <w:t xml:space="preserve">MHz </w:t>
      </w:r>
      <w:r w:rsidR="00B475DF" w:rsidRPr="00B475DF">
        <w:rPr>
          <w:color w:val="000000"/>
          <w:sz w:val="20"/>
          <w:szCs w:val="20"/>
        </w:rPr>
        <w:t>frekvencia</w:t>
      </w:r>
      <w:r>
        <w:rPr>
          <w:color w:val="000000"/>
          <w:sz w:val="20"/>
          <w:szCs w:val="20"/>
        </w:rPr>
        <w:t>sáv</w:t>
      </w:r>
      <w:r w:rsidR="00671930">
        <w:rPr>
          <w:color w:val="000000"/>
          <w:sz w:val="20"/>
          <w:szCs w:val="20"/>
        </w:rPr>
        <w:t>ok</w:t>
      </w:r>
      <w:r>
        <w:rPr>
          <w:color w:val="000000"/>
          <w:sz w:val="20"/>
          <w:szCs w:val="20"/>
        </w:rPr>
        <w:t xml:space="preserve">ban polgári és nem polgári célú SRD </w:t>
      </w:r>
      <w:r w:rsidR="00132A14">
        <w:rPr>
          <w:color w:val="000000"/>
          <w:sz w:val="20"/>
          <w:szCs w:val="20"/>
        </w:rPr>
        <w:t xml:space="preserve">rádiómeghatározó </w:t>
      </w:r>
      <w:r>
        <w:rPr>
          <w:color w:val="000000"/>
          <w:sz w:val="20"/>
          <w:szCs w:val="20"/>
        </w:rPr>
        <w:t xml:space="preserve">alkalmazások üzemelhetnek. </w:t>
      </w:r>
      <w:r w:rsidR="00132A14">
        <w:rPr>
          <w:color w:val="000000"/>
          <w:sz w:val="20"/>
          <w:szCs w:val="20"/>
        </w:rPr>
        <w:t>A</w:t>
      </w:r>
      <w:r w:rsidR="00132A14" w:rsidRPr="00132A14">
        <w:rPr>
          <w:color w:val="000000"/>
          <w:sz w:val="20"/>
          <w:szCs w:val="20"/>
        </w:rPr>
        <w:t xml:space="preserve">z 1492–1525 MHz </w:t>
      </w:r>
      <w:r w:rsidR="00B475DF" w:rsidRPr="00B475DF">
        <w:rPr>
          <w:color w:val="000000"/>
          <w:sz w:val="20"/>
          <w:szCs w:val="20"/>
        </w:rPr>
        <w:t>frekvencia</w:t>
      </w:r>
      <w:r w:rsidR="00132A14" w:rsidRPr="00132A14">
        <w:rPr>
          <w:color w:val="000000"/>
          <w:sz w:val="20"/>
          <w:szCs w:val="20"/>
        </w:rPr>
        <w:t>sávb</w:t>
      </w:r>
      <w:r w:rsidR="00720CD3">
        <w:rPr>
          <w:color w:val="000000"/>
          <w:sz w:val="20"/>
          <w:szCs w:val="20"/>
        </w:rPr>
        <w:t>an</w:t>
      </w:r>
      <w:r w:rsidR="00132A14" w:rsidRPr="00132A14">
        <w:rPr>
          <w:color w:val="000000"/>
          <w:sz w:val="20"/>
          <w:szCs w:val="20"/>
        </w:rPr>
        <w:t xml:space="preserve"> </w:t>
      </w:r>
      <w:r w:rsidR="00132A14">
        <w:rPr>
          <w:color w:val="000000"/>
          <w:sz w:val="20"/>
          <w:szCs w:val="20"/>
        </w:rPr>
        <w:t>r</w:t>
      </w:r>
      <w:r w:rsidR="00132A14" w:rsidRPr="00132A14">
        <w:rPr>
          <w:color w:val="000000"/>
          <w:sz w:val="20"/>
          <w:szCs w:val="20"/>
        </w:rPr>
        <w:t>ádiómikrofon alkalmazások és vez</w:t>
      </w:r>
      <w:r w:rsidR="00720CD3">
        <w:rPr>
          <w:color w:val="000000"/>
          <w:sz w:val="20"/>
          <w:szCs w:val="20"/>
        </w:rPr>
        <w:t>etékné</w:t>
      </w:r>
      <w:r w:rsidR="00643A2A">
        <w:rPr>
          <w:color w:val="000000"/>
          <w:sz w:val="20"/>
          <w:szCs w:val="20"/>
        </w:rPr>
        <w:t>l</w:t>
      </w:r>
      <w:r w:rsidR="00720CD3">
        <w:rPr>
          <w:color w:val="000000"/>
          <w:sz w:val="20"/>
          <w:szCs w:val="20"/>
        </w:rPr>
        <w:t xml:space="preserve">küli audio- és multimédia </w:t>
      </w:r>
      <w:r w:rsidR="00132A14" w:rsidRPr="00132A14">
        <w:rPr>
          <w:color w:val="000000"/>
          <w:sz w:val="20"/>
          <w:szCs w:val="20"/>
        </w:rPr>
        <w:t xml:space="preserve">streaming alkalmazások </w:t>
      </w:r>
      <w:r w:rsidR="00132A14">
        <w:rPr>
          <w:color w:val="000000"/>
          <w:sz w:val="20"/>
          <w:szCs w:val="20"/>
        </w:rPr>
        <w:t>számára is kijelölt harmadlagos jelleggel</w:t>
      </w:r>
      <w:r w:rsidR="002F0BA9">
        <w:rPr>
          <w:color w:val="000000"/>
          <w:sz w:val="20"/>
          <w:szCs w:val="20"/>
        </w:rPr>
        <w:t>, valamint az 1492-1518 MHz részsáv nem polgári célra a kis teljesítményű, vezetéknélküli adat- és vi</w:t>
      </w:r>
      <w:r w:rsidR="00F55E41">
        <w:rPr>
          <w:color w:val="000000"/>
          <w:sz w:val="20"/>
          <w:szCs w:val="20"/>
        </w:rPr>
        <w:t>deoátvitel számára is kijelölt</w:t>
      </w:r>
      <w:r w:rsidR="00023D40">
        <w:rPr>
          <w:color w:val="000000"/>
          <w:sz w:val="20"/>
          <w:szCs w:val="20"/>
        </w:rPr>
        <w:t>.</w:t>
      </w:r>
    </w:p>
    <w:p w14:paraId="6ACE9DF2" w14:textId="2F093A6C" w:rsidR="002C3924" w:rsidRDefault="00B85A3A" w:rsidP="00BA7413">
      <w:pPr>
        <w:pStyle w:val="CM20"/>
        <w:spacing w:before="120" w:after="120" w:line="276" w:lineRule="auto"/>
        <w:ind w:firstLine="357"/>
        <w:jc w:val="both"/>
      </w:pPr>
      <w:r>
        <w:rPr>
          <w:color w:val="000000"/>
          <w:sz w:val="20"/>
          <w:szCs w:val="20"/>
        </w:rPr>
        <w:t xml:space="preserve">Az 1452-1492 MHz </w:t>
      </w:r>
      <w:r w:rsidR="00B475DF" w:rsidRPr="00B475DF">
        <w:rPr>
          <w:color w:val="000000"/>
          <w:sz w:val="20"/>
          <w:szCs w:val="20"/>
        </w:rPr>
        <w:t>frekvencia</w:t>
      </w:r>
      <w:r>
        <w:rPr>
          <w:color w:val="000000"/>
          <w:sz w:val="20"/>
          <w:szCs w:val="20"/>
        </w:rPr>
        <w:t>sáv</w:t>
      </w:r>
      <w:r w:rsidR="00132A14">
        <w:rPr>
          <w:color w:val="000000"/>
          <w:sz w:val="20"/>
          <w:szCs w:val="20"/>
        </w:rPr>
        <w:t xml:space="preserve">, valamint a kiterjesztett 1427-1518 MHz </w:t>
      </w:r>
      <w:r w:rsidR="00B475DF" w:rsidRPr="00B475DF">
        <w:rPr>
          <w:color w:val="000000"/>
          <w:sz w:val="20"/>
          <w:szCs w:val="20"/>
        </w:rPr>
        <w:t>frekvencia</w:t>
      </w:r>
      <w:r w:rsidR="00132A14">
        <w:rPr>
          <w:color w:val="000000"/>
          <w:sz w:val="20"/>
          <w:szCs w:val="20"/>
        </w:rPr>
        <w:t xml:space="preserve">sáv </w:t>
      </w:r>
      <w:r>
        <w:rPr>
          <w:color w:val="000000"/>
          <w:sz w:val="20"/>
          <w:szCs w:val="20"/>
        </w:rPr>
        <w:t>MFCN használ</w:t>
      </w:r>
      <w:r w:rsidR="00B05643">
        <w:rPr>
          <w:color w:val="000000"/>
          <w:sz w:val="20"/>
          <w:szCs w:val="20"/>
        </w:rPr>
        <w:t>atá</w:t>
      </w:r>
      <w:r>
        <w:rPr>
          <w:color w:val="000000"/>
          <w:sz w:val="20"/>
          <w:szCs w:val="20"/>
        </w:rPr>
        <w:t xml:space="preserve">val kapcsolatos döntések és vizsgálatok nemzetközi szinten lezárultak, a vonatkozó uniós </w:t>
      </w:r>
      <w:proofErr w:type="gramStart"/>
      <w:r>
        <w:rPr>
          <w:color w:val="000000"/>
          <w:sz w:val="20"/>
          <w:szCs w:val="20"/>
        </w:rPr>
        <w:t>szabályozás implementálásra</w:t>
      </w:r>
      <w:proofErr w:type="gramEnd"/>
      <w:r>
        <w:rPr>
          <w:color w:val="000000"/>
          <w:sz w:val="20"/>
          <w:szCs w:val="20"/>
        </w:rPr>
        <w:t xml:space="preserve"> került a hazai szabályozásba. </w:t>
      </w:r>
      <w:r w:rsidR="002C3924" w:rsidRPr="00BA7413">
        <w:rPr>
          <w:color w:val="000000"/>
          <w:sz w:val="20"/>
          <w:szCs w:val="20"/>
        </w:rPr>
        <w:t xml:space="preserve">Az elektronikus hírközlési szolgáltatások nyújtására alkalmas földfelszíni rendszerek </w:t>
      </w:r>
      <w:r w:rsidR="007D7F1C" w:rsidRPr="007D7F1C">
        <w:rPr>
          <w:color w:val="000000"/>
          <w:sz w:val="20"/>
          <w:szCs w:val="20"/>
        </w:rPr>
        <w:t>frekvencia</w:t>
      </w:r>
      <w:r w:rsidR="002C3924" w:rsidRPr="00BA7413">
        <w:rPr>
          <w:color w:val="000000"/>
          <w:sz w:val="20"/>
          <w:szCs w:val="20"/>
        </w:rPr>
        <w:t xml:space="preserve">sávhasználati feltételeit és </w:t>
      </w:r>
      <w:r w:rsidR="00A013D6">
        <w:rPr>
          <w:color w:val="000000"/>
          <w:sz w:val="20"/>
          <w:szCs w:val="20"/>
        </w:rPr>
        <w:t>rádióspe</w:t>
      </w:r>
      <w:r w:rsidR="00B05643">
        <w:rPr>
          <w:color w:val="000000"/>
          <w:sz w:val="20"/>
          <w:szCs w:val="20"/>
        </w:rPr>
        <w:t>ktrum</w:t>
      </w:r>
      <w:r w:rsidR="00B05643" w:rsidRPr="00BA7413">
        <w:rPr>
          <w:color w:val="000000"/>
          <w:sz w:val="20"/>
          <w:szCs w:val="20"/>
        </w:rPr>
        <w:t xml:space="preserve">gazdálkodási </w:t>
      </w:r>
      <w:r w:rsidR="002C3924" w:rsidRPr="00BA7413">
        <w:rPr>
          <w:color w:val="000000"/>
          <w:sz w:val="20"/>
          <w:szCs w:val="20"/>
        </w:rPr>
        <w:t xml:space="preserve">követelményeit az </w:t>
      </w:r>
      <w:r w:rsidR="001D11E6" w:rsidRPr="00BA7413">
        <w:rPr>
          <w:color w:val="000000"/>
          <w:sz w:val="20"/>
          <w:szCs w:val="20"/>
        </w:rPr>
        <w:t>1427</w:t>
      </w:r>
      <w:r w:rsidR="002C3924" w:rsidRPr="00BA7413">
        <w:rPr>
          <w:color w:val="000000"/>
          <w:sz w:val="20"/>
          <w:szCs w:val="20"/>
        </w:rPr>
        <w:t xml:space="preserve">–1492 MHz </w:t>
      </w:r>
      <w:r w:rsidR="007D7F1C" w:rsidRPr="007D7F1C">
        <w:rPr>
          <w:color w:val="000000"/>
          <w:sz w:val="20"/>
          <w:szCs w:val="20"/>
        </w:rPr>
        <w:t>frekvencia</w:t>
      </w:r>
      <w:r w:rsidR="002C3924" w:rsidRPr="00BA7413">
        <w:rPr>
          <w:color w:val="000000"/>
          <w:sz w:val="20"/>
          <w:szCs w:val="20"/>
        </w:rPr>
        <w:t xml:space="preserve">sávban az NFFF 3. mellékletének </w:t>
      </w:r>
      <w:r w:rsidR="001D11E6" w:rsidRPr="00BA7413">
        <w:rPr>
          <w:color w:val="000000"/>
          <w:sz w:val="20"/>
          <w:szCs w:val="20"/>
        </w:rPr>
        <w:t>3.7</w:t>
      </w:r>
      <w:r w:rsidR="00C0083F">
        <w:rPr>
          <w:color w:val="000000"/>
          <w:sz w:val="20"/>
          <w:szCs w:val="20"/>
        </w:rPr>
        <w:t>. pontja</w:t>
      </w:r>
      <w:r w:rsidR="002C3924" w:rsidRPr="00BA7413">
        <w:rPr>
          <w:color w:val="000000"/>
          <w:sz w:val="20"/>
          <w:szCs w:val="20"/>
        </w:rPr>
        <w:t xml:space="preserve"> tartalmazza. </w:t>
      </w:r>
    </w:p>
    <w:p w14:paraId="546DD270" w14:textId="2509B14C" w:rsidR="00CB2404" w:rsidRDefault="002C3924" w:rsidP="002C3924">
      <w:pPr>
        <w:pStyle w:val="Behzottbekezdsnmhh"/>
        <w:spacing w:before="120"/>
      </w:pPr>
      <w:r>
        <w:t xml:space="preserve">Az európai harmonizált szabályozással összhangban az </w:t>
      </w:r>
      <w:r w:rsidR="001D11E6">
        <w:t>1427</w:t>
      </w:r>
      <w:r>
        <w:t xml:space="preserve">-1492 MHz </w:t>
      </w:r>
      <w:r w:rsidR="007D7F1C" w:rsidRPr="007D7F1C">
        <w:t>frekvencia</w:t>
      </w:r>
      <w:r>
        <w:t xml:space="preserve">sávon belüli üzemmód a helyhez kötött állomások lemenő irányú adására korlátozódik (SDL). A </w:t>
      </w:r>
      <w:r w:rsidR="007D7F1C" w:rsidRPr="007D7F1C">
        <w:t>frekvencia</w:t>
      </w:r>
      <w:r>
        <w:t>sáv alapblokkokra osztását a</w:t>
      </w:r>
      <w:r w:rsidR="00BA7413">
        <w:t xml:space="preserve"> 3.2</w:t>
      </w:r>
      <w:proofErr w:type="gramStart"/>
      <w:r w:rsidR="00BA7413">
        <w:t>.a</w:t>
      </w:r>
      <w:proofErr w:type="gramEnd"/>
      <w:r>
        <w:t xml:space="preserve"> táblázat tartalmazza:</w:t>
      </w:r>
    </w:p>
    <w:p w14:paraId="7FE3679A" w14:textId="77777777" w:rsidR="00CB2404" w:rsidRDefault="00CB2404">
      <w:pPr>
        <w:spacing w:after="200"/>
        <w:jc w:val="left"/>
        <w:rPr>
          <w:sz w:val="20"/>
          <w:szCs w:val="20"/>
        </w:rPr>
      </w:pPr>
      <w:r>
        <w:br w:type="page"/>
      </w:r>
    </w:p>
    <w:p w14:paraId="3B7C27A5" w14:textId="77777777" w:rsidR="001E50C0" w:rsidRDefault="001E50C0" w:rsidP="002C3924">
      <w:pPr>
        <w:pStyle w:val="Behzottbekezdsnmhh"/>
        <w:spacing w:before="120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737"/>
      </w:tblGrid>
      <w:tr w:rsidR="002C3924" w14:paraId="1BDB714E" w14:textId="77777777" w:rsidTr="00BA7413">
        <w:trPr>
          <w:trHeight w:val="295"/>
          <w:jc w:val="center"/>
        </w:trPr>
        <w:tc>
          <w:tcPr>
            <w:tcW w:w="2202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14:paraId="142EFEBD" w14:textId="77777777" w:rsidR="002C3924" w:rsidRDefault="002C3924" w:rsidP="00BA7413">
            <w:pPr>
              <w:pStyle w:val="Default"/>
              <w:keepLines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Alapblokk-azonosító </w:t>
            </w:r>
          </w:p>
        </w:tc>
        <w:tc>
          <w:tcPr>
            <w:tcW w:w="2737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14:paraId="69EF4949" w14:textId="77777777" w:rsidR="002C3924" w:rsidRDefault="002C3924" w:rsidP="00BA7413">
            <w:pPr>
              <w:pStyle w:val="Default"/>
              <w:keepLines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Frekvenciatartomány [MHz] </w:t>
            </w:r>
          </w:p>
        </w:tc>
      </w:tr>
      <w:tr w:rsidR="00405E03" w14:paraId="46539440" w14:textId="77777777" w:rsidTr="00BA7413">
        <w:trPr>
          <w:trHeight w:val="176"/>
          <w:jc w:val="center"/>
        </w:trPr>
        <w:tc>
          <w:tcPr>
            <w:tcW w:w="2202" w:type="dxa"/>
            <w:tcBorders>
              <w:top w:val="single" w:sz="20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4C967382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737" w:type="dxa"/>
            <w:tcBorders>
              <w:top w:val="single" w:sz="20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42DA2894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1427-1432</w:t>
            </w:r>
          </w:p>
        </w:tc>
      </w:tr>
      <w:tr w:rsidR="00405E03" w14:paraId="6B3C8E32" w14:textId="77777777" w:rsidTr="00BA7413">
        <w:trPr>
          <w:trHeight w:val="18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0F6B36F7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1F2861CC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1432-1437</w:t>
            </w:r>
          </w:p>
        </w:tc>
      </w:tr>
      <w:tr w:rsidR="00405E03" w14:paraId="5D3A67D4" w14:textId="77777777" w:rsidTr="00BA7413">
        <w:trPr>
          <w:trHeight w:val="18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0D28121F" w14:textId="77777777" w:rsidR="00405E03" w:rsidRPr="00BA7413" w:rsidDel="00405E0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554BEFC6" w14:textId="77777777" w:rsidR="00405E03" w:rsidRPr="00BA7413" w:rsidDel="00405E0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1437-1442</w:t>
            </w:r>
          </w:p>
        </w:tc>
      </w:tr>
      <w:tr w:rsidR="00405E03" w14:paraId="3AF4D834" w14:textId="77777777" w:rsidTr="00BA7413">
        <w:trPr>
          <w:trHeight w:val="18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24AE153F" w14:textId="77777777" w:rsidR="00405E03" w:rsidRPr="00BA7413" w:rsidDel="00405E0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4571D493" w14:textId="77777777" w:rsidR="00405E03" w:rsidRPr="00BA7413" w:rsidDel="00405E0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1442-1447</w:t>
            </w:r>
          </w:p>
        </w:tc>
      </w:tr>
      <w:tr w:rsidR="00405E03" w14:paraId="6C49A287" w14:textId="77777777" w:rsidTr="00BA7413">
        <w:trPr>
          <w:trHeight w:val="18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5E1723B2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38C15794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1447-1452</w:t>
            </w:r>
          </w:p>
        </w:tc>
      </w:tr>
      <w:tr w:rsidR="00405E03" w14:paraId="411E104C" w14:textId="77777777" w:rsidTr="00BA7413">
        <w:trPr>
          <w:trHeight w:val="18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5FED061C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6 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23103DC2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1452–1457 </w:t>
            </w:r>
          </w:p>
        </w:tc>
      </w:tr>
      <w:tr w:rsidR="00405E03" w14:paraId="1D34F099" w14:textId="77777777" w:rsidTr="00BA7413">
        <w:trPr>
          <w:trHeight w:val="18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3963FEC3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7 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4C315FCC" w14:textId="77777777" w:rsidR="00405E03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1457–1462 </w:t>
            </w:r>
          </w:p>
        </w:tc>
      </w:tr>
      <w:tr w:rsidR="002C3924" w14:paraId="61BBA2CE" w14:textId="77777777" w:rsidTr="00BA7413">
        <w:trPr>
          <w:trHeight w:val="17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12FEEF1B" w14:textId="77777777" w:rsidR="002C3924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8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5927AA43" w14:textId="77777777" w:rsidR="002C3924" w:rsidRPr="00BA7413" w:rsidRDefault="002C3924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1462–1467 </w:t>
            </w:r>
          </w:p>
        </w:tc>
      </w:tr>
      <w:tr w:rsidR="002C3924" w14:paraId="642B515F" w14:textId="77777777" w:rsidTr="00BA7413">
        <w:trPr>
          <w:trHeight w:val="175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7661AA33" w14:textId="77777777" w:rsidR="002C3924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9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1BCB5FEA" w14:textId="77777777" w:rsidR="002C3924" w:rsidRPr="00BA7413" w:rsidRDefault="002C3924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1467–1472 </w:t>
            </w:r>
          </w:p>
        </w:tc>
      </w:tr>
      <w:tr w:rsidR="002C3924" w14:paraId="096BDBDE" w14:textId="77777777" w:rsidTr="00BA7413">
        <w:trPr>
          <w:trHeight w:val="18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6CDDA0A5" w14:textId="77777777" w:rsidR="002C3924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0D68D2CE" w14:textId="77777777" w:rsidR="002C3924" w:rsidRPr="00BA7413" w:rsidRDefault="002C3924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1472–1477 </w:t>
            </w:r>
          </w:p>
        </w:tc>
      </w:tr>
      <w:tr w:rsidR="002C3924" w14:paraId="0B8D27F3" w14:textId="77777777" w:rsidTr="00BA7413">
        <w:trPr>
          <w:trHeight w:val="17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09DE7B84" w14:textId="77777777" w:rsidR="002C3924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11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37351C58" w14:textId="77777777" w:rsidR="002C3924" w:rsidRPr="00BA7413" w:rsidRDefault="002C3924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1477–1482 </w:t>
            </w:r>
          </w:p>
        </w:tc>
      </w:tr>
      <w:tr w:rsidR="002C3924" w14:paraId="0D700B22" w14:textId="77777777" w:rsidTr="00BA7413">
        <w:trPr>
          <w:trHeight w:val="18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</w:tcPr>
          <w:p w14:paraId="41424FCC" w14:textId="77777777" w:rsidR="002C3924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12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14:paraId="27FC19A1" w14:textId="77777777" w:rsidR="002C3924" w:rsidRPr="00BA7413" w:rsidRDefault="002C3924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1482–1487 </w:t>
            </w:r>
          </w:p>
        </w:tc>
      </w:tr>
      <w:tr w:rsidR="002C3924" w14:paraId="7EE19CE2" w14:textId="77777777" w:rsidTr="00BA7413">
        <w:trPr>
          <w:trHeight w:val="176"/>
          <w:jc w:val="center"/>
        </w:trPr>
        <w:tc>
          <w:tcPr>
            <w:tcW w:w="2202" w:type="dxa"/>
            <w:tcBorders>
              <w:top w:val="single" w:sz="8" w:space="0" w:color="000000"/>
              <w:left w:val="single" w:sz="18" w:space="0" w:color="000000"/>
              <w:bottom w:val="single" w:sz="20" w:space="0" w:color="000000"/>
              <w:right w:val="single" w:sz="6" w:space="0" w:color="000000"/>
            </w:tcBorders>
          </w:tcPr>
          <w:p w14:paraId="1E67E26F" w14:textId="77777777" w:rsidR="002C3924" w:rsidRPr="00BA7413" w:rsidRDefault="00405E03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>13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6" w:space="0" w:color="000000"/>
              <w:bottom w:val="single" w:sz="20" w:space="0" w:color="000000"/>
              <w:right w:val="single" w:sz="18" w:space="0" w:color="000000"/>
            </w:tcBorders>
          </w:tcPr>
          <w:p w14:paraId="12666FF4" w14:textId="77777777" w:rsidR="002C3924" w:rsidRPr="00BA7413" w:rsidRDefault="002C3924" w:rsidP="00BA7413">
            <w:pPr>
              <w:pStyle w:val="Default"/>
              <w:keepLines/>
              <w:jc w:val="center"/>
              <w:rPr>
                <w:sz w:val="16"/>
                <w:szCs w:val="16"/>
              </w:rPr>
            </w:pPr>
            <w:r w:rsidRPr="00BA7413">
              <w:rPr>
                <w:sz w:val="16"/>
                <w:szCs w:val="16"/>
              </w:rPr>
              <w:t xml:space="preserve">1487–1492 </w:t>
            </w:r>
          </w:p>
        </w:tc>
      </w:tr>
    </w:tbl>
    <w:p w14:paraId="264B363E" w14:textId="469B5C62" w:rsidR="00167CD4" w:rsidRDefault="00167CD4" w:rsidP="00BA7413">
      <w:pPr>
        <w:pStyle w:val="Kpalrs"/>
        <w:keepLines/>
        <w:jc w:val="center"/>
        <w:rPr>
          <w:noProof/>
        </w:rPr>
      </w:pPr>
      <w:r>
        <w:rPr>
          <w:noProof/>
        </w:rPr>
        <w:t>3.2.a táblázat: Az 1500 MHz-es frekvenciasáv MFCN-re kijelölt sávrészének alapblokkokra osztása</w:t>
      </w:r>
    </w:p>
    <w:p w14:paraId="304C819D" w14:textId="69BF640B" w:rsidR="002C3924" w:rsidRDefault="002C3924" w:rsidP="001C7538">
      <w:pPr>
        <w:pStyle w:val="Behzottbekezdsnmhh"/>
        <w:spacing w:before="120"/>
      </w:pPr>
      <w:r>
        <w:t xml:space="preserve">A szolgáltatások tekintetében nincs korlátozó előírás, </w:t>
      </w:r>
      <w:r w:rsidR="007B6AEC">
        <w:t xml:space="preserve">mivel </w:t>
      </w:r>
      <w:r>
        <w:t xml:space="preserve">a </w:t>
      </w:r>
      <w:r w:rsidR="007D7F1C" w:rsidRPr="007D7F1C">
        <w:t>frekvencia</w:t>
      </w:r>
      <w:r>
        <w:t xml:space="preserve">sávban technológia- és szolgáltatás semlegességet kell biztosítani. A technológiasemlegesség figyelembevételével a </w:t>
      </w:r>
      <w:r w:rsidR="007D7F1C" w:rsidRPr="007D7F1C">
        <w:t>frekvencia</w:t>
      </w:r>
      <w:r>
        <w:t>sávot azonban csak SDL üzemmódban, a</w:t>
      </w:r>
      <w:r w:rsidR="00E46E8B">
        <w:t>z</w:t>
      </w:r>
      <w:r>
        <w:t xml:space="preserve"> </w:t>
      </w:r>
      <w:r w:rsidR="001C7538">
        <w:t xml:space="preserve">(EU) 2015/750, illetve (EU) 2018/661 bizottsági végrehajtási </w:t>
      </w:r>
      <w:r>
        <w:t>határoza</w:t>
      </w:r>
      <w:r w:rsidR="00CA77FD">
        <w:t>t</w:t>
      </w:r>
      <w:r w:rsidR="0041359C">
        <w:t>ok</w:t>
      </w:r>
      <w:r>
        <w:t xml:space="preserve">ban előírt harmonizált műszaki feltételek teljesítésével lehet használni. </w:t>
      </w:r>
    </w:p>
    <w:p w14:paraId="02153317" w14:textId="1AD93500" w:rsidR="002C3924" w:rsidRDefault="002C3924" w:rsidP="002C3924">
      <w:pPr>
        <w:pStyle w:val="Behzottbekezdsnmhh"/>
        <w:spacing w:before="120"/>
        <w:ind w:firstLine="0"/>
      </w:pPr>
      <w:r>
        <w:t xml:space="preserve">Az 1452-1492 MHz </w:t>
      </w:r>
      <w:r w:rsidR="007D7F1C" w:rsidRPr="007D7F1C">
        <w:t>frekvencia</w:t>
      </w:r>
      <w:r>
        <w:t xml:space="preserve">sávban a bázisállomástól kiinduló adásoknak meg kell felelniük </w:t>
      </w:r>
      <w:r w:rsidRPr="00CA77FD">
        <w:t xml:space="preserve">a </w:t>
      </w:r>
      <w:r w:rsidR="001C7538">
        <w:t>(EU) </w:t>
      </w:r>
      <w:r w:rsidRPr="00CA77FD">
        <w:t>2015/750</w:t>
      </w:r>
      <w:r w:rsidR="001C7538">
        <w:t>,</w:t>
      </w:r>
      <w:r>
        <w:t xml:space="preserve"> </w:t>
      </w:r>
      <w:r w:rsidR="00405E03">
        <w:t xml:space="preserve">illetve </w:t>
      </w:r>
      <w:r w:rsidR="001C7538">
        <w:t>(EU) </w:t>
      </w:r>
      <w:r w:rsidR="00405E03">
        <w:t xml:space="preserve">2018/661 </w:t>
      </w:r>
      <w:r>
        <w:t>határozat mellékletében meghatározott</w:t>
      </w:r>
      <w:r w:rsidR="001D11E6">
        <w:t xml:space="preserve"> feltételeknek</w:t>
      </w:r>
      <w:r>
        <w:t xml:space="preserve">. A bázisállomásra előírt BEM blokkon belüli és blokkon kívüli teljesítmény-határértékeket tartalmaz. A blokkon belüli teljesítmény-határérték az egy szolgáltatónak kijelölt blokkra vonatkozik. A blokkon kívüli teljesítmény-határértékek az </w:t>
      </w:r>
      <w:r w:rsidR="00405E03">
        <w:t>1427</w:t>
      </w:r>
      <w:r>
        <w:t>-1492 MHz frekvenciasávon belüli vagy azon kívüli, az adott szolgáltatónak kijelölt blokkon kívül eső spektrumrészre vonatkoznak.</w:t>
      </w:r>
    </w:p>
    <w:p w14:paraId="02559EAD" w14:textId="5D66B80F" w:rsidR="009A4724" w:rsidRPr="009A4724" w:rsidRDefault="009A4724" w:rsidP="009A4724">
      <w:pPr>
        <w:pStyle w:val="mellekletpontformazott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 w:rsidR="00167CD4">
        <w:rPr>
          <w:rFonts w:ascii="Arial" w:hAnsi="Arial" w:cs="Arial"/>
          <w:sz w:val="22"/>
          <w:szCs w:val="22"/>
        </w:rPr>
        <w:t xml:space="preserve">rádióspektrum-használati </w:t>
      </w:r>
      <w:r>
        <w:rPr>
          <w:rFonts w:ascii="Arial" w:hAnsi="Arial" w:cs="Arial"/>
          <w:sz w:val="22"/>
          <w:szCs w:val="22"/>
        </w:rPr>
        <w:t xml:space="preserve">jog szerzésének és a </w:t>
      </w:r>
      <w:r w:rsidR="007D7F1C" w:rsidRPr="007D7F1C">
        <w:rPr>
          <w:rFonts w:ascii="Arial" w:hAnsi="Arial" w:cs="Arial"/>
          <w:sz w:val="22"/>
          <w:szCs w:val="22"/>
        </w:rPr>
        <w:t>frekvencia</w:t>
      </w:r>
      <w:r>
        <w:rPr>
          <w:rFonts w:ascii="Arial" w:hAnsi="Arial" w:cs="Arial"/>
          <w:sz w:val="22"/>
          <w:szCs w:val="22"/>
        </w:rPr>
        <w:t>sávhasználat feltételeit</w:t>
      </w:r>
      <w:r w:rsidR="00167CD4">
        <w:rPr>
          <w:rFonts w:ascii="Arial" w:hAnsi="Arial" w:cs="Arial"/>
          <w:sz w:val="22"/>
          <w:szCs w:val="22"/>
        </w:rPr>
        <w:t xml:space="preserve"> a 3.2</w:t>
      </w:r>
      <w:proofErr w:type="gramStart"/>
      <w:r w:rsidR="00167CD4">
        <w:rPr>
          <w:rFonts w:ascii="Arial" w:hAnsi="Arial" w:cs="Arial"/>
          <w:sz w:val="22"/>
          <w:szCs w:val="22"/>
        </w:rPr>
        <w:t>.b</w:t>
      </w:r>
      <w:proofErr w:type="gramEnd"/>
      <w:r w:rsidR="00167CD4">
        <w:rPr>
          <w:rFonts w:ascii="Arial" w:hAnsi="Arial" w:cs="Arial"/>
          <w:sz w:val="22"/>
          <w:szCs w:val="22"/>
        </w:rPr>
        <w:t xml:space="preserve"> táblázat tartalmazza (</w:t>
      </w:r>
      <w:r>
        <w:rPr>
          <w:rFonts w:ascii="Arial" w:hAnsi="Arial" w:cs="Arial"/>
          <w:sz w:val="22"/>
          <w:szCs w:val="22"/>
        </w:rPr>
        <w:t>az NFFF 3. mellékletének 3.7.4. pontja</w:t>
      </w:r>
      <w:r w:rsidR="00167CD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9A4724">
        <w:t> </w:t>
      </w:r>
    </w:p>
    <w:tbl>
      <w:tblPr>
        <w:tblW w:w="49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784"/>
      </w:tblGrid>
      <w:tr w:rsidR="009A4724" w:rsidRPr="009A4724" w14:paraId="548A17BA" w14:textId="77777777" w:rsidTr="00900279"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9B4F17F" w14:textId="77777777" w:rsidR="009A4724" w:rsidRPr="009A4724" w:rsidRDefault="009A4724" w:rsidP="009A47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Feltétel tárgya</w:t>
            </w: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A16AC7" w14:textId="77777777" w:rsidR="009A4724" w:rsidRPr="009A4724" w:rsidRDefault="009A4724" w:rsidP="00CD44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Előírás</w:t>
            </w:r>
          </w:p>
        </w:tc>
      </w:tr>
      <w:tr w:rsidR="009A4724" w:rsidRPr="009A4724" w14:paraId="34CF05A3" w14:textId="77777777" w:rsidTr="00900279">
        <w:tc>
          <w:tcPr>
            <w:tcW w:w="17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D26B1" w14:textId="508C4377" w:rsidR="009A4724" w:rsidRPr="009A4724" w:rsidRDefault="0050083E" w:rsidP="00900279">
            <w:pPr>
              <w:spacing w:before="100" w:beforeAutospacing="1" w:after="100" w:afterAutospacing="1" w:line="240" w:lineRule="auto"/>
              <w:ind w:left="241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Használat</w:t>
            </w: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célja</w:t>
            </w:r>
          </w:p>
        </w:tc>
        <w:tc>
          <w:tcPr>
            <w:tcW w:w="32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823244" w14:textId="77777777" w:rsidR="009A4724" w:rsidRPr="009A4724" w:rsidRDefault="009A4724" w:rsidP="00BA7413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elektronikus hírközlési szolgáltatás nyújtása</w:t>
            </w:r>
          </w:p>
        </w:tc>
      </w:tr>
      <w:tr w:rsidR="009A4724" w:rsidRPr="009A4724" w14:paraId="013ABB63" w14:textId="77777777" w:rsidTr="00900279"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181B21" w14:textId="77777777" w:rsidR="009A4724" w:rsidRPr="009A4724" w:rsidRDefault="009A4724" w:rsidP="00900279">
            <w:pPr>
              <w:spacing w:before="100" w:beforeAutospacing="1" w:after="100" w:afterAutospacing="1" w:line="240" w:lineRule="auto"/>
              <w:ind w:left="241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Frekvenciaelosztás módja</w:t>
            </w: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57D76" w14:textId="77777777" w:rsidR="009A4724" w:rsidRPr="009A4724" w:rsidRDefault="009A4724" w:rsidP="00BA7413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versenyeztetési eljárás</w:t>
            </w:r>
          </w:p>
        </w:tc>
      </w:tr>
      <w:tr w:rsidR="009A4724" w:rsidRPr="009A4724" w14:paraId="46394498" w14:textId="77777777" w:rsidTr="00900279"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337C30" w14:textId="77777777" w:rsidR="009A4724" w:rsidRPr="009A4724" w:rsidRDefault="009A4724" w:rsidP="00900279">
            <w:pPr>
              <w:spacing w:before="100" w:beforeAutospacing="1" w:after="100" w:afterAutospacing="1" w:line="240" w:lineRule="auto"/>
              <w:ind w:left="241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Megszerezhető frekvenciatartomány mennyisége</w:t>
            </w: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301241" w14:textId="300500D3" w:rsidR="009A4724" w:rsidRPr="009A4724" w:rsidRDefault="0061536E" w:rsidP="00A013D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versenyeztetési eljárásban részt vevő által megszerezhető alapblokkok mennyiségét, a felhasználói blokkok nagyságát a versenyeztetési eljárás kiírási dokumentációja határozza meg</w:t>
            </w:r>
          </w:p>
        </w:tc>
      </w:tr>
      <w:tr w:rsidR="009A4724" w:rsidRPr="009A4724" w14:paraId="64D871F6" w14:textId="77777777" w:rsidTr="00900279"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095429" w14:textId="4AFD7B43" w:rsidR="009A4724" w:rsidRPr="009A4724" w:rsidRDefault="0050083E" w:rsidP="00900279">
            <w:pPr>
              <w:spacing w:before="100" w:beforeAutospacing="1" w:after="100" w:afterAutospacing="1" w:line="240" w:lineRule="auto"/>
              <w:ind w:left="241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Rádióspektrum-használati</w:t>
            </w: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jog időtartama</w:t>
            </w: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EE73AC" w14:textId="796EA6A8" w:rsidR="009A4724" w:rsidRPr="009A4724" w:rsidRDefault="0061536E" w:rsidP="00BA7413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</w:t>
            </w:r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5 év, amely egy </w:t>
            </w:r>
            <w:proofErr w:type="gramStart"/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alkalommal</w:t>
            </w:r>
            <w:proofErr w:type="gramEnd"/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5 évvel meghosszabbítható; a meghosszabbítás részletes szabályait, feltételeit a</w:t>
            </w:r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versenyeztetési eljárás kiírási dokumentációja, valamint a versenyeztetési eljárást lezáró határozat vagy hatósági</w:t>
            </w:r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szerződés határozza meg</w:t>
            </w:r>
          </w:p>
        </w:tc>
      </w:tr>
      <w:tr w:rsidR="009A4724" w:rsidRPr="009A4724" w14:paraId="40DD9504" w14:textId="77777777" w:rsidTr="00900279"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98DA75" w14:textId="05249DB8" w:rsidR="009A4724" w:rsidRPr="009A4724" w:rsidRDefault="0050083E" w:rsidP="00900279">
            <w:pPr>
              <w:spacing w:before="100" w:beforeAutospacing="1" w:after="100" w:afterAutospacing="1" w:line="240" w:lineRule="auto"/>
              <w:ind w:left="241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Rádióspektrum-használati</w:t>
            </w: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="009A4724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jogosultság területi kiterjedése</w:t>
            </w: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01B085" w14:textId="68C33FF5" w:rsidR="009A4724" w:rsidRPr="009A4724" w:rsidRDefault="009A4724" w:rsidP="00BA7413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 w:rsidR="0061536E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rádióspektrum-használati</w:t>
            </w:r>
            <w:r w:rsidR="0061536E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jogosultság versenyeztetési eljárás eredményeként történő megszerzése esetén országos,</w:t>
            </w: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átruházás útján történő megszerzése esetén kisebb földrajzi egység is megengedett</w:t>
            </w:r>
          </w:p>
        </w:tc>
      </w:tr>
      <w:tr w:rsidR="009A4724" w:rsidRPr="009A4724" w14:paraId="708A2548" w14:textId="77777777" w:rsidTr="00900279"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AA84DC" w14:textId="77777777" w:rsidR="009A4724" w:rsidRPr="009A4724" w:rsidRDefault="009A4724" w:rsidP="00900279">
            <w:pPr>
              <w:spacing w:before="100" w:beforeAutospacing="1" w:after="100" w:afterAutospacing="1" w:line="240" w:lineRule="auto"/>
              <w:ind w:left="241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Gazdálkodás módja</w:t>
            </w: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7AD90" w14:textId="77777777" w:rsidR="009A4724" w:rsidRPr="009A4724" w:rsidRDefault="009A4724" w:rsidP="00BA7413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blokkgazdálkodás</w:t>
            </w:r>
          </w:p>
        </w:tc>
      </w:tr>
      <w:tr w:rsidR="009A4724" w:rsidRPr="009A4724" w14:paraId="36E43B87" w14:textId="77777777" w:rsidTr="00900279"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C52F4B" w14:textId="77777777" w:rsidR="009A4724" w:rsidRPr="009A4724" w:rsidRDefault="009A4724" w:rsidP="00900279">
            <w:pPr>
              <w:spacing w:before="100" w:beforeAutospacing="1" w:after="100" w:afterAutospacing="1" w:line="240" w:lineRule="auto"/>
              <w:ind w:left="241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Másodlagos kereskedelem</w:t>
            </w:r>
          </w:p>
        </w:tc>
        <w:tc>
          <w:tcPr>
            <w:tcW w:w="325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B43F10" w14:textId="257988FA" w:rsidR="009A4724" w:rsidRPr="009A4724" w:rsidRDefault="009A4724" w:rsidP="00BA7413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</w:t>
            </w:r>
            <w:r w:rsidR="00724AE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rádióspektrum-használati</w:t>
            </w:r>
            <w:r w:rsidR="00724AEF"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jogosultság, jog részben és egészben is átruházható, haszonbérbe adható; frekvencia</w:t>
            </w:r>
            <w:r w:rsidRPr="009A472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vonatkozásában történő részbeni átruházás alapblokkonként történhet</w:t>
            </w:r>
          </w:p>
        </w:tc>
      </w:tr>
    </w:tbl>
    <w:p w14:paraId="6CCC877A" w14:textId="74136D8A" w:rsidR="009A4724" w:rsidRPr="00BA7413" w:rsidRDefault="009A4724" w:rsidP="00BA7413">
      <w:pPr>
        <w:pStyle w:val="Kpalrs"/>
        <w:keepNext/>
        <w:jc w:val="center"/>
        <w:rPr>
          <w:noProof/>
        </w:rPr>
      </w:pPr>
      <w:r w:rsidRPr="00BA7413">
        <w:rPr>
          <w:noProof/>
        </w:rPr>
        <w:t> </w:t>
      </w:r>
      <w:r w:rsidR="00167CD4" w:rsidRPr="00BA7413">
        <w:rPr>
          <w:noProof/>
        </w:rPr>
        <w:t>3.2.b táblázat: Rádióspektrum-használati jog szerzésének és a s</w:t>
      </w:r>
      <w:r w:rsidR="007D7F1C" w:rsidRPr="007D7F1C">
        <w:rPr>
          <w:noProof/>
        </w:rPr>
        <w:t>frekvencia</w:t>
      </w:r>
      <w:r w:rsidR="00167CD4" w:rsidRPr="00BA7413">
        <w:rPr>
          <w:noProof/>
        </w:rPr>
        <w:t>ávhasználat feltételei</w:t>
      </w:r>
    </w:p>
    <w:p w14:paraId="7D764090" w14:textId="0C7D6432" w:rsidR="002C3924" w:rsidRDefault="002C3924" w:rsidP="00900279">
      <w:pPr>
        <w:pStyle w:val="Cmsor1szmozottnmhh"/>
        <w:pageBreakBefore w:val="0"/>
        <w:ind w:left="431" w:hanging="431"/>
      </w:pPr>
      <w:bookmarkStart w:id="22" w:name="_Toc96075656"/>
      <w:r>
        <w:t xml:space="preserve">Tényleges </w:t>
      </w:r>
      <w:r w:rsidR="001D11E6">
        <w:t xml:space="preserve">hazai </w:t>
      </w:r>
      <w:r>
        <w:t>használ</w:t>
      </w:r>
      <w:r w:rsidR="00B05643">
        <w:t>at</w:t>
      </w:r>
      <w:bookmarkEnd w:id="22"/>
    </w:p>
    <w:p w14:paraId="26CF2891" w14:textId="61D9150C" w:rsidR="002C3924" w:rsidRDefault="002C3924" w:rsidP="002C3924">
      <w:pPr>
        <w:pStyle w:val="Behzottbekezdsnmhh"/>
        <w:spacing w:before="120"/>
      </w:pPr>
      <w:r>
        <w:t>Magyarországon jelenleg nincs engedélyhez kötött, elsődleges jellegű használ</w:t>
      </w:r>
      <w:r w:rsidR="00B05643">
        <w:t>at</w:t>
      </w:r>
      <w:r>
        <w:t xml:space="preserve"> az </w:t>
      </w:r>
      <w:r w:rsidR="0053019E">
        <w:t>1427</w:t>
      </w:r>
      <w:r>
        <w:t xml:space="preserve">-1492 MHz </w:t>
      </w:r>
      <w:r w:rsidR="007D7F1C" w:rsidRPr="007D7F1C">
        <w:t>frekvencia</w:t>
      </w:r>
      <w:r>
        <w:t xml:space="preserve">sávban. Az 1492-1518 MHz </w:t>
      </w:r>
      <w:r w:rsidR="007D7F1C" w:rsidRPr="007D7F1C">
        <w:t>frekvencia</w:t>
      </w:r>
      <w:r>
        <w:t>sávban nem polgári pont-pont, pont-többpont és általános többpont (egy- és kétfrekvenciás) rendszerek üzemelhetnek</w:t>
      </w:r>
      <w:r w:rsidR="00B003B7">
        <w:t>.</w:t>
      </w:r>
      <w:r>
        <w:t xml:space="preserve"> </w:t>
      </w:r>
      <w:r w:rsidR="00B003B7">
        <w:t>A</w:t>
      </w:r>
      <w:r w:rsidR="0053019E">
        <w:t xml:space="preserve"> nem polgári célú használ</w:t>
      </w:r>
      <w:r w:rsidR="00B003B7">
        <w:t>at</w:t>
      </w:r>
      <w:r w:rsidR="0053019E">
        <w:t xml:space="preserve">ra </w:t>
      </w:r>
      <w:r w:rsidR="0053019E">
        <w:lastRenderedPageBreak/>
        <w:t>továbbra is igény van, így ez a sávrész jelenleg nem tervezett MFCN számára</w:t>
      </w:r>
      <w:r>
        <w:t>.</w:t>
      </w:r>
      <w:r w:rsidR="006C62E0">
        <w:t xml:space="preserve"> </w:t>
      </w:r>
      <w:r>
        <w:t>A harmadlagos jelleggel használható SRD-k egyedi engedélyezés alól mentesítettek, üzemelésükről nincs információnk.</w:t>
      </w:r>
    </w:p>
    <w:p w14:paraId="7453FD91" w14:textId="77777777" w:rsidR="0002430C" w:rsidRPr="00B85A3A" w:rsidRDefault="0002430C" w:rsidP="002C3924">
      <w:pPr>
        <w:pStyle w:val="Behzottbekezdsnmhh"/>
        <w:spacing w:before="120"/>
      </w:pPr>
    </w:p>
    <w:p w14:paraId="55339B09" w14:textId="77777777" w:rsidR="001E50C0" w:rsidRDefault="00650F28" w:rsidP="00CB2404">
      <w:pPr>
        <w:pStyle w:val="Cmsor1szmozottnmhh"/>
        <w:pageBreakBefore w:val="0"/>
        <w:ind w:left="431" w:hanging="431"/>
      </w:pPr>
      <w:bookmarkStart w:id="23" w:name="_Toc96075657"/>
      <w:r>
        <w:t>Hazai szabályozási tervek</w:t>
      </w:r>
      <w:bookmarkEnd w:id="23"/>
    </w:p>
    <w:p w14:paraId="6E18D2AB" w14:textId="77777777" w:rsidR="00E726F4" w:rsidRDefault="006D5A61" w:rsidP="00C5430D">
      <w:pPr>
        <w:pStyle w:val="Behzottbekezdsnmhh"/>
      </w:pPr>
      <w:r>
        <w:t>A hatályos NFFF</w:t>
      </w:r>
      <w:r w:rsidR="00C5430D">
        <w:t xml:space="preserve"> </w:t>
      </w:r>
      <w:r>
        <w:t>alapján az 1427-1492 MHz frekvenciatartomány MFCN számára kijelölt, az MFCN bevezetéséhez nincs szükség a hazai szabályozás módosítására.</w:t>
      </w:r>
      <w:r w:rsidR="00643A2A">
        <w:t xml:space="preserve"> </w:t>
      </w:r>
    </w:p>
    <w:p w14:paraId="5FC3A8F5" w14:textId="77777777" w:rsidR="00E74783" w:rsidRDefault="00E74783" w:rsidP="00C5430D">
      <w:pPr>
        <w:pStyle w:val="Behzottbekezdsnmhh"/>
      </w:pPr>
    </w:p>
    <w:p w14:paraId="7035AB0C" w14:textId="2905E1A0" w:rsidR="001E50C0" w:rsidRDefault="001E50C0" w:rsidP="00900279">
      <w:pPr>
        <w:pStyle w:val="Cmsor1szmozottnmhh"/>
        <w:pageBreakBefore w:val="0"/>
        <w:ind w:left="431" w:hanging="431"/>
      </w:pPr>
      <w:bookmarkStart w:id="24" w:name="_Toc26089481"/>
      <w:bookmarkStart w:id="25" w:name="_Toc26091892"/>
      <w:bookmarkStart w:id="26" w:name="_Toc26095863"/>
      <w:bookmarkStart w:id="27" w:name="_Toc473880732"/>
      <w:bookmarkStart w:id="28" w:name="_Toc96075658"/>
      <w:bookmarkEnd w:id="24"/>
      <w:bookmarkEnd w:id="25"/>
      <w:bookmarkEnd w:id="26"/>
      <w:r>
        <w:t>Határ</w:t>
      </w:r>
      <w:r w:rsidR="00650F28">
        <w:t xml:space="preserve">övezeti </w:t>
      </w:r>
      <w:r>
        <w:t>frekvencia</w:t>
      </w:r>
      <w:r w:rsidR="00650F28">
        <w:t>felhasználás</w:t>
      </w:r>
      <w:r>
        <w:t xml:space="preserve"> és</w:t>
      </w:r>
      <w:r w:rsidR="00AA62BB">
        <w:t xml:space="preserve"> </w:t>
      </w:r>
      <w:r w:rsidR="00650F28">
        <w:t xml:space="preserve">nemzetközi </w:t>
      </w:r>
      <w:r w:rsidR="00AA62BB">
        <w:t>koordináció</w:t>
      </w:r>
      <w:bookmarkEnd w:id="28"/>
      <w:r>
        <w:t xml:space="preserve"> </w:t>
      </w:r>
      <w:bookmarkEnd w:id="27"/>
    </w:p>
    <w:p w14:paraId="55EFE8B7" w14:textId="574F2B8D" w:rsidR="00C5430D" w:rsidRPr="00C5430D" w:rsidRDefault="00C5430D" w:rsidP="00C5430D">
      <w:pPr>
        <w:pStyle w:val="Behzottbekezdsnmhh"/>
      </w:pPr>
      <w:r w:rsidRPr="00C5430D">
        <w:t xml:space="preserve">A határövezetekben csak azon állomások használata engedélyezett, amelyek kielégítik a mindenkor aktuális vonatkozó nemzetközi koordinációs dokumentumokban rögzített előírásokat.  </w:t>
      </w:r>
    </w:p>
    <w:p w14:paraId="3462EE8F" w14:textId="0AF872CE" w:rsidR="00ED555D" w:rsidRDefault="00C5430D" w:rsidP="0055107B">
      <w:pPr>
        <w:pStyle w:val="Behzottbekezdsnmhh"/>
      </w:pPr>
      <w:r w:rsidRPr="00C5430D">
        <w:t xml:space="preserve">Az 1452-1492 MHz </w:t>
      </w:r>
      <w:r w:rsidR="0055107B" w:rsidRPr="0055107B">
        <w:t>frekvencia</w:t>
      </w:r>
      <w:r w:rsidRPr="00C5430D">
        <w:t>sávra vonatkozó nemzetközi koordináció</w:t>
      </w:r>
      <w:r w:rsidR="00B66219">
        <w:t xml:space="preserve"> műszaki feltételeit</w:t>
      </w:r>
      <w:r w:rsidRPr="00C5430D">
        <w:t xml:space="preserve"> az ECC/REC/(15</w:t>
      </w:r>
      <w:proofErr w:type="gramStart"/>
      <w:r w:rsidRPr="00C5430D">
        <w:t>)01</w:t>
      </w:r>
      <w:proofErr w:type="gramEnd"/>
      <w:r w:rsidR="00405E03">
        <w:rPr>
          <w:rStyle w:val="Lbjegyzet-hivatkozs"/>
          <w:color w:val="000000"/>
        </w:rPr>
        <w:footnoteReference w:id="27"/>
      </w:r>
      <w:r w:rsidRPr="00C5430D">
        <w:t xml:space="preserve"> Ajánlás tartalmazza. Az </w:t>
      </w:r>
      <w:r w:rsidR="00B66219" w:rsidRPr="00C5430D">
        <w:t>ECC/REC/(15</w:t>
      </w:r>
      <w:proofErr w:type="gramStart"/>
      <w:r w:rsidR="00B66219" w:rsidRPr="00C5430D">
        <w:t>)01</w:t>
      </w:r>
      <w:proofErr w:type="gramEnd"/>
      <w:r w:rsidR="00B66219">
        <w:t xml:space="preserve"> módosítása eredményeképpen a</w:t>
      </w:r>
      <w:r w:rsidR="00CC418B">
        <w:t xml:space="preserve">z ajánlás a </w:t>
      </w:r>
      <w:r w:rsidR="00B66219">
        <w:t>teljes 1427-1518 MHz frekvenciasávra kiterjesztésre került és</w:t>
      </w:r>
      <w:r w:rsidRPr="00C5430D">
        <w:t xml:space="preserve"> </w:t>
      </w:r>
      <w:r w:rsidR="00B66219">
        <w:t>magában foglalja az LTE és az 5GNR rendszerekre vonatkozó előírásokat is. Magyarország</w:t>
      </w:r>
      <w:r w:rsidR="001A2295">
        <w:t xml:space="preserve"> </w:t>
      </w:r>
      <w:proofErr w:type="gramStart"/>
      <w:r w:rsidR="001A2295">
        <w:t>2018 februárban</w:t>
      </w:r>
      <w:proofErr w:type="gramEnd"/>
      <w:r w:rsidR="001A2295">
        <w:t xml:space="preserve"> kötött az 1452-1492 MHz </w:t>
      </w:r>
      <w:r w:rsidR="0055107B" w:rsidRPr="0055107B">
        <w:t>frekvencia</w:t>
      </w:r>
      <w:r w:rsidR="001A2295">
        <w:t>sávrészre</w:t>
      </w:r>
      <w:r w:rsidR="001A2295" w:rsidRPr="00C5430D" w:rsidDel="00B66219">
        <w:t xml:space="preserve"> </w:t>
      </w:r>
      <w:r w:rsidR="0055107B">
        <w:t xml:space="preserve">nemzetközi </w:t>
      </w:r>
      <w:r w:rsidR="006D4981">
        <w:t>koordinációs többoldalú megállapodás</w:t>
      </w:r>
      <w:r w:rsidR="001A2295">
        <w:t>t</w:t>
      </w:r>
      <w:r w:rsidR="006D4981" w:rsidRPr="00C5430D">
        <w:t xml:space="preserve"> </w:t>
      </w:r>
      <w:r w:rsidR="006D4981">
        <w:t xml:space="preserve">Ausztriával, Horvátországgal, Romániával, Szlovákiával és Szlovéniával. Szerbiának még nincs elfogadott nemzeti szabályozása, ezért nem tudott csatlakozni a megállapodáshoz. </w:t>
      </w:r>
      <w:r w:rsidRPr="00C5430D">
        <w:t xml:space="preserve">A megállapodás a határövezetben használható térerősségszint korlátokon és a preferált kódok használatán alapul, ennek megfelelően, amennyiben az érintett országok betartják a megállapodásban előírt értékeket, nincs szükség a koordinációs eljárás lefolytatására. </w:t>
      </w:r>
    </w:p>
    <w:p w14:paraId="221CF8F7" w14:textId="4FC4B8AE" w:rsidR="006D4981" w:rsidRPr="00C5430D" w:rsidRDefault="00CC418B" w:rsidP="00C5430D">
      <w:pPr>
        <w:pStyle w:val="Behzottbekezdsnmhh"/>
      </w:pPr>
      <w:r>
        <w:t>A</w:t>
      </w:r>
      <w:r w:rsidR="006D4981">
        <w:t xml:space="preserve">z </w:t>
      </w:r>
      <w:r w:rsidR="006D4981" w:rsidRPr="00C5430D">
        <w:t>ECC/REC/(15</w:t>
      </w:r>
      <w:proofErr w:type="gramStart"/>
      <w:r w:rsidR="006D4981" w:rsidRPr="00C5430D">
        <w:t>)01</w:t>
      </w:r>
      <w:proofErr w:type="gramEnd"/>
      <w:r w:rsidR="006D4981">
        <w:t xml:space="preserve"> </w:t>
      </w:r>
      <w:r w:rsidR="00E44E47">
        <w:t xml:space="preserve">Ajánlás </w:t>
      </w:r>
      <w:r>
        <w:t xml:space="preserve">kiterjesztésével </w:t>
      </w:r>
      <w:r w:rsidR="00E44E47">
        <w:t xml:space="preserve">a </w:t>
      </w:r>
      <w:r w:rsidR="006D4981">
        <w:t xml:space="preserve">teljes 1427-1518 MHz </w:t>
      </w:r>
      <w:r w:rsidR="00866AB3" w:rsidRPr="00866AB3">
        <w:t>frekvencia</w:t>
      </w:r>
      <w:r w:rsidR="006D4981">
        <w:t>sávra</w:t>
      </w:r>
      <w:r w:rsidR="001A2295">
        <w:t xml:space="preserve"> rendelkezésre állnak a nemzetközi szinten elfogadott műszaki feltételek</w:t>
      </w:r>
      <w:r w:rsidR="00643A2A">
        <w:t xml:space="preserve"> a szomszédos országokkal megkötött megállapodás</w:t>
      </w:r>
      <w:r>
        <w:t>ok</w:t>
      </w:r>
      <w:r w:rsidR="001A2295">
        <w:t xml:space="preserve"> felülvizsgálatához és kiterjesztéséhez a kibővített 1500 MHz-es frekvenciasávra</w:t>
      </w:r>
      <w:r>
        <w:t xml:space="preserve"> is.</w:t>
      </w:r>
    </w:p>
    <w:p w14:paraId="4C87D799" w14:textId="24EAA456" w:rsidR="00C5430D" w:rsidRDefault="00C5430D" w:rsidP="00C5430D">
      <w:pPr>
        <w:pStyle w:val="Behzottbekezdsnmhh"/>
      </w:pPr>
      <w:r w:rsidRPr="00C5430D">
        <w:t>Az RR. 5.342 lábjegyzet alapján Ukrajnában légiforgalmi távmérő rendszerek működnek az 1429</w:t>
      </w:r>
      <w:r w:rsidR="006D4981">
        <w:t>-</w:t>
      </w:r>
      <w:r w:rsidRPr="00C5430D">
        <w:t xml:space="preserve">1535 MHz </w:t>
      </w:r>
      <w:r w:rsidR="00866AB3" w:rsidRPr="00866AB3">
        <w:t>frekvencia</w:t>
      </w:r>
      <w:r w:rsidRPr="00C5430D">
        <w:t xml:space="preserve">sávban, ezért Ukrajnával külön megállapodást </w:t>
      </w:r>
      <w:r w:rsidR="00E44E47">
        <w:t xml:space="preserve">kellett kötni az 1500 MHz-es </w:t>
      </w:r>
      <w:r w:rsidR="00866AB3" w:rsidRPr="00866AB3">
        <w:t>frekvencia</w:t>
      </w:r>
      <w:r w:rsidR="00E44E47">
        <w:t xml:space="preserve">sávra vonatkozóan. </w:t>
      </w:r>
      <w:r w:rsidR="00E44E47" w:rsidRPr="00C5430D">
        <w:t xml:space="preserve">Az MFCN és a légiforgalmi távmérés közötti </w:t>
      </w:r>
      <w:r w:rsidR="00E44E47">
        <w:t xml:space="preserve">összeférhetőség, valamint a </w:t>
      </w:r>
      <w:r w:rsidR="00E44E47" w:rsidRPr="00C5430D">
        <w:t>koordináció kérdés</w:t>
      </w:r>
      <w:r w:rsidR="00E44E47">
        <w:t>ét</w:t>
      </w:r>
      <w:r w:rsidR="00E44E47" w:rsidRPr="00C5430D">
        <w:t xml:space="preserve"> a CEPT PT1 munkacsoport</w:t>
      </w:r>
      <w:r w:rsidR="00E44E47">
        <w:t xml:space="preserve"> vizsgálta, ennek eredményét az ECC/REP/295</w:t>
      </w:r>
      <w:r w:rsidR="00AF7692">
        <w:rPr>
          <w:rStyle w:val="Lbjegyzet-hivatkozs"/>
          <w:color w:val="000000"/>
        </w:rPr>
        <w:footnoteReference w:id="28"/>
      </w:r>
      <w:r w:rsidR="00E44E47">
        <w:t xml:space="preserve"> tartalmazza. A nemzetközi vizsgálatokat is figyelembe véve, 2019 novemberében Ukrajnával is </w:t>
      </w:r>
      <w:r w:rsidR="00A013D6">
        <w:t xml:space="preserve">kötöttünk nemzetközi </w:t>
      </w:r>
      <w:r w:rsidR="00E44E47">
        <w:t>koordinációs megállapodást</w:t>
      </w:r>
      <w:r w:rsidR="009D0B21">
        <w:t xml:space="preserve"> </w:t>
      </w:r>
      <w:r w:rsidR="00E44E47">
        <w:t xml:space="preserve">az 1500 MHz-es </w:t>
      </w:r>
      <w:r w:rsidR="00866AB3" w:rsidRPr="00866AB3">
        <w:t>frekvencia</w:t>
      </w:r>
      <w:r w:rsidR="00E44E47">
        <w:t>sávra</w:t>
      </w:r>
      <w:r w:rsidRPr="00C5430D">
        <w:t>, mely</w:t>
      </w:r>
      <w:r w:rsidR="00E44E47">
        <w:t xml:space="preserve"> tartalmazza</w:t>
      </w:r>
      <w:r w:rsidRPr="00C5430D">
        <w:t xml:space="preserve"> a légiforgalmi távmérés védelmével kapcsolatos feltételeket, valamint az MFCN és a légiforgalmi távmérés közötti koordináció szabályait is</w:t>
      </w:r>
      <w:r w:rsidR="00E44E47">
        <w:t xml:space="preserve"> a teljes 1427-1518 MHz </w:t>
      </w:r>
      <w:r w:rsidR="00866AB3" w:rsidRPr="00866AB3">
        <w:t>frekvencia</w:t>
      </w:r>
      <w:r w:rsidR="00E44E47">
        <w:t>sávban</w:t>
      </w:r>
      <w:r w:rsidRPr="00C5430D">
        <w:t xml:space="preserve">. </w:t>
      </w:r>
    </w:p>
    <w:p w14:paraId="1266E772" w14:textId="7A6B7330" w:rsidR="00065460" w:rsidRDefault="001A2295" w:rsidP="00C5430D">
      <w:pPr>
        <w:pStyle w:val="Behzottbekezdsnmhh"/>
      </w:pPr>
      <w:r>
        <w:t xml:space="preserve">A szomszédos országok közül Szlovéniában és Ausztriában már lezárult az 1500 MHz-es frekvenciasáv </w:t>
      </w:r>
      <w:r w:rsidR="00A013D6">
        <w:t>versenyeztetési eljárása</w:t>
      </w:r>
      <w:r>
        <w:t>. Szlovákiában 2022 első felében, Romániában pedig 2022 harmadik negyedévében várható az 1500 MHz-es frekvenciasávra is kiterjedő versenyeztetési eljárás</w:t>
      </w:r>
      <w:r w:rsidR="00A6788F">
        <w:t xml:space="preserve"> lefolytatása</w:t>
      </w:r>
      <w:r>
        <w:t>.</w:t>
      </w:r>
    </w:p>
    <w:p w14:paraId="10C9B23F" w14:textId="216F56C4" w:rsidR="001E50C0" w:rsidRDefault="00657919" w:rsidP="00900279">
      <w:pPr>
        <w:pStyle w:val="Cmsor1szmozottnmhh"/>
        <w:pageBreakBefore w:val="0"/>
        <w:ind w:left="431" w:hanging="431"/>
      </w:pPr>
      <w:bookmarkStart w:id="29" w:name="_Toc26089483"/>
      <w:bookmarkStart w:id="30" w:name="_Toc26091894"/>
      <w:bookmarkStart w:id="31" w:name="_Toc26095865"/>
      <w:bookmarkStart w:id="32" w:name="_Toc26095866"/>
      <w:bookmarkStart w:id="33" w:name="_Toc26095867"/>
      <w:bookmarkStart w:id="34" w:name="_Toc96075659"/>
      <w:bookmarkEnd w:id="29"/>
      <w:bookmarkEnd w:id="30"/>
      <w:bookmarkEnd w:id="31"/>
      <w:bookmarkEnd w:id="32"/>
      <w:bookmarkEnd w:id="33"/>
      <w:r>
        <w:lastRenderedPageBreak/>
        <w:t>Rádióspektrumdíjak</w:t>
      </w:r>
      <w:bookmarkEnd w:id="34"/>
    </w:p>
    <w:bookmarkEnd w:id="2"/>
    <w:p w14:paraId="06376F94" w14:textId="77777777" w:rsidR="004C6294" w:rsidRPr="00BA7413" w:rsidRDefault="004C6294" w:rsidP="004C6294">
      <w:pPr>
        <w:rPr>
          <w:sz w:val="20"/>
          <w:szCs w:val="20"/>
        </w:rPr>
      </w:pPr>
      <w:r w:rsidRPr="00BA7413">
        <w:rPr>
          <w:sz w:val="20"/>
          <w:szCs w:val="20"/>
        </w:rPr>
        <w:t>A rendszeres rádióspektrumdíj számítási módszerét a frekvencialekötés és -használat díjáról szóló 1/2011. (III. 31.) NMHH rendelet (a továbbiakban: Díjrendelet) írja le. Az NFFF alapján blokkgazdálkodás körébe tartozó, szolgáltatás célú és versenyeztetési eljárás eredményeként, a rádióspektrum-használati jogosultság meghosszabbítása eredményeként vagy a rádióspektrum-használati jogosultság megújítása eredményeként szerzett, valamint a szerzést követően továbbértékesített rádióspektrum esetén a rádióspektrum-használati jogosultság időtartama alatt a jogosítottnak a rádióengedély érvényességének a frekvenciahasználati jogosultság megszerzését szolgáló árverés és pályázat szabályairól szóló 4/2011. (X. 6.) NMHH rendelet 22. § (3) bekezdésében meghatározott legkorábbi időpontjától a rádióspektrum-használati jogot szerzőnek havonta sávdíjat kell fizetnie.</w:t>
      </w:r>
    </w:p>
    <w:p w14:paraId="6B04FA97" w14:textId="0899FBDF" w:rsidR="001E50C0" w:rsidRPr="00B72D7A" w:rsidRDefault="004C6294" w:rsidP="004C6294">
      <w:pPr>
        <w:pStyle w:val="Behzottbekezdsnmhh"/>
        <w:rPr>
          <w:i/>
        </w:rPr>
      </w:pPr>
      <w:r w:rsidRPr="00634C7E">
        <w:t xml:space="preserve">Az 1500 MHz-es </w:t>
      </w:r>
      <w:r w:rsidR="00866AB3" w:rsidRPr="00866AB3">
        <w:t>frekvencia</w:t>
      </w:r>
      <w:r w:rsidRPr="00634C7E">
        <w:t xml:space="preserve">sáv használata után fizetendő </w:t>
      </w:r>
      <w:r>
        <w:t>sávdíj</w:t>
      </w:r>
      <w:r w:rsidRPr="00634C7E">
        <w:t xml:space="preserve"> megállapításához a Díjrendelet módosítása szükséges, mivel </w:t>
      </w:r>
      <w:r>
        <w:t xml:space="preserve">a </w:t>
      </w:r>
      <w:r w:rsidRPr="00CC4439">
        <w:t>“</w:t>
      </w:r>
      <w:r>
        <w:t>Blokkgazdálkodás körébe</w:t>
      </w:r>
      <w:r w:rsidRPr="00CC4439">
        <w:t xml:space="preserve"> tartozó sávok után fizetendő díjak” címmel szereplő 20. </w:t>
      </w:r>
      <w:r w:rsidRPr="00634C7E">
        <w:t>§-ban és 9. mellékletében nem szerepel ez a frekvenciasáv.</w:t>
      </w:r>
    </w:p>
    <w:sectPr w:rsidR="001E50C0" w:rsidRPr="00B72D7A" w:rsidSect="003A0206">
      <w:footerReference w:type="default" r:id="rId12"/>
      <w:headerReference w:type="first" r:id="rId13"/>
      <w:pgSz w:w="11906" w:h="16838"/>
      <w:pgMar w:top="1417" w:right="1417" w:bottom="1417" w:left="1417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88A6" w14:textId="77777777" w:rsidR="004E7E24" w:rsidRDefault="004E7E24" w:rsidP="006F446C">
      <w:pPr>
        <w:spacing w:after="0" w:line="240" w:lineRule="auto"/>
      </w:pPr>
      <w:r>
        <w:separator/>
      </w:r>
    </w:p>
  </w:endnote>
  <w:endnote w:type="continuationSeparator" w:id="0">
    <w:p w14:paraId="70AA01D4" w14:textId="77777777" w:rsidR="004E7E24" w:rsidRDefault="004E7E24" w:rsidP="006F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F6B7" w14:textId="77777777" w:rsidR="00FA419B" w:rsidRDefault="00FA419B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9E6841" wp14:editId="081289DE">
              <wp:simplePos x="0" y="0"/>
              <wp:positionH relativeFrom="column">
                <wp:posOffset>4997450</wp:posOffset>
              </wp:positionH>
              <wp:positionV relativeFrom="paragraph">
                <wp:posOffset>153035</wp:posOffset>
              </wp:positionV>
              <wp:extent cx="613410" cy="302260"/>
              <wp:effectExtent l="0" t="63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196522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365E487" w14:textId="3DC6D80E" w:rsidR="00FA419B" w:rsidRPr="00D42662" w:rsidRDefault="00FA419B" w:rsidP="00DE62E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D1F7F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42662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E68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5pt;margin-top:12.05pt;width:48.3pt;height:23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IKswIAALg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" filled="f" stroked="f">
              <v:textbox style="mso-fit-shape-to-text:t">
                <w:txbxContent>
                  <w:sdt>
                    <w:sdtPr>
                      <w:rPr>
                        <w:sz w:val="16"/>
                        <w:szCs w:val="16"/>
                      </w:rPr>
                      <w:id w:val="1196522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365E487" w14:textId="3DC6D80E" w:rsidR="00FA419B" w:rsidRPr="00D42662" w:rsidRDefault="00FA419B" w:rsidP="00DE62E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4266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4266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D4266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D1F7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D42662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858AF" w14:textId="77777777" w:rsidR="004E7E24" w:rsidRDefault="004E7E24" w:rsidP="006F446C">
      <w:pPr>
        <w:spacing w:after="0" w:line="240" w:lineRule="auto"/>
      </w:pPr>
      <w:r>
        <w:separator/>
      </w:r>
    </w:p>
  </w:footnote>
  <w:footnote w:type="continuationSeparator" w:id="0">
    <w:p w14:paraId="2512D976" w14:textId="77777777" w:rsidR="004E7E24" w:rsidRDefault="004E7E24" w:rsidP="006F446C">
      <w:pPr>
        <w:spacing w:after="0" w:line="240" w:lineRule="auto"/>
      </w:pPr>
      <w:r>
        <w:continuationSeparator/>
      </w:r>
    </w:p>
  </w:footnote>
  <w:footnote w:id="1">
    <w:p w14:paraId="2EB77586" w14:textId="77777777" w:rsidR="00FA419B" w:rsidRPr="00B85A3A" w:rsidRDefault="00FA419B" w:rsidP="00192F3C">
      <w:pPr>
        <w:pStyle w:val="Lbjegyzetszveg"/>
        <w:spacing w:line="276" w:lineRule="auto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MFCN: Mobile/Fixed Communications Networks (Az állandóhelyű és a mozgó vezetéknélküli kommunikációs szolgálatok konvergenciája kapcsán a CEPT szabályozásában bevezetésre került az MFCN (Mobile/Fixed Communication Networks / Mozgó/állandóhelyű hírközlési hálózatok) gyűjtőfogalom. Ide tartoznak az ITU szóhasználat szerinti IMT (International Mobile Telecommunication / Nemzetközi mozgó távközlés) rendszerek is.)</w:t>
      </w:r>
    </w:p>
  </w:footnote>
  <w:footnote w:id="2">
    <w:p w14:paraId="420847CF" w14:textId="77777777" w:rsidR="00FA419B" w:rsidRPr="00B85A3A" w:rsidRDefault="00FA419B" w:rsidP="00192F3C">
      <w:pPr>
        <w:pStyle w:val="Lbjegyzetszveg"/>
        <w:spacing w:line="276" w:lineRule="auto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PMSE: Programme Making and Special Events - Műsorgyártás és különleges események</w:t>
      </w:r>
    </w:p>
  </w:footnote>
  <w:footnote w:id="3">
    <w:p w14:paraId="52B7B4E7" w14:textId="77777777" w:rsidR="00FA419B" w:rsidRPr="00B85A3A" w:rsidRDefault="00FA419B" w:rsidP="00192F3C">
      <w:pPr>
        <w:pStyle w:val="Lbjegyzetszveg"/>
        <w:spacing w:line="276" w:lineRule="auto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World Radiocommunication Conference 2015, Rádiótávközlési Világértekezlet 2015, Genf, 2015.11.2-27</w:t>
      </w:r>
    </w:p>
  </w:footnote>
  <w:footnote w:id="4">
    <w:p w14:paraId="6CA3E08D" w14:textId="77777777" w:rsidR="00FA419B" w:rsidRDefault="00FA419B" w:rsidP="00192F3C">
      <w:pPr>
        <w:pStyle w:val="Lbjegyzetszveg"/>
      </w:pPr>
      <w:r>
        <w:rPr>
          <w:rStyle w:val="Lbjegyzet-hivatkozs"/>
        </w:rPr>
        <w:footnoteRef/>
      </w:r>
      <w:r w:rsidRPr="00720CD3">
        <w:rPr>
          <w:sz w:val="13"/>
          <w:szCs w:val="13"/>
        </w:rPr>
        <w:t>IMT - Nemzetközi mozgó távközlés - International Mobile Telecommunications</w:t>
      </w:r>
    </w:p>
  </w:footnote>
  <w:footnote w:id="5">
    <w:p w14:paraId="65EA6ADF" w14:textId="3A070B6C" w:rsidR="00FA419B" w:rsidRPr="00900279" w:rsidRDefault="00FA419B" w:rsidP="00192F3C">
      <w:pPr>
        <w:pStyle w:val="Lbjegyzetszveg"/>
        <w:rPr>
          <w:sz w:val="13"/>
          <w:szCs w:val="13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00279">
        <w:rPr>
          <w:sz w:val="13"/>
          <w:szCs w:val="13"/>
        </w:rPr>
        <w:t>az 1452-1492 MHz frekvenciasávnak az Unión belül elektronikus hírközlési szolgáltatások nyújtására alkalmas földfelszíni rendszerek érd</w:t>
      </w:r>
      <w:r w:rsidRPr="000A1EE4">
        <w:rPr>
          <w:sz w:val="13"/>
          <w:szCs w:val="13"/>
        </w:rPr>
        <w:t>ekében történő harmonizálásáról</w:t>
      </w:r>
      <w:r>
        <w:rPr>
          <w:sz w:val="13"/>
          <w:szCs w:val="13"/>
        </w:rPr>
        <w:t xml:space="preserve"> szóló, </w:t>
      </w:r>
      <w:r w:rsidRPr="00231669">
        <w:rPr>
          <w:sz w:val="13"/>
          <w:szCs w:val="13"/>
        </w:rPr>
        <w:t>2015. május 8</w:t>
      </w:r>
      <w:r>
        <w:rPr>
          <w:sz w:val="13"/>
          <w:szCs w:val="13"/>
        </w:rPr>
        <w:t>-i</w:t>
      </w:r>
      <w:r w:rsidRPr="00231669">
        <w:rPr>
          <w:sz w:val="13"/>
          <w:szCs w:val="13"/>
        </w:rPr>
        <w:t xml:space="preserve"> </w:t>
      </w:r>
      <w:r>
        <w:rPr>
          <w:sz w:val="13"/>
          <w:szCs w:val="13"/>
        </w:rPr>
        <w:t>(</w:t>
      </w:r>
      <w:r w:rsidRPr="001C6AF0">
        <w:rPr>
          <w:sz w:val="13"/>
          <w:szCs w:val="13"/>
        </w:rPr>
        <w:t>EU) 2015/750 bizottsági végrehajtási határozat</w:t>
      </w:r>
      <w:r w:rsidRPr="000A1EE4">
        <w:rPr>
          <w:sz w:val="13"/>
          <w:szCs w:val="13"/>
        </w:rPr>
        <w:t xml:space="preserve">, valamint </w:t>
      </w:r>
      <w:r w:rsidRPr="00900279">
        <w:rPr>
          <w:sz w:val="13"/>
          <w:szCs w:val="13"/>
        </w:rPr>
        <w:t>az 1452–1492 MHz frekvenciasávnak az Unión belül elektronikus hírközlési szolgáltatások nyújtására alkalmas földfelszíni rendszerek érdekében történő harmonizálásáról szóló (EU) 2015/750 végrehajtási határozatnak a harmonizált 1427–1452 MHz és 1492–1517 MHz frekvenciasávra történő kiterjesztéséről</w:t>
      </w:r>
      <w:r w:rsidRPr="000A1EE4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szóló, </w:t>
      </w:r>
      <w:r w:rsidRPr="00084CCA">
        <w:rPr>
          <w:sz w:val="13"/>
          <w:szCs w:val="13"/>
        </w:rPr>
        <w:t>2018. április 26</w:t>
      </w:r>
      <w:r>
        <w:rPr>
          <w:sz w:val="13"/>
          <w:szCs w:val="13"/>
        </w:rPr>
        <w:t>-i</w:t>
      </w:r>
      <w:r w:rsidRPr="00084CCA">
        <w:rPr>
          <w:sz w:val="13"/>
          <w:szCs w:val="13"/>
        </w:rPr>
        <w:t xml:space="preserve"> </w:t>
      </w:r>
      <w:r w:rsidRPr="00746D2C">
        <w:rPr>
          <w:sz w:val="13"/>
          <w:szCs w:val="13"/>
        </w:rPr>
        <w:t>(EU) 2018/661 bizottsági végrehajtási</w:t>
      </w:r>
      <w:proofErr w:type="gramEnd"/>
      <w:r w:rsidRPr="00746D2C">
        <w:rPr>
          <w:sz w:val="13"/>
          <w:szCs w:val="13"/>
        </w:rPr>
        <w:t xml:space="preserve"> </w:t>
      </w:r>
      <w:proofErr w:type="gramStart"/>
      <w:r w:rsidRPr="00746D2C">
        <w:rPr>
          <w:sz w:val="13"/>
          <w:szCs w:val="13"/>
        </w:rPr>
        <w:t>határozata</w:t>
      </w:r>
      <w:proofErr w:type="gramEnd"/>
    </w:p>
  </w:footnote>
  <w:footnote w:id="6">
    <w:p w14:paraId="08B3A23F" w14:textId="77777777" w:rsidR="00FA419B" w:rsidRPr="00FA419B" w:rsidRDefault="00FA419B" w:rsidP="00680324">
      <w:pPr>
        <w:pStyle w:val="Lbjegyzetszveg"/>
        <w:rPr>
          <w:sz w:val="16"/>
          <w:szCs w:val="16"/>
        </w:rPr>
      </w:pPr>
      <w:r w:rsidRPr="00FA419B">
        <w:rPr>
          <w:rStyle w:val="Lbjegyzet-hivatkozs"/>
          <w:sz w:val="16"/>
          <w:szCs w:val="16"/>
        </w:rPr>
        <w:footnoteRef/>
      </w:r>
      <w:hyperlink r:id="rId1" w:history="1">
        <w:r w:rsidRPr="00FA419B">
          <w:rPr>
            <w:sz w:val="13"/>
            <w:szCs w:val="13"/>
          </w:rPr>
          <w:t>http://nmhh.hu/esemeny/207926/Nyilvanos_meghallgatas_a_mobil_halozatok_uzemeltetesere_alkalmas_frekvenciasavok_hasznositasaval_kapcsolatos_szakmai_kerdesekre</w:t>
        </w:r>
      </w:hyperlink>
      <w:r w:rsidRPr="00FA419B">
        <w:rPr>
          <w:sz w:val="13"/>
          <w:szCs w:val="13"/>
        </w:rPr>
        <w:t xml:space="preserve"> </w:t>
      </w:r>
    </w:p>
  </w:footnote>
  <w:footnote w:id="7">
    <w:p w14:paraId="7DC3D8C9" w14:textId="0E1836BF" w:rsidR="00FA419B" w:rsidRPr="00FA419B" w:rsidRDefault="00FA419B" w:rsidP="00A365F9">
      <w:pPr>
        <w:pStyle w:val="Lbjegyzetszveg"/>
        <w:rPr>
          <w:rStyle w:val="Lbjegyzet-hivatkozs"/>
          <w:sz w:val="16"/>
          <w:szCs w:val="16"/>
        </w:rPr>
      </w:pPr>
      <w:r w:rsidRPr="00FA419B">
        <w:rPr>
          <w:rStyle w:val="Lbjegyzet-hivatkozs"/>
          <w:sz w:val="16"/>
          <w:szCs w:val="16"/>
        </w:rPr>
        <w:footnoteRef/>
      </w:r>
      <w:hyperlink r:id="rId2" w:history="1">
        <w:r w:rsidRPr="00FA419B">
          <w:rPr>
            <w:sz w:val="13"/>
            <w:szCs w:val="13"/>
          </w:rPr>
          <w:t>https://nmhh.hu/esemeny/207926/Nyilvanos_meghallgatas_a_mobil_halozatok_uzemeltetesere_alkalmas_frekvenciasavok_hasznositasaval_kapcsolatos_szakmai_kerdesekre</w:t>
        </w:r>
      </w:hyperlink>
    </w:p>
  </w:footnote>
  <w:footnote w:id="8">
    <w:p w14:paraId="6D12CB58" w14:textId="77777777" w:rsidR="00FA419B" w:rsidRPr="00B85A3A" w:rsidRDefault="00FA419B" w:rsidP="004C28EF">
      <w:pPr>
        <w:pStyle w:val="Lbjegyzetszveg"/>
        <w:spacing w:line="276" w:lineRule="auto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ITU: International Telecommunication Union – Nemzetközi Távközlési Egyesület</w:t>
      </w:r>
    </w:p>
  </w:footnote>
  <w:footnote w:id="9">
    <w:p w14:paraId="050FE31D" w14:textId="77777777" w:rsidR="00FA419B" w:rsidRPr="00B85A3A" w:rsidRDefault="00FA419B">
      <w:pPr>
        <w:pStyle w:val="Lbjegyzetszveg"/>
        <w:spacing w:line="276" w:lineRule="auto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CEPT: Conférence européenne des Administrations des postes et des télécommunications – Postai és Távközlési Igazgatások Európai Értekezlete</w:t>
      </w:r>
    </w:p>
  </w:footnote>
  <w:footnote w:id="10">
    <w:p w14:paraId="4D8871A1" w14:textId="3764E968" w:rsidR="00FA419B" w:rsidRPr="00B85A3A" w:rsidRDefault="00FA419B" w:rsidP="00FA419B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Report ITU-R M.2324: Sharing studies between potential International Mobile Telecommunication systems and aeronautical mobile telemetry systems in the frequency band 1 429-1 535 MHz - ITU-R M.2324 Jelentés: Az 1429-1535 MHz </w:t>
      </w:r>
      <w:r w:rsidR="00866AB3" w:rsidRPr="00866AB3">
        <w:rPr>
          <w:sz w:val="13"/>
          <w:szCs w:val="13"/>
        </w:rPr>
        <w:t>frekvencia</w:t>
      </w:r>
      <w:r w:rsidRPr="00B85A3A">
        <w:rPr>
          <w:sz w:val="13"/>
          <w:szCs w:val="13"/>
        </w:rPr>
        <w:t>sávban üzemelő légiforgalmi távmérő rendszerek és a lehetséges nemzetközi mozgó távközlési rendszerek közötti sávmegosztási vizsgálatok</w:t>
      </w:r>
    </w:p>
  </w:footnote>
  <w:footnote w:id="11">
    <w:p w14:paraId="067BF9C5" w14:textId="7BF140C1" w:rsidR="00FA419B" w:rsidRPr="00B85A3A" w:rsidRDefault="00FA419B" w:rsidP="001B2C68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RESOLUTION 223 (REV</w:t>
      </w:r>
      <w:proofErr w:type="gramStart"/>
      <w:r w:rsidRPr="00B85A3A">
        <w:rPr>
          <w:sz w:val="13"/>
          <w:szCs w:val="13"/>
        </w:rPr>
        <w:t>.WRC-1</w:t>
      </w:r>
      <w:r>
        <w:rPr>
          <w:sz w:val="13"/>
          <w:szCs w:val="13"/>
        </w:rPr>
        <w:t>9</w:t>
      </w:r>
      <w:proofErr w:type="gramEnd"/>
      <w:r w:rsidRPr="00B85A3A">
        <w:rPr>
          <w:sz w:val="13"/>
          <w:szCs w:val="13"/>
        </w:rPr>
        <w:t>) Additional frequency bands identified for IMT - 223 (REV.WRC-1</w:t>
      </w:r>
      <w:r>
        <w:rPr>
          <w:sz w:val="13"/>
          <w:szCs w:val="13"/>
        </w:rPr>
        <w:t>9</w:t>
      </w:r>
      <w:r w:rsidRPr="00B85A3A">
        <w:rPr>
          <w:sz w:val="13"/>
          <w:szCs w:val="13"/>
        </w:rPr>
        <w:t>) HATÁROZAT: Az IMT számára azonosított további sávok</w:t>
      </w:r>
    </w:p>
  </w:footnote>
  <w:footnote w:id="12">
    <w:p w14:paraId="5D29AA98" w14:textId="714E13A9" w:rsidR="00FA419B" w:rsidRPr="00DE62EF" w:rsidRDefault="00FA419B" w:rsidP="001B2C68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sz w:val="13"/>
          <w:szCs w:val="13"/>
        </w:rPr>
        <w:t xml:space="preserve"> </w:t>
      </w:r>
      <w:proofErr w:type="gramStart"/>
      <w:r w:rsidRPr="00DE62EF">
        <w:rPr>
          <w:sz w:val="13"/>
          <w:szCs w:val="13"/>
        </w:rPr>
        <w:t>CEPT REPORT 54 approved 28 November 2014 Report from CEPT to the European Commission in response to the Mandate “To develop harmonised technical conditions in the 1452-1492 MHz frequency band for wireless broadband electronic communications services in the EU”; - 54. CEPT Jelentés: A CEPT jelentése az Európai Bizottságnak az „A vezetéknélküli szélessávú elektronikus hírközlési szolgáltatásoknak az EU-n belül az 1452–1492 MHz frekvenciasávban való nyújtására vonatkozó harmonizált műszaki feltételek kidolgozása” című megbízatásra válaszul</w:t>
      </w:r>
      <w:proofErr w:type="gramEnd"/>
    </w:p>
  </w:footnote>
  <w:footnote w:id="13">
    <w:p w14:paraId="2282739E" w14:textId="6BF2AFB7" w:rsidR="00FA419B" w:rsidRPr="00DE62EF" w:rsidRDefault="00FA419B" w:rsidP="001B2C68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sz w:val="13"/>
          <w:szCs w:val="13"/>
        </w:rPr>
        <w:t xml:space="preserve"> ECC DECISION (ECC/DEC/(13</w:t>
      </w:r>
      <w:proofErr w:type="gramStart"/>
      <w:r w:rsidRPr="00DE62EF">
        <w:rPr>
          <w:sz w:val="13"/>
          <w:szCs w:val="13"/>
        </w:rPr>
        <w:t>)03</w:t>
      </w:r>
      <w:proofErr w:type="gramEnd"/>
      <w:r w:rsidRPr="00DE62EF">
        <w:rPr>
          <w:sz w:val="13"/>
          <w:szCs w:val="13"/>
        </w:rPr>
        <w:t xml:space="preserve">) approved 08 November 2013 The harmonised use of the frequency band 1452-1492 MHz for Mobile/Fixed Communications Networks Supplemental Downlink (MFCN SDL) (amended </w:t>
      </w:r>
      <w:r>
        <w:rPr>
          <w:sz w:val="13"/>
          <w:szCs w:val="13"/>
        </w:rPr>
        <w:t>2</w:t>
      </w:r>
      <w:r w:rsidRPr="00DE62EF">
        <w:rPr>
          <w:sz w:val="13"/>
          <w:szCs w:val="13"/>
        </w:rPr>
        <w:t xml:space="preserve"> </w:t>
      </w:r>
      <w:r>
        <w:rPr>
          <w:sz w:val="13"/>
          <w:szCs w:val="13"/>
        </w:rPr>
        <w:t>March 2018</w:t>
      </w:r>
      <w:r w:rsidRPr="00DE62EF">
        <w:rPr>
          <w:sz w:val="13"/>
          <w:szCs w:val="13"/>
        </w:rPr>
        <w:t>) - Az 1452</w:t>
      </w:r>
      <w:r>
        <w:rPr>
          <w:rFonts w:eastAsia="SymbolMT"/>
          <w:sz w:val="13"/>
          <w:szCs w:val="13"/>
        </w:rPr>
        <w:t>-</w:t>
      </w:r>
      <w:r w:rsidRPr="00DE62EF">
        <w:rPr>
          <w:sz w:val="13"/>
          <w:szCs w:val="13"/>
        </w:rPr>
        <w:t xml:space="preserve">1492 MHz </w:t>
      </w:r>
      <w:r w:rsidR="00866AB3" w:rsidRPr="00866AB3">
        <w:rPr>
          <w:sz w:val="13"/>
          <w:szCs w:val="13"/>
        </w:rPr>
        <w:t>frekvencia</w:t>
      </w:r>
      <w:r w:rsidRPr="00DE62EF">
        <w:rPr>
          <w:sz w:val="13"/>
          <w:szCs w:val="13"/>
        </w:rPr>
        <w:t xml:space="preserve">sávnak a mozgó/állandóhelyű hírközlő hálózatok kiegészítő lemenő irányú összeköttetései (MFCN SDL) részére történő harmonizált használata (elfogadva 2013. November 8, módosítva </w:t>
      </w:r>
      <w:proofErr w:type="gramStart"/>
      <w:r w:rsidRPr="00DE62EF">
        <w:rPr>
          <w:sz w:val="13"/>
          <w:szCs w:val="13"/>
        </w:rPr>
        <w:t>201</w:t>
      </w:r>
      <w:r>
        <w:rPr>
          <w:sz w:val="13"/>
          <w:szCs w:val="13"/>
        </w:rPr>
        <w:t>8 március</w:t>
      </w:r>
      <w:proofErr w:type="gramEnd"/>
      <w:r>
        <w:rPr>
          <w:sz w:val="13"/>
          <w:szCs w:val="13"/>
        </w:rPr>
        <w:t xml:space="preserve"> 2.)</w:t>
      </w:r>
    </w:p>
  </w:footnote>
  <w:footnote w:id="14">
    <w:p w14:paraId="019A4B8B" w14:textId="1F1632CE" w:rsidR="00FA419B" w:rsidRPr="00DE62EF" w:rsidRDefault="00FA419B" w:rsidP="001B2C68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sz w:val="13"/>
          <w:szCs w:val="13"/>
        </w:rPr>
        <w:t xml:space="preserve"> </w:t>
      </w:r>
      <w:proofErr w:type="gramStart"/>
      <w:r w:rsidRPr="00DE62EF">
        <w:rPr>
          <w:sz w:val="13"/>
          <w:szCs w:val="13"/>
        </w:rPr>
        <w:t>ECC Recommendation (15)01 Cross-border coordination for mobile / fixed communications networks (MFCN) in the frequency bands:694-790 MHz, 1452-1492 MHz, 3400-3600 MHz and 3600-3800 MHz Approved 13 February 2015</w:t>
      </w:r>
      <w:r>
        <w:rPr>
          <w:sz w:val="13"/>
          <w:szCs w:val="13"/>
        </w:rPr>
        <w:t xml:space="preserve"> (amendment on 14 February 2020)</w:t>
      </w:r>
      <w:r w:rsidRPr="00DE62EF">
        <w:rPr>
          <w:sz w:val="13"/>
          <w:szCs w:val="13"/>
        </w:rPr>
        <w:t xml:space="preserve"> – A 694-790 MHz, 1452–1492 MHz, 3400–3600 MHz és a 3600–3800 MHz frekvenciasávban működő mozgó/állandóhelyű hírközlő hálózatok (MFCN) határövezeti koordinációja (2015. február 13</w:t>
      </w:r>
      <w:r>
        <w:rPr>
          <w:sz w:val="13"/>
          <w:szCs w:val="13"/>
        </w:rPr>
        <w:t>, módosítva 2020 február 14.</w:t>
      </w:r>
      <w:r w:rsidRPr="00DE62EF">
        <w:rPr>
          <w:sz w:val="13"/>
          <w:szCs w:val="13"/>
        </w:rPr>
        <w:t>)</w:t>
      </w:r>
      <w:proofErr w:type="gramEnd"/>
    </w:p>
  </w:footnote>
  <w:footnote w:id="15">
    <w:p w14:paraId="1750D07E" w14:textId="5B553BCB" w:rsidR="00FA419B" w:rsidRPr="00DE62EF" w:rsidRDefault="00FA419B" w:rsidP="001B2C68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sz w:val="13"/>
          <w:szCs w:val="13"/>
        </w:rPr>
        <w:t xml:space="preserve"> ECC REPORT 202 Out-of-Band emission limits for Mobile/Fixed Communication Networks (MFCN) Supplemental Downlink (SDL) operating in the 1452-1492 MHz band (approved September 2013) – 202. ECC Jelentés: Az 1452–1492 MHz </w:t>
      </w:r>
      <w:r w:rsidR="00866AB3" w:rsidRPr="00866AB3">
        <w:rPr>
          <w:sz w:val="13"/>
          <w:szCs w:val="13"/>
        </w:rPr>
        <w:t>frekvencia</w:t>
      </w:r>
      <w:r w:rsidRPr="00DE62EF">
        <w:rPr>
          <w:sz w:val="13"/>
          <w:szCs w:val="13"/>
        </w:rPr>
        <w:t>sávban üzemelő mozgó/állandóhelyű hírközlő hálózatok (MFCN) kiegészítő lemenő irányú összeköttetéseire (SDL) vonatkozó sávon kívüli sugárzási határértékek (elfogadva 2013. szeptember)</w:t>
      </w:r>
    </w:p>
  </w:footnote>
  <w:footnote w:id="16">
    <w:p w14:paraId="125B1FB5" w14:textId="0F1F1209" w:rsidR="00FA419B" w:rsidRPr="00DE62EF" w:rsidRDefault="00FA419B" w:rsidP="00FA419B">
      <w:pPr>
        <w:autoSpaceDE w:val="0"/>
        <w:autoSpaceDN w:val="0"/>
        <w:adjustRightInd w:val="0"/>
        <w:spacing w:after="0"/>
        <w:rPr>
          <w:rStyle w:val="Lbjegyzet-hivatkozs"/>
          <w:sz w:val="13"/>
          <w:szCs w:val="13"/>
          <w:vertAlign w:val="baseline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rStyle w:val="Lbjegyzet-hivatkozs"/>
          <w:sz w:val="13"/>
          <w:szCs w:val="13"/>
          <w:vertAlign w:val="baseline"/>
        </w:rPr>
        <w:t xml:space="preserve"> ECC REPORT 227: Compatibility Studies for Mobile/Fixed Communication Networks (MFCN) Supplemental Downlink (SDL) operating in the 1452-1492</w:t>
      </w:r>
      <w:r w:rsidRPr="00DE62EF">
        <w:rPr>
          <w:sz w:val="13"/>
          <w:szCs w:val="13"/>
        </w:rPr>
        <w:t xml:space="preserve"> </w:t>
      </w:r>
      <w:r w:rsidRPr="00DE62EF">
        <w:rPr>
          <w:rStyle w:val="Lbjegyzet-hivatkozs"/>
          <w:sz w:val="13"/>
          <w:szCs w:val="13"/>
          <w:vertAlign w:val="baseline"/>
        </w:rPr>
        <w:t xml:space="preserve">MHz band (approved January 2015) – 227. ECC jelentés: Az 1452–1492 MHz </w:t>
      </w:r>
      <w:r w:rsidR="00B475DF" w:rsidRPr="00B475DF">
        <w:rPr>
          <w:rStyle w:val="Lbjegyzet-hivatkozs"/>
          <w:sz w:val="13"/>
          <w:szCs w:val="13"/>
          <w:vertAlign w:val="baseline"/>
        </w:rPr>
        <w:t>frekvencia</w:t>
      </w:r>
      <w:r w:rsidRPr="00DE62EF">
        <w:rPr>
          <w:rStyle w:val="Lbjegyzet-hivatkozs"/>
          <w:sz w:val="13"/>
          <w:szCs w:val="13"/>
          <w:vertAlign w:val="baseline"/>
        </w:rPr>
        <w:t>sávban üzemelő mozgó/állandóhelyű hírközlő hálózatok (MFCN) kiegészítő</w:t>
      </w:r>
      <w:r w:rsidRPr="00DE62EF">
        <w:rPr>
          <w:sz w:val="13"/>
          <w:szCs w:val="13"/>
        </w:rPr>
        <w:t xml:space="preserve"> </w:t>
      </w:r>
      <w:r w:rsidRPr="00DE62EF">
        <w:rPr>
          <w:rStyle w:val="Lbjegyzet-hivatkozs"/>
          <w:sz w:val="13"/>
          <w:szCs w:val="13"/>
          <w:vertAlign w:val="baseline"/>
        </w:rPr>
        <w:t>lemenő irányú összeköttetéseire (SDL) vonatkozó kompatibilitási vizsgálatok (elfogadva 2015. január)</w:t>
      </w:r>
    </w:p>
  </w:footnote>
  <w:footnote w:id="17">
    <w:p w14:paraId="4CDC2EFE" w14:textId="56555AC2" w:rsidR="00FA419B" w:rsidRPr="00DE62EF" w:rsidRDefault="00FA419B" w:rsidP="00167CD4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sz w:val="13"/>
          <w:szCs w:val="13"/>
        </w:rPr>
        <w:t xml:space="preserve"> </w:t>
      </w:r>
      <w:r w:rsidRPr="00526853">
        <w:rPr>
          <w:sz w:val="13"/>
          <w:szCs w:val="13"/>
        </w:rPr>
        <w:t>ECC/DEC/(17</w:t>
      </w:r>
      <w:proofErr w:type="gramStart"/>
      <w:r w:rsidRPr="00526853">
        <w:rPr>
          <w:sz w:val="13"/>
          <w:szCs w:val="13"/>
        </w:rPr>
        <w:t>)06</w:t>
      </w:r>
      <w:proofErr w:type="gramEnd"/>
      <w:r w:rsidRPr="00526853">
        <w:rPr>
          <w:sz w:val="13"/>
          <w:szCs w:val="13"/>
        </w:rPr>
        <w:t xml:space="preserve">: The harmonised use of the frequency bands 1427-1452 MHz and 1492-1518 MHz for Mobile/Fixed Communications Networks Supplemental Downlink (MFCN SDL) approved </w:t>
      </w:r>
      <w:r>
        <w:rPr>
          <w:sz w:val="13"/>
          <w:szCs w:val="13"/>
        </w:rPr>
        <w:t xml:space="preserve">17 November 2017, corrected </w:t>
      </w:r>
      <w:r w:rsidRPr="00526853">
        <w:rPr>
          <w:sz w:val="13"/>
          <w:szCs w:val="13"/>
        </w:rPr>
        <w:t>2 March 2018 - Az 1427-1452 MHz és az 1492-1518 MHz frekvenciasávnak a mozgó/állandóhelyű hírközlő hálózatok kiegészítő lemenő irányú összeköttetései (MFCN SDL) céljára történő harmonizált használata (2018. március 2)</w:t>
      </w:r>
    </w:p>
  </w:footnote>
  <w:footnote w:id="18">
    <w:p w14:paraId="3603AC5D" w14:textId="3DD41495" w:rsidR="00FA419B" w:rsidRPr="00DE62EF" w:rsidRDefault="00FA419B" w:rsidP="00167CD4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sz w:val="13"/>
          <w:szCs w:val="13"/>
        </w:rPr>
        <w:t xml:space="preserve"> ECC R</w:t>
      </w:r>
      <w:r>
        <w:rPr>
          <w:sz w:val="13"/>
          <w:szCs w:val="13"/>
        </w:rPr>
        <w:t>eport 295</w:t>
      </w:r>
      <w:r w:rsidRPr="00DE62EF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Guidance on </w:t>
      </w:r>
      <w:r w:rsidRPr="00DE62EF">
        <w:rPr>
          <w:sz w:val="13"/>
          <w:szCs w:val="13"/>
        </w:rPr>
        <w:t xml:space="preserve">Cross-border coordination </w:t>
      </w:r>
      <w:r>
        <w:rPr>
          <w:sz w:val="13"/>
          <w:szCs w:val="13"/>
        </w:rPr>
        <w:t xml:space="preserve">between MFCN and </w:t>
      </w:r>
      <w:r w:rsidRPr="00AF7692">
        <w:rPr>
          <w:sz w:val="13"/>
          <w:szCs w:val="13"/>
        </w:rPr>
        <w:t xml:space="preserve">Aeronautical Telemetry Systems </w:t>
      </w:r>
      <w:r>
        <w:rPr>
          <w:sz w:val="13"/>
          <w:szCs w:val="13"/>
        </w:rPr>
        <w:t xml:space="preserve">in the </w:t>
      </w:r>
      <w:r w:rsidRPr="00DE62EF">
        <w:rPr>
          <w:sz w:val="13"/>
          <w:szCs w:val="13"/>
        </w:rPr>
        <w:t>14</w:t>
      </w:r>
      <w:r>
        <w:rPr>
          <w:sz w:val="13"/>
          <w:szCs w:val="13"/>
        </w:rPr>
        <w:t>29</w:t>
      </w:r>
      <w:r w:rsidRPr="00DE62EF">
        <w:rPr>
          <w:sz w:val="13"/>
          <w:szCs w:val="13"/>
        </w:rPr>
        <w:t>-1</w:t>
      </w:r>
      <w:r>
        <w:rPr>
          <w:sz w:val="13"/>
          <w:szCs w:val="13"/>
        </w:rPr>
        <w:t>518</w:t>
      </w:r>
      <w:r w:rsidRPr="00DE62EF">
        <w:rPr>
          <w:sz w:val="13"/>
          <w:szCs w:val="13"/>
        </w:rPr>
        <w:t xml:space="preserve"> MHz, </w:t>
      </w:r>
      <w:r>
        <w:rPr>
          <w:sz w:val="13"/>
          <w:szCs w:val="13"/>
        </w:rPr>
        <w:t xml:space="preserve">band. </w:t>
      </w:r>
      <w:r w:rsidRPr="00DE62EF">
        <w:rPr>
          <w:sz w:val="13"/>
          <w:szCs w:val="13"/>
        </w:rPr>
        <w:t xml:space="preserve">Approved </w:t>
      </w:r>
      <w:r>
        <w:rPr>
          <w:sz w:val="13"/>
          <w:szCs w:val="13"/>
        </w:rPr>
        <w:t xml:space="preserve">8 March 2019 - </w:t>
      </w:r>
      <w:r w:rsidRPr="00DE62EF">
        <w:rPr>
          <w:sz w:val="13"/>
          <w:szCs w:val="13"/>
        </w:rPr>
        <w:t>Útmutató</w:t>
      </w:r>
      <w:r>
        <w:rPr>
          <w:sz w:val="13"/>
          <w:szCs w:val="13"/>
        </w:rPr>
        <w:t xml:space="preserve"> a </w:t>
      </w:r>
      <w:r w:rsidRPr="00DE62EF">
        <w:rPr>
          <w:sz w:val="13"/>
          <w:szCs w:val="13"/>
        </w:rPr>
        <w:t xml:space="preserve">mozgó/állandóhelyű hírközlő hálózatok (MFCN) </w:t>
      </w:r>
      <w:r>
        <w:rPr>
          <w:sz w:val="13"/>
          <w:szCs w:val="13"/>
        </w:rPr>
        <w:t xml:space="preserve">és az 1429-1518 MHz </w:t>
      </w:r>
      <w:r w:rsidR="00B475DF" w:rsidRPr="00B475DF">
        <w:rPr>
          <w:sz w:val="13"/>
          <w:szCs w:val="13"/>
        </w:rPr>
        <w:t>frekvencia</w:t>
      </w:r>
      <w:r>
        <w:rPr>
          <w:sz w:val="13"/>
          <w:szCs w:val="13"/>
        </w:rPr>
        <w:t xml:space="preserve">sávban </w:t>
      </w:r>
      <w:r w:rsidRPr="00DE62EF">
        <w:rPr>
          <w:sz w:val="13"/>
          <w:szCs w:val="13"/>
        </w:rPr>
        <w:t>működő</w:t>
      </w:r>
      <w:r>
        <w:rPr>
          <w:sz w:val="13"/>
          <w:szCs w:val="13"/>
        </w:rPr>
        <w:t xml:space="preserve"> légiforgalmi távmérés határövezeti koordinációjához</w:t>
      </w:r>
      <w:r w:rsidRPr="00DE62EF">
        <w:rPr>
          <w:sz w:val="13"/>
          <w:szCs w:val="13"/>
        </w:rPr>
        <w:t xml:space="preserve"> (201</w:t>
      </w:r>
      <w:r>
        <w:rPr>
          <w:sz w:val="13"/>
          <w:szCs w:val="13"/>
        </w:rPr>
        <w:t>9</w:t>
      </w:r>
      <w:r w:rsidRPr="00DE62EF">
        <w:rPr>
          <w:sz w:val="13"/>
          <w:szCs w:val="13"/>
        </w:rPr>
        <w:t xml:space="preserve">. </w:t>
      </w:r>
      <w:r>
        <w:rPr>
          <w:sz w:val="13"/>
          <w:szCs w:val="13"/>
        </w:rPr>
        <w:t>március 8.</w:t>
      </w:r>
      <w:r w:rsidRPr="00DE62EF">
        <w:rPr>
          <w:sz w:val="13"/>
          <w:szCs w:val="13"/>
        </w:rPr>
        <w:t>)</w:t>
      </w:r>
    </w:p>
  </w:footnote>
  <w:footnote w:id="19">
    <w:p w14:paraId="45F8451A" w14:textId="77777777" w:rsidR="00FA419B" w:rsidRPr="00B85A3A" w:rsidRDefault="00FA419B" w:rsidP="00222B4B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Recommendation T/R 13-01 E (Montreux 1993, Revised Rottach-Egern, February 2010</w:t>
      </w:r>
      <w:proofErr w:type="gramStart"/>
      <w:r w:rsidRPr="00B85A3A">
        <w:rPr>
          <w:sz w:val="13"/>
          <w:szCs w:val="13"/>
        </w:rPr>
        <w:t>)PREFERRED</w:t>
      </w:r>
      <w:proofErr w:type="gramEnd"/>
      <w:r w:rsidRPr="00B85A3A">
        <w:rPr>
          <w:sz w:val="13"/>
          <w:szCs w:val="13"/>
        </w:rPr>
        <w:t xml:space="preserve"> CHANNEL ARRANGEMENTS FOR FIXED SERVICE SYSTEMS OPERATING IN THE FREQUENCY RANGE 1 - 2.3 GHz – T/R 13-01 ajánlás (Montreux, 1993, felülvizsgálva Rottach-Egern, 2010 február) – Ajánlott csatornaelrendezések az 1 - 2.3 GHz frekvenciatartományban működő állandóhelyű szolgálat rendszerei számára</w:t>
      </w:r>
    </w:p>
  </w:footnote>
  <w:footnote w:id="20">
    <w:p w14:paraId="607FBDB3" w14:textId="77777777" w:rsidR="00FA419B" w:rsidRPr="00B85A3A" w:rsidRDefault="00FA419B" w:rsidP="00222B4B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ERC Recommendation 70-03 Relating to the use of Short Range Devices (SRD) – ERC 70-03 ajánlás a kis hatótávolságú eszközökre vonatkozóan (http://www.erodocdb.dk/Docs/doc98/official/pdf/REC7003E</w:t>
      </w:r>
      <w:proofErr w:type="gramStart"/>
      <w:r w:rsidRPr="00B85A3A">
        <w:rPr>
          <w:sz w:val="13"/>
          <w:szCs w:val="13"/>
        </w:rPr>
        <w:t>.PDF</w:t>
      </w:r>
      <w:proofErr w:type="gramEnd"/>
      <w:r w:rsidRPr="00B85A3A">
        <w:rPr>
          <w:sz w:val="13"/>
          <w:szCs w:val="13"/>
        </w:rPr>
        <w:t>)</w:t>
      </w:r>
    </w:p>
  </w:footnote>
  <w:footnote w:id="21">
    <w:p w14:paraId="1F9D7244" w14:textId="77777777" w:rsidR="00FA419B" w:rsidRPr="00B85A3A" w:rsidRDefault="00FA419B" w:rsidP="004C28EF">
      <w:pPr>
        <w:pStyle w:val="Lbjegyzetszveg"/>
        <w:spacing w:line="276" w:lineRule="auto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Short Range Device (SRD) – Kis hatótávolságú eszköz</w:t>
      </w:r>
    </w:p>
  </w:footnote>
  <w:footnote w:id="22">
    <w:p w14:paraId="79A2A2BD" w14:textId="3E1AE38C" w:rsidR="00FA419B" w:rsidRDefault="00FA419B" w:rsidP="00222B4B">
      <w:pPr>
        <w:autoSpaceDE w:val="0"/>
        <w:autoSpaceDN w:val="0"/>
        <w:adjustRightInd w:val="0"/>
        <w:spacing w:after="0"/>
      </w:pPr>
      <w:r w:rsidRPr="00C5430D">
        <w:rPr>
          <w:rStyle w:val="Lbjegyzet-hivatkozs"/>
          <w:sz w:val="13"/>
          <w:szCs w:val="13"/>
          <w:vertAlign w:val="baseline"/>
        </w:rPr>
        <w:footnoteRef/>
      </w:r>
      <w:r w:rsidRPr="00C5430D">
        <w:rPr>
          <w:sz w:val="13"/>
          <w:szCs w:val="13"/>
        </w:rPr>
        <w:t xml:space="preserve"> </w:t>
      </w:r>
      <w:r w:rsidRPr="00CB2404">
        <w:rPr>
          <w:sz w:val="13"/>
          <w:szCs w:val="13"/>
        </w:rPr>
        <w:t>Mandate to CEPT to develop harmonised technical conditions in additional frequency bands in the 1.5 GHz range for their use for terrestrial wireless broadband electronic communications services in the Union</w:t>
      </w:r>
      <w:r w:rsidRPr="00C5430D">
        <w:rPr>
          <w:sz w:val="13"/>
          <w:szCs w:val="13"/>
        </w:rPr>
        <w:t xml:space="preserve"> - CEPT számára </w:t>
      </w:r>
      <w:r w:rsidR="002E5035">
        <w:rPr>
          <w:sz w:val="13"/>
          <w:szCs w:val="13"/>
        </w:rPr>
        <w:t xml:space="preserve">adott megbízás a </w:t>
      </w:r>
      <w:r w:rsidRPr="00C5430D">
        <w:rPr>
          <w:sz w:val="13"/>
          <w:szCs w:val="13"/>
        </w:rPr>
        <w:t>harmonizált műszaki feltételek kidolgozására az 1,5 GHz-es frekvenciatartomány kiegészítő sávjaira vonatkozóan földfelszíni vezetéknélküli szélessávú elektronikus hírközlési szolgáltatásokra történő használ</w:t>
      </w:r>
      <w:r w:rsidR="00A013D6">
        <w:rPr>
          <w:sz w:val="13"/>
          <w:szCs w:val="13"/>
        </w:rPr>
        <w:t>at</w:t>
      </w:r>
      <w:r w:rsidRPr="00C5430D">
        <w:rPr>
          <w:sz w:val="13"/>
          <w:szCs w:val="13"/>
        </w:rPr>
        <w:t xml:space="preserve"> céljából az Unióban </w:t>
      </w:r>
    </w:p>
  </w:footnote>
  <w:footnote w:id="23">
    <w:p w14:paraId="677D23DA" w14:textId="77777777" w:rsidR="00FA419B" w:rsidRPr="003341D7" w:rsidRDefault="00FA419B" w:rsidP="003B669A">
      <w:pPr>
        <w:pStyle w:val="Lbjegyzetszveg"/>
        <w:rPr>
          <w:sz w:val="13"/>
          <w:szCs w:val="13"/>
        </w:rPr>
      </w:pPr>
      <w:r>
        <w:rPr>
          <w:rStyle w:val="Lbjegyzet-hivatkozs"/>
        </w:rPr>
        <w:footnoteRef/>
      </w:r>
      <w:r>
        <w:t xml:space="preserve"> </w:t>
      </w:r>
      <w:r w:rsidRPr="003341D7">
        <w:rPr>
          <w:sz w:val="13"/>
          <w:szCs w:val="13"/>
        </w:rPr>
        <w:t xml:space="preserve">5G NR – 5. generációs új rádió – </w:t>
      </w:r>
      <w:r w:rsidRPr="00BA7413">
        <w:rPr>
          <w:sz w:val="13"/>
          <w:szCs w:val="13"/>
          <w:lang w:val="en-GB"/>
        </w:rPr>
        <w:t>Fifth Generation New Radio</w:t>
      </w:r>
      <w:r w:rsidRPr="003341D7">
        <w:rPr>
          <w:sz w:val="13"/>
          <w:szCs w:val="13"/>
        </w:rPr>
        <w:t xml:space="preserve"> </w:t>
      </w:r>
    </w:p>
  </w:footnote>
  <w:footnote w:id="24">
    <w:p w14:paraId="6F4A15C8" w14:textId="77777777" w:rsidR="00FA419B" w:rsidRPr="00CB2404" w:rsidRDefault="00FA419B" w:rsidP="00222B4B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</w:t>
      </w:r>
      <w:proofErr w:type="gramStart"/>
      <w:r w:rsidRPr="00B85A3A">
        <w:rPr>
          <w:sz w:val="13"/>
          <w:szCs w:val="13"/>
        </w:rPr>
        <w:t xml:space="preserve">A Bizottság (EU) 2015/750 végrehajtási határozata (2015. május 8.) az 1 452–1 492 MHz frekvenciasávnak az Unión belül elektronikus hírközlési szolgáltatások nyújtására alkalmas földfelszíni rendszerek érdekében történő harmonizálásáról </w:t>
      </w:r>
      <w:r w:rsidRPr="00CB2404">
        <w:rPr>
          <w:sz w:val="13"/>
          <w:szCs w:val="13"/>
        </w:rPr>
        <w:t>- COMMISSION IMPLEMENTING DECISION 2015/750/EU of 8 May 2015 on the harmonisation of the 1452-1492 MHz frequency band for terrestrial systems capable of providing electronic communications services in the Union (notified under document C(2015) 3061)</w:t>
      </w:r>
      <w:proofErr w:type="gramEnd"/>
    </w:p>
  </w:footnote>
  <w:footnote w:id="25">
    <w:p w14:paraId="083293DE" w14:textId="77777777" w:rsidR="00FA419B" w:rsidRPr="00CB2404" w:rsidRDefault="00FA419B" w:rsidP="00222B4B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B85A3A">
        <w:rPr>
          <w:rStyle w:val="Lbjegyzet-hivatkozs"/>
          <w:sz w:val="13"/>
          <w:szCs w:val="13"/>
          <w:vertAlign w:val="baseline"/>
        </w:rPr>
        <w:footnoteRef/>
      </w:r>
      <w:r w:rsidRPr="00B85A3A">
        <w:rPr>
          <w:sz w:val="13"/>
          <w:szCs w:val="13"/>
        </w:rPr>
        <w:t xml:space="preserve"> A Bizottság (EU) 201</w:t>
      </w:r>
      <w:r>
        <w:rPr>
          <w:sz w:val="13"/>
          <w:szCs w:val="13"/>
        </w:rPr>
        <w:t>8</w:t>
      </w:r>
      <w:r w:rsidRPr="00B85A3A">
        <w:rPr>
          <w:sz w:val="13"/>
          <w:szCs w:val="13"/>
        </w:rPr>
        <w:t>/</w:t>
      </w:r>
      <w:r>
        <w:rPr>
          <w:sz w:val="13"/>
          <w:szCs w:val="13"/>
        </w:rPr>
        <w:t>661</w:t>
      </w:r>
      <w:r w:rsidRPr="00B85A3A">
        <w:rPr>
          <w:sz w:val="13"/>
          <w:szCs w:val="13"/>
        </w:rPr>
        <w:t xml:space="preserve"> </w:t>
      </w:r>
      <w:r w:rsidRPr="00B26052">
        <w:rPr>
          <w:sz w:val="13"/>
          <w:szCs w:val="13"/>
        </w:rPr>
        <w:t>bizottsági végrehajtási határozata (2018. április 26.) az 1452–1492 MHz frekvenciasávnak az Unión belül elektronikus hírközlési szolgáltatások nyújtására alkalmas földfelszíni rendszerek érdekében történő harmonizálásáról szóló (EU) 2015/750 végrehajtási határozatnak a harmonizált 1427–1452 MHz és 1492–1517 MHz frekvenciasávra történő kiterjesztéséről.</w:t>
      </w:r>
      <w:r>
        <w:rPr>
          <w:sz w:val="13"/>
          <w:szCs w:val="13"/>
        </w:rPr>
        <w:t xml:space="preserve"> - </w:t>
      </w:r>
      <w:r w:rsidRPr="00CB2404">
        <w:rPr>
          <w:sz w:val="13"/>
          <w:szCs w:val="13"/>
        </w:rPr>
        <w:t>Commission Implementing Decision (EU) 2018/661 of 26 April 2018 amending Implementing Decision (EU) 2015/750 on the harmonisation of the 1 452-1 492 MHz frequency band for terrestrial systems capable of providing electronic communications services in the Union as regards its extension in the harmonised 1 427-1 452 MHz and 1 492-1 517 MHz frequency bands</w:t>
      </w:r>
    </w:p>
  </w:footnote>
  <w:footnote w:id="26">
    <w:p w14:paraId="23006D20" w14:textId="7774BAF7" w:rsidR="00FA419B" w:rsidRDefault="00FA41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2B4B">
        <w:rPr>
          <w:sz w:val="13"/>
          <w:szCs w:val="13"/>
        </w:rPr>
        <w:t>Jelenleg uniós műszaki notifikáción lévő rendelettervezet alapján</w:t>
      </w:r>
      <w:r>
        <w:rPr>
          <w:sz w:val="13"/>
          <w:szCs w:val="13"/>
        </w:rPr>
        <w:t>.</w:t>
      </w:r>
    </w:p>
  </w:footnote>
  <w:footnote w:id="27">
    <w:p w14:paraId="424C8F3A" w14:textId="090F7B67" w:rsidR="00FA419B" w:rsidRPr="00DE62EF" w:rsidRDefault="00FA419B" w:rsidP="00BA7413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sz w:val="13"/>
          <w:szCs w:val="13"/>
        </w:rPr>
        <w:t xml:space="preserve"> </w:t>
      </w:r>
      <w:proofErr w:type="gramStart"/>
      <w:r w:rsidRPr="00DE62EF">
        <w:rPr>
          <w:sz w:val="13"/>
          <w:szCs w:val="13"/>
        </w:rPr>
        <w:t>ECC Recommendation (15)01 Cross-border coordination for mobile / fixed communications networks (MFCN) in the frequency bands:694-790 MHz, 1452-1492 MHz, 3400-3600 MHz and 3600-3800 MHz Approved 13 February 2015</w:t>
      </w:r>
      <w:r>
        <w:rPr>
          <w:sz w:val="13"/>
          <w:szCs w:val="13"/>
        </w:rPr>
        <w:t xml:space="preserve"> (amendment 14 February 2020)</w:t>
      </w:r>
      <w:r w:rsidRPr="00DE62EF">
        <w:rPr>
          <w:sz w:val="13"/>
          <w:szCs w:val="13"/>
        </w:rPr>
        <w:t xml:space="preserve"> – A 694-790 MHz, 1452–1492 MHz, 3400–3600 MHz és a 3600–3800 MHz frekvenciasávban működő mozgó/állandóhelyű hírközlő hálózatok (MFCN) határövezeti koordinációja (2015. február 13</w:t>
      </w:r>
      <w:r>
        <w:rPr>
          <w:sz w:val="13"/>
          <w:szCs w:val="13"/>
        </w:rPr>
        <w:t>, módosítva 2020. február 14.</w:t>
      </w:r>
      <w:r w:rsidRPr="00DE62EF">
        <w:rPr>
          <w:sz w:val="13"/>
          <w:szCs w:val="13"/>
        </w:rPr>
        <w:t>)</w:t>
      </w:r>
      <w:proofErr w:type="gramEnd"/>
    </w:p>
  </w:footnote>
  <w:footnote w:id="28">
    <w:p w14:paraId="0E1F7692" w14:textId="367565EF" w:rsidR="00FA419B" w:rsidRPr="00DE62EF" w:rsidRDefault="00FA419B" w:rsidP="00BA7413">
      <w:pPr>
        <w:autoSpaceDE w:val="0"/>
        <w:autoSpaceDN w:val="0"/>
        <w:adjustRightInd w:val="0"/>
        <w:spacing w:after="0"/>
        <w:rPr>
          <w:sz w:val="13"/>
          <w:szCs w:val="13"/>
        </w:rPr>
      </w:pPr>
      <w:r w:rsidRPr="00DE62EF">
        <w:rPr>
          <w:rStyle w:val="Lbjegyzet-hivatkozs"/>
          <w:sz w:val="13"/>
          <w:szCs w:val="13"/>
          <w:vertAlign w:val="baseline"/>
        </w:rPr>
        <w:footnoteRef/>
      </w:r>
      <w:r w:rsidRPr="00DE62EF">
        <w:rPr>
          <w:sz w:val="13"/>
          <w:szCs w:val="13"/>
        </w:rPr>
        <w:t xml:space="preserve"> ECC R</w:t>
      </w:r>
      <w:r>
        <w:rPr>
          <w:sz w:val="13"/>
          <w:szCs w:val="13"/>
        </w:rPr>
        <w:t>eport 295</w:t>
      </w:r>
      <w:r w:rsidRPr="00DE62EF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Guidance on </w:t>
      </w:r>
      <w:r w:rsidRPr="00DE62EF">
        <w:rPr>
          <w:sz w:val="13"/>
          <w:szCs w:val="13"/>
        </w:rPr>
        <w:t xml:space="preserve">Cross-border coordination </w:t>
      </w:r>
      <w:r>
        <w:rPr>
          <w:sz w:val="13"/>
          <w:szCs w:val="13"/>
        </w:rPr>
        <w:t xml:space="preserve">between MFCN and </w:t>
      </w:r>
      <w:r w:rsidRPr="00AF7692">
        <w:rPr>
          <w:sz w:val="13"/>
          <w:szCs w:val="13"/>
        </w:rPr>
        <w:t xml:space="preserve">Aeronautical Telemetry Systems </w:t>
      </w:r>
      <w:r>
        <w:rPr>
          <w:sz w:val="13"/>
          <w:szCs w:val="13"/>
        </w:rPr>
        <w:t xml:space="preserve">in the </w:t>
      </w:r>
      <w:r w:rsidRPr="00DE62EF">
        <w:rPr>
          <w:sz w:val="13"/>
          <w:szCs w:val="13"/>
        </w:rPr>
        <w:t>14</w:t>
      </w:r>
      <w:r>
        <w:rPr>
          <w:sz w:val="13"/>
          <w:szCs w:val="13"/>
        </w:rPr>
        <w:t>29</w:t>
      </w:r>
      <w:r w:rsidRPr="00DE62EF">
        <w:rPr>
          <w:sz w:val="13"/>
          <w:szCs w:val="13"/>
        </w:rPr>
        <w:t>-1</w:t>
      </w:r>
      <w:r>
        <w:rPr>
          <w:sz w:val="13"/>
          <w:szCs w:val="13"/>
        </w:rPr>
        <w:t>518</w:t>
      </w:r>
      <w:r w:rsidRPr="00DE62EF">
        <w:rPr>
          <w:sz w:val="13"/>
          <w:szCs w:val="13"/>
        </w:rPr>
        <w:t xml:space="preserve"> MHz, </w:t>
      </w:r>
      <w:r>
        <w:rPr>
          <w:sz w:val="13"/>
          <w:szCs w:val="13"/>
        </w:rPr>
        <w:t xml:space="preserve">band. </w:t>
      </w:r>
      <w:r w:rsidRPr="00DE62EF">
        <w:rPr>
          <w:sz w:val="13"/>
          <w:szCs w:val="13"/>
        </w:rPr>
        <w:t xml:space="preserve">Approved </w:t>
      </w:r>
      <w:r>
        <w:rPr>
          <w:sz w:val="13"/>
          <w:szCs w:val="13"/>
        </w:rPr>
        <w:t xml:space="preserve">8 March 2019 - Útmutató a </w:t>
      </w:r>
      <w:r w:rsidRPr="00DE62EF">
        <w:rPr>
          <w:sz w:val="13"/>
          <w:szCs w:val="13"/>
        </w:rPr>
        <w:t xml:space="preserve">mozgó/állandóhelyű hírközlő hálózatok (MFCN) </w:t>
      </w:r>
      <w:r>
        <w:rPr>
          <w:sz w:val="13"/>
          <w:szCs w:val="13"/>
        </w:rPr>
        <w:t xml:space="preserve">és az 1429-1518 MHz </w:t>
      </w:r>
      <w:r w:rsidR="00866AB3" w:rsidRPr="00866AB3">
        <w:rPr>
          <w:sz w:val="13"/>
          <w:szCs w:val="13"/>
        </w:rPr>
        <w:t>frekvencia</w:t>
      </w:r>
      <w:r>
        <w:rPr>
          <w:sz w:val="13"/>
          <w:szCs w:val="13"/>
        </w:rPr>
        <w:t xml:space="preserve">sávban </w:t>
      </w:r>
      <w:r w:rsidRPr="00DE62EF">
        <w:rPr>
          <w:sz w:val="13"/>
          <w:szCs w:val="13"/>
        </w:rPr>
        <w:t>működő</w:t>
      </w:r>
      <w:r>
        <w:rPr>
          <w:sz w:val="13"/>
          <w:szCs w:val="13"/>
        </w:rPr>
        <w:t xml:space="preserve"> légiforgalmi távmérés határövezeti koordinációjához</w:t>
      </w:r>
      <w:r w:rsidRPr="00DE62EF">
        <w:rPr>
          <w:sz w:val="13"/>
          <w:szCs w:val="13"/>
        </w:rPr>
        <w:t xml:space="preserve"> (201</w:t>
      </w:r>
      <w:r>
        <w:rPr>
          <w:sz w:val="13"/>
          <w:szCs w:val="13"/>
        </w:rPr>
        <w:t>9</w:t>
      </w:r>
      <w:r w:rsidRPr="00DE62EF">
        <w:rPr>
          <w:sz w:val="13"/>
          <w:szCs w:val="13"/>
        </w:rPr>
        <w:t xml:space="preserve">. </w:t>
      </w:r>
      <w:r>
        <w:rPr>
          <w:sz w:val="13"/>
          <w:szCs w:val="13"/>
        </w:rPr>
        <w:t>március 8.</w:t>
      </w:r>
      <w:r w:rsidRPr="00DE62EF">
        <w:rPr>
          <w:sz w:val="13"/>
          <w:szCs w:val="13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D6FE" w14:textId="4F2F2480" w:rsidR="00681FE6" w:rsidRDefault="00681FE6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17C5AD74" wp14:editId="20232185">
          <wp:simplePos x="0" y="0"/>
          <wp:positionH relativeFrom="column">
            <wp:posOffset>-895658</wp:posOffset>
          </wp:positionH>
          <wp:positionV relativeFrom="paragraph">
            <wp:posOffset>-895658</wp:posOffset>
          </wp:positionV>
          <wp:extent cx="7559675" cy="3352800"/>
          <wp:effectExtent l="0" t="0" r="3175" b="0"/>
          <wp:wrapTight wrapText="bothSides">
            <wp:wrapPolygon edited="0">
              <wp:start x="0" y="0"/>
              <wp:lineTo x="0" y="21477"/>
              <wp:lineTo x="21555" y="21477"/>
              <wp:lineTo x="21555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534"/>
    <w:multiLevelType w:val="hybridMultilevel"/>
    <w:tmpl w:val="272E6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EF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064FBD"/>
    <w:multiLevelType w:val="hybridMultilevel"/>
    <w:tmpl w:val="3146AE02"/>
    <w:lvl w:ilvl="0" w:tplc="30F0B694">
      <w:start w:val="1"/>
      <w:numFmt w:val="upperLetter"/>
      <w:pStyle w:val="Felsorols1nmhh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3C1C"/>
    <w:multiLevelType w:val="multilevel"/>
    <w:tmpl w:val="BA6C48F0"/>
    <w:lvl w:ilvl="0">
      <w:start w:val="1"/>
      <w:numFmt w:val="ordinal"/>
      <w:pStyle w:val="Cmsor1szmozottnmhh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Cmsor2szmozottnmhh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pStyle w:val="Cmsor3szmozottnmhh"/>
      <w:lvlText w:val="%1%2%3"/>
      <w:lvlJc w:val="left"/>
      <w:pPr>
        <w:ind w:left="6249" w:hanging="720"/>
      </w:pPr>
      <w:rPr>
        <w:rFonts w:hint="default"/>
      </w:rPr>
    </w:lvl>
    <w:lvl w:ilvl="3">
      <w:start w:val="1"/>
      <w:numFmt w:val="ordinal"/>
      <w:pStyle w:val="Cmsor4szmozottnmhh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ordinal"/>
      <w:lvlText w:val="%1%2%3%4%5"/>
      <w:lvlJc w:val="left"/>
      <w:pPr>
        <w:ind w:left="1008" w:hanging="1008"/>
      </w:pPr>
      <w:rPr>
        <w:rFonts w:hint="default"/>
      </w:rPr>
    </w:lvl>
    <w:lvl w:ilvl="5">
      <w:start w:val="1"/>
      <w:numFmt w:val="ordinal"/>
      <w:lvlText w:val="%1%2%3%4%5%6"/>
      <w:lvlJc w:val="left"/>
      <w:pPr>
        <w:ind w:left="1152" w:hanging="1152"/>
      </w:pPr>
      <w:rPr>
        <w:rFonts w:hint="default"/>
      </w:rPr>
    </w:lvl>
    <w:lvl w:ilvl="6">
      <w:start w:val="1"/>
      <w:numFmt w:val="ordinal"/>
      <w:lvlText w:val="%1%2%3%4%5%6%7"/>
      <w:lvlJc w:val="left"/>
      <w:pPr>
        <w:ind w:left="1296" w:hanging="1296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ind w:left="1440" w:hanging="1440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25113BE"/>
    <w:multiLevelType w:val="hybridMultilevel"/>
    <w:tmpl w:val="38DA4FC2"/>
    <w:lvl w:ilvl="0" w:tplc="2E90CB8A">
      <w:start w:val="1"/>
      <w:numFmt w:val="bullet"/>
      <w:pStyle w:val="Lista1nmh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38C"/>
    <w:multiLevelType w:val="multilevel"/>
    <w:tmpl w:val="602E1908"/>
    <w:lvl w:ilvl="0">
      <w:start w:val="1"/>
      <w:numFmt w:val="decimal"/>
      <w:pStyle w:val="Felsorols2nmhh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6733BA"/>
    <w:multiLevelType w:val="hybridMultilevel"/>
    <w:tmpl w:val="1DEC5400"/>
    <w:lvl w:ilvl="0" w:tplc="FBFEE8A4">
      <w:start w:val="1"/>
      <w:numFmt w:val="bullet"/>
      <w:pStyle w:val="Lista2nmh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4F13"/>
    <w:multiLevelType w:val="hybridMultilevel"/>
    <w:tmpl w:val="6E2E6748"/>
    <w:lvl w:ilvl="0" w:tplc="8C6C752A">
      <w:start w:val="1"/>
      <w:numFmt w:val="decimal"/>
      <w:pStyle w:val="Felsorolsnmhh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39EA"/>
    <w:multiLevelType w:val="hybridMultilevel"/>
    <w:tmpl w:val="B68EF70C"/>
    <w:lvl w:ilvl="0" w:tplc="040E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707E568A"/>
    <w:multiLevelType w:val="hybridMultilevel"/>
    <w:tmpl w:val="383807F4"/>
    <w:lvl w:ilvl="0" w:tplc="32AA15B6">
      <w:start w:val="1"/>
      <w:numFmt w:val="decimal"/>
      <w:pStyle w:val="Irodalomjegyzkfelsorolsnmhh"/>
      <w:lvlText w:val="[%1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0"/>
    <w:rsid w:val="00003C8E"/>
    <w:rsid w:val="00011367"/>
    <w:rsid w:val="00014E90"/>
    <w:rsid w:val="0001565B"/>
    <w:rsid w:val="00023D40"/>
    <w:rsid w:val="0002430C"/>
    <w:rsid w:val="0002694A"/>
    <w:rsid w:val="00040091"/>
    <w:rsid w:val="00052FFA"/>
    <w:rsid w:val="00065460"/>
    <w:rsid w:val="00087A8F"/>
    <w:rsid w:val="000960D8"/>
    <w:rsid w:val="000A1EE4"/>
    <w:rsid w:val="000B4AEC"/>
    <w:rsid w:val="000C042F"/>
    <w:rsid w:val="000E0271"/>
    <w:rsid w:val="000E066F"/>
    <w:rsid w:val="000E4347"/>
    <w:rsid w:val="000E6E57"/>
    <w:rsid w:val="00103E81"/>
    <w:rsid w:val="00106BAF"/>
    <w:rsid w:val="00113B44"/>
    <w:rsid w:val="00125279"/>
    <w:rsid w:val="00132A14"/>
    <w:rsid w:val="00141929"/>
    <w:rsid w:val="00151938"/>
    <w:rsid w:val="00157317"/>
    <w:rsid w:val="00167CD4"/>
    <w:rsid w:val="0018360B"/>
    <w:rsid w:val="00184A51"/>
    <w:rsid w:val="0018529E"/>
    <w:rsid w:val="001916AE"/>
    <w:rsid w:val="00192F3C"/>
    <w:rsid w:val="00195170"/>
    <w:rsid w:val="00197F12"/>
    <w:rsid w:val="001A1647"/>
    <w:rsid w:val="001A2295"/>
    <w:rsid w:val="001A4BCC"/>
    <w:rsid w:val="001B2C68"/>
    <w:rsid w:val="001C7538"/>
    <w:rsid w:val="001D11E6"/>
    <w:rsid w:val="001E50C0"/>
    <w:rsid w:val="001F2707"/>
    <w:rsid w:val="00206C59"/>
    <w:rsid w:val="00222B4B"/>
    <w:rsid w:val="002231B1"/>
    <w:rsid w:val="002258CF"/>
    <w:rsid w:val="002327E1"/>
    <w:rsid w:val="00247E15"/>
    <w:rsid w:val="002556BD"/>
    <w:rsid w:val="00263505"/>
    <w:rsid w:val="002640D6"/>
    <w:rsid w:val="00283552"/>
    <w:rsid w:val="00294DBC"/>
    <w:rsid w:val="002B2A3F"/>
    <w:rsid w:val="002B4F21"/>
    <w:rsid w:val="002B5A48"/>
    <w:rsid w:val="002C3924"/>
    <w:rsid w:val="002D1F7F"/>
    <w:rsid w:val="002E3D98"/>
    <w:rsid w:val="002E5035"/>
    <w:rsid w:val="002F0BA9"/>
    <w:rsid w:val="002F0E9E"/>
    <w:rsid w:val="00303A1C"/>
    <w:rsid w:val="00322167"/>
    <w:rsid w:val="003306E2"/>
    <w:rsid w:val="00330E55"/>
    <w:rsid w:val="0036433F"/>
    <w:rsid w:val="00385D95"/>
    <w:rsid w:val="003977BC"/>
    <w:rsid w:val="003A0206"/>
    <w:rsid w:val="003A4614"/>
    <w:rsid w:val="003B0A1F"/>
    <w:rsid w:val="003B19AD"/>
    <w:rsid w:val="003B669A"/>
    <w:rsid w:val="003B7765"/>
    <w:rsid w:val="003C466A"/>
    <w:rsid w:val="003C6474"/>
    <w:rsid w:val="003C6EDF"/>
    <w:rsid w:val="003C71A9"/>
    <w:rsid w:val="003D4E11"/>
    <w:rsid w:val="003D7B93"/>
    <w:rsid w:val="003F4ACF"/>
    <w:rsid w:val="00405E03"/>
    <w:rsid w:val="00410AC8"/>
    <w:rsid w:val="0041359C"/>
    <w:rsid w:val="00423699"/>
    <w:rsid w:val="00427468"/>
    <w:rsid w:val="00427EE8"/>
    <w:rsid w:val="0043051F"/>
    <w:rsid w:val="004331B6"/>
    <w:rsid w:val="00433912"/>
    <w:rsid w:val="00435439"/>
    <w:rsid w:val="0045131F"/>
    <w:rsid w:val="00463147"/>
    <w:rsid w:val="004845A0"/>
    <w:rsid w:val="00494512"/>
    <w:rsid w:val="00496C35"/>
    <w:rsid w:val="004A311D"/>
    <w:rsid w:val="004C28EF"/>
    <w:rsid w:val="004C6294"/>
    <w:rsid w:val="004D7EC2"/>
    <w:rsid w:val="004E0D60"/>
    <w:rsid w:val="004E102D"/>
    <w:rsid w:val="004E7E24"/>
    <w:rsid w:val="004F2772"/>
    <w:rsid w:val="004F2D3C"/>
    <w:rsid w:val="0050083E"/>
    <w:rsid w:val="00516647"/>
    <w:rsid w:val="00526853"/>
    <w:rsid w:val="0053019E"/>
    <w:rsid w:val="0055107B"/>
    <w:rsid w:val="00552D10"/>
    <w:rsid w:val="00554CAF"/>
    <w:rsid w:val="00581A80"/>
    <w:rsid w:val="005A60B1"/>
    <w:rsid w:val="005D1D26"/>
    <w:rsid w:val="005E4B9F"/>
    <w:rsid w:val="005E62D3"/>
    <w:rsid w:val="005F001D"/>
    <w:rsid w:val="005F6697"/>
    <w:rsid w:val="0060736F"/>
    <w:rsid w:val="00613F32"/>
    <w:rsid w:val="0061536E"/>
    <w:rsid w:val="00643A2A"/>
    <w:rsid w:val="00650F28"/>
    <w:rsid w:val="00657919"/>
    <w:rsid w:val="00657AD5"/>
    <w:rsid w:val="00671930"/>
    <w:rsid w:val="00675894"/>
    <w:rsid w:val="006779B9"/>
    <w:rsid w:val="00680324"/>
    <w:rsid w:val="00681FE6"/>
    <w:rsid w:val="006A01EF"/>
    <w:rsid w:val="006C62E0"/>
    <w:rsid w:val="006D108C"/>
    <w:rsid w:val="006D2E58"/>
    <w:rsid w:val="006D4981"/>
    <w:rsid w:val="006D5A61"/>
    <w:rsid w:val="006F2BF5"/>
    <w:rsid w:val="006F446C"/>
    <w:rsid w:val="00720CD3"/>
    <w:rsid w:val="00724AEF"/>
    <w:rsid w:val="00734F92"/>
    <w:rsid w:val="00743678"/>
    <w:rsid w:val="0074463B"/>
    <w:rsid w:val="007459D9"/>
    <w:rsid w:val="007470C7"/>
    <w:rsid w:val="00752166"/>
    <w:rsid w:val="00775834"/>
    <w:rsid w:val="00775ABD"/>
    <w:rsid w:val="00786ED9"/>
    <w:rsid w:val="00797D55"/>
    <w:rsid w:val="007A2EB9"/>
    <w:rsid w:val="007B514E"/>
    <w:rsid w:val="007B6AEC"/>
    <w:rsid w:val="007C1712"/>
    <w:rsid w:val="007C61F0"/>
    <w:rsid w:val="007D7C2E"/>
    <w:rsid w:val="007D7F1C"/>
    <w:rsid w:val="007E0F3C"/>
    <w:rsid w:val="007F4DEA"/>
    <w:rsid w:val="00810A25"/>
    <w:rsid w:val="0081251D"/>
    <w:rsid w:val="00815983"/>
    <w:rsid w:val="00826340"/>
    <w:rsid w:val="00832828"/>
    <w:rsid w:val="00835F6B"/>
    <w:rsid w:val="0084093E"/>
    <w:rsid w:val="0084221F"/>
    <w:rsid w:val="00853E74"/>
    <w:rsid w:val="00866AB3"/>
    <w:rsid w:val="008809CB"/>
    <w:rsid w:val="008A0BF6"/>
    <w:rsid w:val="008A332C"/>
    <w:rsid w:val="008B7228"/>
    <w:rsid w:val="008B7B27"/>
    <w:rsid w:val="008C365B"/>
    <w:rsid w:val="008F76A5"/>
    <w:rsid w:val="00900279"/>
    <w:rsid w:val="0090550A"/>
    <w:rsid w:val="00916B10"/>
    <w:rsid w:val="00921695"/>
    <w:rsid w:val="009221CF"/>
    <w:rsid w:val="009500D6"/>
    <w:rsid w:val="00952809"/>
    <w:rsid w:val="009576D0"/>
    <w:rsid w:val="00975998"/>
    <w:rsid w:val="00987C97"/>
    <w:rsid w:val="00991B94"/>
    <w:rsid w:val="00994AF6"/>
    <w:rsid w:val="00995045"/>
    <w:rsid w:val="00996F5C"/>
    <w:rsid w:val="009A4724"/>
    <w:rsid w:val="009A6A65"/>
    <w:rsid w:val="009B7567"/>
    <w:rsid w:val="009D0B21"/>
    <w:rsid w:val="009D1E44"/>
    <w:rsid w:val="009D4481"/>
    <w:rsid w:val="009F63F3"/>
    <w:rsid w:val="009F7F60"/>
    <w:rsid w:val="00A013D6"/>
    <w:rsid w:val="00A122F0"/>
    <w:rsid w:val="00A1694A"/>
    <w:rsid w:val="00A22191"/>
    <w:rsid w:val="00A27457"/>
    <w:rsid w:val="00A365F9"/>
    <w:rsid w:val="00A50D1D"/>
    <w:rsid w:val="00A56D74"/>
    <w:rsid w:val="00A60186"/>
    <w:rsid w:val="00A61DBA"/>
    <w:rsid w:val="00A6788F"/>
    <w:rsid w:val="00A74BFE"/>
    <w:rsid w:val="00A77FB2"/>
    <w:rsid w:val="00A81A4D"/>
    <w:rsid w:val="00A96587"/>
    <w:rsid w:val="00AA62BB"/>
    <w:rsid w:val="00AB4385"/>
    <w:rsid w:val="00AB5B5C"/>
    <w:rsid w:val="00AD08FA"/>
    <w:rsid w:val="00AF2CEB"/>
    <w:rsid w:val="00AF7692"/>
    <w:rsid w:val="00B003B7"/>
    <w:rsid w:val="00B0352B"/>
    <w:rsid w:val="00B05643"/>
    <w:rsid w:val="00B061E3"/>
    <w:rsid w:val="00B25089"/>
    <w:rsid w:val="00B26052"/>
    <w:rsid w:val="00B33797"/>
    <w:rsid w:val="00B475DF"/>
    <w:rsid w:val="00B52E57"/>
    <w:rsid w:val="00B53ABA"/>
    <w:rsid w:val="00B55E1C"/>
    <w:rsid w:val="00B65EC4"/>
    <w:rsid w:val="00B66219"/>
    <w:rsid w:val="00B66576"/>
    <w:rsid w:val="00B70BDD"/>
    <w:rsid w:val="00B81DBB"/>
    <w:rsid w:val="00B84F7E"/>
    <w:rsid w:val="00B85A3A"/>
    <w:rsid w:val="00BA5ACA"/>
    <w:rsid w:val="00BA7413"/>
    <w:rsid w:val="00BB417B"/>
    <w:rsid w:val="00BC2C5B"/>
    <w:rsid w:val="00BE3D51"/>
    <w:rsid w:val="00BF62E2"/>
    <w:rsid w:val="00C0083F"/>
    <w:rsid w:val="00C02CB9"/>
    <w:rsid w:val="00C0710D"/>
    <w:rsid w:val="00C132E7"/>
    <w:rsid w:val="00C4139F"/>
    <w:rsid w:val="00C5430D"/>
    <w:rsid w:val="00C57915"/>
    <w:rsid w:val="00C80A73"/>
    <w:rsid w:val="00C910C6"/>
    <w:rsid w:val="00C91A12"/>
    <w:rsid w:val="00CA3CD6"/>
    <w:rsid w:val="00CA77FD"/>
    <w:rsid w:val="00CB2404"/>
    <w:rsid w:val="00CB2F81"/>
    <w:rsid w:val="00CB44B1"/>
    <w:rsid w:val="00CC122E"/>
    <w:rsid w:val="00CC39FE"/>
    <w:rsid w:val="00CC3F46"/>
    <w:rsid w:val="00CC418B"/>
    <w:rsid w:val="00CC7149"/>
    <w:rsid w:val="00CD44C9"/>
    <w:rsid w:val="00CF3A45"/>
    <w:rsid w:val="00D24673"/>
    <w:rsid w:val="00D24EFD"/>
    <w:rsid w:val="00D3524E"/>
    <w:rsid w:val="00D36BFF"/>
    <w:rsid w:val="00D642B9"/>
    <w:rsid w:val="00D7313E"/>
    <w:rsid w:val="00D75B84"/>
    <w:rsid w:val="00D83799"/>
    <w:rsid w:val="00DA31F6"/>
    <w:rsid w:val="00DB678B"/>
    <w:rsid w:val="00DD306C"/>
    <w:rsid w:val="00DD7790"/>
    <w:rsid w:val="00DE62EF"/>
    <w:rsid w:val="00DF14FF"/>
    <w:rsid w:val="00E00275"/>
    <w:rsid w:val="00E10844"/>
    <w:rsid w:val="00E1332E"/>
    <w:rsid w:val="00E1672D"/>
    <w:rsid w:val="00E44E47"/>
    <w:rsid w:val="00E46E8B"/>
    <w:rsid w:val="00E5507A"/>
    <w:rsid w:val="00E64C22"/>
    <w:rsid w:val="00E726F4"/>
    <w:rsid w:val="00E74783"/>
    <w:rsid w:val="00E83774"/>
    <w:rsid w:val="00E8789E"/>
    <w:rsid w:val="00E92E3F"/>
    <w:rsid w:val="00EA3719"/>
    <w:rsid w:val="00EC4B6A"/>
    <w:rsid w:val="00ED1D0D"/>
    <w:rsid w:val="00ED555D"/>
    <w:rsid w:val="00EE600F"/>
    <w:rsid w:val="00EF0B3A"/>
    <w:rsid w:val="00EF1C96"/>
    <w:rsid w:val="00EF3118"/>
    <w:rsid w:val="00F25C2C"/>
    <w:rsid w:val="00F46B02"/>
    <w:rsid w:val="00F552CA"/>
    <w:rsid w:val="00F55E41"/>
    <w:rsid w:val="00F60A55"/>
    <w:rsid w:val="00F61F82"/>
    <w:rsid w:val="00F77A91"/>
    <w:rsid w:val="00F8365D"/>
    <w:rsid w:val="00F9566E"/>
    <w:rsid w:val="00FA419B"/>
    <w:rsid w:val="00FB7FD3"/>
    <w:rsid w:val="00FD3463"/>
    <w:rsid w:val="00FD360A"/>
    <w:rsid w:val="00FD7160"/>
    <w:rsid w:val="00FE2C3A"/>
    <w:rsid w:val="00FF42CE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E8A4"/>
  <w15:docId w15:val="{73DACBD9-7815-47DE-876E-6561876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Bekezdés"/>
    <w:rsid w:val="00AD08FA"/>
    <w:pPr>
      <w:spacing w:after="120"/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AD08FA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2" w:themeShade="BF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AD08FA"/>
    <w:pPr>
      <w:keepNext/>
      <w:keepLines/>
      <w:numPr>
        <w:ilvl w:val="1"/>
        <w:numId w:val="1"/>
      </w:numPr>
      <w:spacing w:after="240"/>
      <w:outlineLvl w:val="1"/>
    </w:pPr>
    <w:rPr>
      <w:rFonts w:asciiTheme="majorHAnsi" w:eastAsiaTheme="majorEastAsia" w:hAnsiTheme="majorHAnsi" w:cstheme="majorBidi"/>
      <w:b/>
      <w:bCs/>
      <w:color w:val="666666" w:themeColor="text2" w:themeTint="99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D08FA"/>
    <w:pPr>
      <w:keepNext/>
      <w:keepLines/>
      <w:numPr>
        <w:ilvl w:val="2"/>
        <w:numId w:val="1"/>
      </w:numPr>
      <w:spacing w:after="240"/>
      <w:outlineLvl w:val="2"/>
    </w:pPr>
    <w:rPr>
      <w:rFonts w:asciiTheme="majorHAnsi" w:eastAsiaTheme="majorEastAsia" w:hAnsiTheme="majorHAnsi" w:cstheme="majorBidi"/>
      <w:b/>
      <w:bCs/>
      <w:color w:val="999999" w:themeColor="text2" w:themeTint="66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D08FA"/>
    <w:pPr>
      <w:keepNext/>
      <w:keepLines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b/>
      <w:bCs/>
      <w:iCs/>
      <w:color w:val="CCCCCC" w:themeColor="text2" w:themeTint="33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7D7C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D08F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D08F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D08F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D08F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08FA"/>
    <w:rPr>
      <w:rFonts w:asciiTheme="majorHAnsi" w:eastAsiaTheme="majorEastAsia" w:hAnsiTheme="majorHAnsi" w:cstheme="majorBidi"/>
      <w:b/>
      <w:bCs/>
      <w:color w:val="000000" w:themeColor="text2" w:themeShade="BF"/>
      <w:sz w:val="32"/>
      <w:szCs w:val="28"/>
    </w:rPr>
  </w:style>
  <w:style w:type="paragraph" w:styleId="Tartalomjegyzkcmsora">
    <w:name w:val="TOC Heading"/>
    <w:basedOn w:val="Cmsor1"/>
    <w:next w:val="Norml"/>
    <w:link w:val="TartalomjegyzkcmsoraChar"/>
    <w:uiPriority w:val="39"/>
    <w:unhideWhenUsed/>
    <w:rsid w:val="00AD08FA"/>
    <w:pPr>
      <w:numPr>
        <w:numId w:val="0"/>
      </w:numPr>
      <w:outlineLvl w:val="9"/>
    </w:pPr>
  </w:style>
  <w:style w:type="paragraph" w:styleId="lfej">
    <w:name w:val="header"/>
    <w:basedOn w:val="Norml"/>
    <w:link w:val="lfejChar"/>
    <w:uiPriority w:val="99"/>
    <w:unhideWhenUsed/>
    <w:rsid w:val="006F44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rsid w:val="00CA3CD6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6F446C"/>
  </w:style>
  <w:style w:type="paragraph" w:styleId="llb">
    <w:name w:val="footer"/>
    <w:basedOn w:val="Norml"/>
    <w:link w:val="llbChar"/>
    <w:uiPriority w:val="99"/>
    <w:unhideWhenUsed/>
    <w:rsid w:val="006F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446C"/>
  </w:style>
  <w:style w:type="paragraph" w:customStyle="1" w:styleId="Cmnmhh">
    <w:name w:val="Cím_nmhh"/>
    <w:basedOn w:val="Cm"/>
    <w:qFormat/>
    <w:rsid w:val="00BB417B"/>
    <w:pPr>
      <w:pBdr>
        <w:bottom w:val="none" w:sz="0" w:space="0" w:color="auto"/>
      </w:pBdr>
      <w:spacing w:after="480" w:line="720" w:lineRule="exact"/>
      <w:ind w:left="890"/>
      <w:contextualSpacing w:val="0"/>
      <w:jc w:val="left"/>
    </w:pPr>
    <w:rPr>
      <w:b/>
      <w:color w:val="911E6C"/>
      <w:sz w:val="60"/>
    </w:rPr>
  </w:style>
  <w:style w:type="paragraph" w:customStyle="1" w:styleId="Osztlynmhh">
    <w:name w:val="Osztály_nmhh"/>
    <w:basedOn w:val="Norml"/>
    <w:next w:val="Norml"/>
    <w:qFormat/>
    <w:rsid w:val="00BB417B"/>
    <w:pPr>
      <w:spacing w:after="0"/>
      <w:ind w:left="890"/>
      <w:jc w:val="left"/>
    </w:pPr>
    <w:rPr>
      <w:caps/>
      <w:color w:val="465155"/>
      <w:sz w:val="36"/>
    </w:rPr>
  </w:style>
  <w:style w:type="paragraph" w:styleId="Cm">
    <w:name w:val="Title"/>
    <w:basedOn w:val="Norml"/>
    <w:next w:val="Norml"/>
    <w:link w:val="CmChar"/>
    <w:uiPriority w:val="10"/>
    <w:rsid w:val="00A81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81A4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Bortlapegybnmhh">
    <w:name w:val="Borítólap egyéb_nmhh"/>
    <w:basedOn w:val="Norml"/>
    <w:link w:val="BortlapegybnmhhChar"/>
    <w:qFormat/>
    <w:rsid w:val="00184A51"/>
    <w:pPr>
      <w:spacing w:after="0"/>
      <w:ind w:left="890"/>
      <w:jc w:val="left"/>
    </w:pPr>
    <w:rPr>
      <w:color w:val="4C5256"/>
      <w:sz w:val="30"/>
    </w:rPr>
  </w:style>
  <w:style w:type="paragraph" w:customStyle="1" w:styleId="Tartalomjegyzkcmsoranmhh">
    <w:name w:val="Tartalomjegyzék_címsora_nmhh"/>
    <w:basedOn w:val="Tartalomjegyzkcmsora"/>
    <w:link w:val="TartalomjegyzkcmsoranmhhChar"/>
    <w:qFormat/>
    <w:rsid w:val="00087A8F"/>
    <w:rPr>
      <w:sz w:val="36"/>
    </w:rPr>
  </w:style>
  <w:style w:type="character" w:customStyle="1" w:styleId="BortlapegybnmhhChar">
    <w:name w:val="Borítólap egyéb_nmhh Char"/>
    <w:basedOn w:val="Bekezdsalapbettpusa"/>
    <w:link w:val="Bortlapegybnmhh"/>
    <w:rsid w:val="00184A51"/>
    <w:rPr>
      <w:color w:val="4C5256"/>
      <w:sz w:val="30"/>
    </w:rPr>
  </w:style>
  <w:style w:type="paragraph" w:customStyle="1" w:styleId="Bekezdsnmhh">
    <w:name w:val="Bekezdés_nmhh"/>
    <w:basedOn w:val="Norml"/>
    <w:link w:val="BekezdsnmhhChar"/>
    <w:qFormat/>
    <w:rsid w:val="00DA31F6"/>
    <w:rPr>
      <w:sz w:val="20"/>
      <w:szCs w:val="20"/>
    </w:rPr>
  </w:style>
  <w:style w:type="character" w:customStyle="1" w:styleId="TartalomjegyzkcmsoraChar">
    <w:name w:val="Tartalomjegyzék címsora Char"/>
    <w:basedOn w:val="Cmsor1Char"/>
    <w:link w:val="Tartalomjegyzkcmsora"/>
    <w:uiPriority w:val="39"/>
    <w:rsid w:val="00087A8F"/>
    <w:rPr>
      <w:rFonts w:asciiTheme="majorHAnsi" w:eastAsiaTheme="majorEastAsia" w:hAnsiTheme="majorHAnsi" w:cstheme="majorBidi"/>
      <w:b/>
      <w:bCs/>
      <w:color w:val="000000" w:themeColor="text2" w:themeShade="BF"/>
      <w:sz w:val="32"/>
      <w:szCs w:val="28"/>
    </w:rPr>
  </w:style>
  <w:style w:type="character" w:customStyle="1" w:styleId="TartalomjegyzkcmsoranmhhChar">
    <w:name w:val="Tartalomjegyzék_címsora_nmhh Char"/>
    <w:basedOn w:val="TartalomjegyzkcmsoraChar"/>
    <w:link w:val="Tartalomjegyzkcmsoranmhh"/>
    <w:rsid w:val="00087A8F"/>
    <w:rPr>
      <w:rFonts w:asciiTheme="majorHAnsi" w:eastAsiaTheme="majorEastAsia" w:hAnsiTheme="majorHAnsi" w:cstheme="majorBidi"/>
      <w:b/>
      <w:bCs/>
      <w:color w:val="000000" w:themeColor="text2" w:themeShade="BF"/>
      <w:sz w:val="36"/>
      <w:szCs w:val="28"/>
    </w:rPr>
  </w:style>
  <w:style w:type="paragraph" w:customStyle="1" w:styleId="Behzottbekezdsnmhh">
    <w:name w:val="Behúzott_bekezdés_nmhh"/>
    <w:basedOn w:val="Norml"/>
    <w:link w:val="BehzottbekezdsnmhhChar"/>
    <w:qFormat/>
    <w:rsid w:val="00CB2F81"/>
    <w:pPr>
      <w:ind w:firstLine="357"/>
    </w:pPr>
    <w:rPr>
      <w:sz w:val="20"/>
      <w:szCs w:val="20"/>
    </w:rPr>
  </w:style>
  <w:style w:type="character" w:customStyle="1" w:styleId="BekezdsnmhhChar">
    <w:name w:val="Bekezdés_nmhh Char"/>
    <w:basedOn w:val="Bekezdsalapbettpusa"/>
    <w:link w:val="Bekezdsnmhh"/>
    <w:rsid w:val="00DA31F6"/>
    <w:rPr>
      <w:sz w:val="20"/>
      <w:szCs w:val="20"/>
    </w:rPr>
  </w:style>
  <w:style w:type="paragraph" w:customStyle="1" w:styleId="Felsorolsbekezdsnmhh">
    <w:name w:val="Felsorolás_bekezdés_nmhh"/>
    <w:basedOn w:val="Norml"/>
    <w:qFormat/>
    <w:rsid w:val="00CB2F81"/>
    <w:pPr>
      <w:ind w:left="709"/>
    </w:pPr>
    <w:rPr>
      <w:sz w:val="20"/>
      <w:szCs w:val="20"/>
    </w:rPr>
  </w:style>
  <w:style w:type="character" w:customStyle="1" w:styleId="BehzottbekezdsnmhhChar">
    <w:name w:val="Behúzott_bekezdés_nmhh Char"/>
    <w:basedOn w:val="Bekezdsalapbettpusa"/>
    <w:link w:val="Behzottbekezdsnmhh"/>
    <w:rsid w:val="00CB2F81"/>
    <w:rPr>
      <w:sz w:val="20"/>
      <w:szCs w:val="20"/>
    </w:rPr>
  </w:style>
  <w:style w:type="paragraph" w:customStyle="1" w:styleId="Felsorolsnmhh">
    <w:name w:val="Felsorolás_nmhh"/>
    <w:basedOn w:val="Listaszerbekezds"/>
    <w:link w:val="FelsorolsnmhhChar"/>
    <w:qFormat/>
    <w:rsid w:val="00CB2F81"/>
    <w:pPr>
      <w:numPr>
        <w:numId w:val="2"/>
      </w:numPr>
      <w:ind w:left="714" w:hanging="357"/>
    </w:pPr>
    <w:rPr>
      <w:b/>
      <w:sz w:val="20"/>
      <w:szCs w:val="20"/>
    </w:rPr>
  </w:style>
  <w:style w:type="paragraph" w:customStyle="1" w:styleId="Felsorols1nmhh">
    <w:name w:val="Felsorolás1_nmhh"/>
    <w:basedOn w:val="Listaszerbekezds"/>
    <w:link w:val="Felsorols1nmhhChar"/>
    <w:qFormat/>
    <w:rsid w:val="002B2A3F"/>
    <w:pPr>
      <w:numPr>
        <w:numId w:val="4"/>
      </w:numPr>
      <w:ind w:left="357" w:hanging="357"/>
      <w:contextualSpacing w:val="0"/>
    </w:pPr>
    <w:rPr>
      <w:b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B2F81"/>
  </w:style>
  <w:style w:type="character" w:customStyle="1" w:styleId="FelsorolsnmhhChar">
    <w:name w:val="Felsorolás_nmhh Char"/>
    <w:basedOn w:val="ListaszerbekezdsChar"/>
    <w:link w:val="Felsorolsnmhh"/>
    <w:rsid w:val="00CB2F81"/>
    <w:rPr>
      <w:b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D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D08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D08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D08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D0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AD08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elsorols2nmhh">
    <w:name w:val="Felsorolás2_nmhh"/>
    <w:basedOn w:val="Listaszerbekezds"/>
    <w:link w:val="Felsorols2nmhhChar"/>
    <w:qFormat/>
    <w:rsid w:val="002B2A3F"/>
    <w:pPr>
      <w:numPr>
        <w:numId w:val="3"/>
      </w:numPr>
      <w:ind w:left="357" w:hanging="357"/>
    </w:pPr>
    <w:rPr>
      <w:b/>
      <w:sz w:val="20"/>
      <w:szCs w:val="20"/>
    </w:rPr>
  </w:style>
  <w:style w:type="character" w:customStyle="1" w:styleId="Felsorols1nmhhChar">
    <w:name w:val="Felsorolás1_nmhh Char"/>
    <w:basedOn w:val="ListaszerbekezdsChar"/>
    <w:link w:val="Felsorols1nmhh"/>
    <w:rsid w:val="002B2A3F"/>
    <w:rPr>
      <w:b/>
      <w:sz w:val="20"/>
      <w:szCs w:val="20"/>
    </w:rPr>
  </w:style>
  <w:style w:type="paragraph" w:customStyle="1" w:styleId="Lista1nmhh">
    <w:name w:val="Lista1_nmhh"/>
    <w:basedOn w:val="Listaszerbekezds"/>
    <w:link w:val="Lista1nmhhChar"/>
    <w:qFormat/>
    <w:rsid w:val="002B2A3F"/>
    <w:pPr>
      <w:numPr>
        <w:numId w:val="6"/>
      </w:numPr>
      <w:spacing w:after="0"/>
      <w:ind w:left="714" w:hanging="357"/>
    </w:pPr>
    <w:rPr>
      <w:sz w:val="20"/>
      <w:szCs w:val="20"/>
    </w:rPr>
  </w:style>
  <w:style w:type="character" w:customStyle="1" w:styleId="Felsorols2nmhhChar">
    <w:name w:val="Felsorolás2_nmhh Char"/>
    <w:basedOn w:val="ListaszerbekezdsChar"/>
    <w:link w:val="Felsorols2nmhh"/>
    <w:rsid w:val="002B2A3F"/>
    <w:rPr>
      <w:b/>
      <w:sz w:val="20"/>
      <w:szCs w:val="20"/>
    </w:rPr>
  </w:style>
  <w:style w:type="paragraph" w:customStyle="1" w:styleId="Lista2nmhh">
    <w:name w:val="Lista2_nmhh"/>
    <w:basedOn w:val="Listaszerbekezds"/>
    <w:link w:val="Lista2nmhhChar"/>
    <w:qFormat/>
    <w:rsid w:val="002B2A3F"/>
    <w:pPr>
      <w:numPr>
        <w:numId w:val="7"/>
      </w:numPr>
      <w:spacing w:after="0"/>
    </w:pPr>
    <w:rPr>
      <w:sz w:val="20"/>
      <w:szCs w:val="20"/>
    </w:rPr>
  </w:style>
  <w:style w:type="character" w:customStyle="1" w:styleId="Lista1nmhhChar">
    <w:name w:val="Lista1_nmhh Char"/>
    <w:basedOn w:val="ListaszerbekezdsChar"/>
    <w:link w:val="Lista1nmhh"/>
    <w:rsid w:val="002B2A3F"/>
    <w:rPr>
      <w:sz w:val="20"/>
      <w:szCs w:val="20"/>
    </w:rPr>
  </w:style>
  <w:style w:type="paragraph" w:customStyle="1" w:styleId="Cmsorszmozatlannmhh">
    <w:name w:val="Címsor_számozatlan_nmhh"/>
    <w:basedOn w:val="Norml"/>
    <w:next w:val="Behzottbekezdsnmhh"/>
    <w:link w:val="CmsorszmozatlannmhhChar"/>
    <w:qFormat/>
    <w:rsid w:val="002B2A3F"/>
    <w:pPr>
      <w:pageBreakBefore/>
      <w:tabs>
        <w:tab w:val="left" w:pos="6564"/>
      </w:tabs>
      <w:spacing w:after="240"/>
      <w:jc w:val="left"/>
    </w:pPr>
    <w:rPr>
      <w:rFonts w:asciiTheme="majorHAnsi" w:hAnsiTheme="majorHAnsi" w:cstheme="majorHAnsi"/>
      <w:b/>
      <w:sz w:val="36"/>
      <w:szCs w:val="36"/>
    </w:rPr>
  </w:style>
  <w:style w:type="character" w:customStyle="1" w:styleId="Lista2nmhhChar">
    <w:name w:val="Lista2_nmhh Char"/>
    <w:basedOn w:val="ListaszerbekezdsChar"/>
    <w:link w:val="Lista2nmhh"/>
    <w:rsid w:val="002B2A3F"/>
    <w:rPr>
      <w:sz w:val="20"/>
      <w:szCs w:val="20"/>
    </w:rPr>
  </w:style>
  <w:style w:type="paragraph" w:customStyle="1" w:styleId="Cmsor1szmozottnmhh">
    <w:name w:val="Címsor1_számozott_nmhh"/>
    <w:basedOn w:val="Listaszerbekezds"/>
    <w:next w:val="Behzottbekezdsnmhh"/>
    <w:link w:val="Cmsor1szmozottnmhhChar"/>
    <w:qFormat/>
    <w:rsid w:val="002B2A3F"/>
    <w:pPr>
      <w:pageBreakBefore/>
      <w:numPr>
        <w:numId w:val="5"/>
      </w:numPr>
      <w:spacing w:after="240"/>
      <w:contextualSpacing w:val="0"/>
      <w:jc w:val="left"/>
      <w:outlineLvl w:val="0"/>
    </w:pPr>
    <w:rPr>
      <w:rFonts w:asciiTheme="majorHAnsi" w:hAnsiTheme="majorHAnsi" w:cstheme="majorHAnsi"/>
      <w:b/>
      <w:sz w:val="36"/>
      <w:szCs w:val="36"/>
    </w:rPr>
  </w:style>
  <w:style w:type="character" w:customStyle="1" w:styleId="CmsorszmozatlannmhhChar">
    <w:name w:val="Címsor_számozatlan_nmhh Char"/>
    <w:basedOn w:val="Bekezdsalapbettpusa"/>
    <w:link w:val="Cmsorszmozatlannmhh"/>
    <w:rsid w:val="002B2A3F"/>
    <w:rPr>
      <w:rFonts w:asciiTheme="majorHAnsi" w:hAnsiTheme="majorHAnsi" w:cstheme="majorHAnsi"/>
      <w:b/>
      <w:sz w:val="36"/>
      <w:szCs w:val="36"/>
    </w:rPr>
  </w:style>
  <w:style w:type="paragraph" w:customStyle="1" w:styleId="Cmsor2szmozottnmhh">
    <w:name w:val="Címsor2_számozott_nmhh"/>
    <w:basedOn w:val="Listaszerbekezds"/>
    <w:next w:val="Behzottbekezdsnmhh"/>
    <w:link w:val="Cmsor2szmozottnmhhChar"/>
    <w:qFormat/>
    <w:rsid w:val="002B2A3F"/>
    <w:pPr>
      <w:numPr>
        <w:ilvl w:val="1"/>
        <w:numId w:val="5"/>
      </w:numPr>
      <w:spacing w:after="240"/>
      <w:contextualSpacing w:val="0"/>
      <w:jc w:val="left"/>
      <w:outlineLvl w:val="1"/>
    </w:pPr>
    <w:rPr>
      <w:rFonts w:asciiTheme="majorHAnsi" w:hAnsiTheme="majorHAnsi" w:cstheme="majorHAnsi"/>
      <w:b/>
      <w:sz w:val="32"/>
      <w:szCs w:val="32"/>
    </w:rPr>
  </w:style>
  <w:style w:type="character" w:customStyle="1" w:styleId="Cmsor1szmozottnmhhChar">
    <w:name w:val="Címsor1_számozott_nmhh Char"/>
    <w:basedOn w:val="ListaszerbekezdsChar"/>
    <w:link w:val="Cmsor1szmozottnmhh"/>
    <w:rsid w:val="002B2A3F"/>
    <w:rPr>
      <w:rFonts w:asciiTheme="majorHAnsi" w:hAnsiTheme="majorHAnsi" w:cstheme="majorHAnsi"/>
      <w:b/>
      <w:sz w:val="36"/>
      <w:szCs w:val="36"/>
    </w:rPr>
  </w:style>
  <w:style w:type="paragraph" w:customStyle="1" w:styleId="Cmsor3szmozottnmhh">
    <w:name w:val="Címsor3_számozott_nmhh"/>
    <w:basedOn w:val="Listaszerbekezds"/>
    <w:next w:val="Behzottbekezdsnmhh"/>
    <w:link w:val="Cmsor3szmozottnmhhChar"/>
    <w:qFormat/>
    <w:rsid w:val="002B2A3F"/>
    <w:pPr>
      <w:numPr>
        <w:ilvl w:val="2"/>
        <w:numId w:val="5"/>
      </w:numPr>
      <w:spacing w:after="240"/>
      <w:contextualSpacing w:val="0"/>
      <w:jc w:val="left"/>
      <w:outlineLvl w:val="2"/>
    </w:pPr>
    <w:rPr>
      <w:rFonts w:asciiTheme="majorHAnsi" w:hAnsiTheme="majorHAnsi" w:cstheme="majorHAnsi"/>
      <w:b/>
      <w:sz w:val="28"/>
      <w:szCs w:val="28"/>
    </w:rPr>
  </w:style>
  <w:style w:type="character" w:customStyle="1" w:styleId="Cmsor2szmozottnmhhChar">
    <w:name w:val="Címsor2_számozott_nmhh Char"/>
    <w:basedOn w:val="ListaszerbekezdsChar"/>
    <w:link w:val="Cmsor2szmozottnmhh"/>
    <w:rsid w:val="002B2A3F"/>
    <w:rPr>
      <w:rFonts w:asciiTheme="majorHAnsi" w:hAnsiTheme="majorHAnsi" w:cstheme="majorHAnsi"/>
      <w:b/>
      <w:sz w:val="32"/>
      <w:szCs w:val="32"/>
    </w:rPr>
  </w:style>
  <w:style w:type="paragraph" w:customStyle="1" w:styleId="Cmsor4szmozottnmhh">
    <w:name w:val="Címsor4_számozott_nmhh"/>
    <w:basedOn w:val="Listaszerbekezds"/>
    <w:next w:val="Behzottbekezdsnmhh"/>
    <w:link w:val="Cmsor4szmozottnmhhChar"/>
    <w:qFormat/>
    <w:rsid w:val="002B2A3F"/>
    <w:pPr>
      <w:numPr>
        <w:ilvl w:val="3"/>
        <w:numId w:val="5"/>
      </w:numPr>
      <w:spacing w:after="240"/>
      <w:contextualSpacing w:val="0"/>
      <w:jc w:val="left"/>
      <w:outlineLvl w:val="3"/>
    </w:pPr>
    <w:rPr>
      <w:rFonts w:asciiTheme="majorHAnsi" w:hAnsiTheme="majorHAnsi" w:cstheme="majorHAnsi"/>
      <w:b/>
      <w:sz w:val="24"/>
      <w:szCs w:val="24"/>
    </w:rPr>
  </w:style>
  <w:style w:type="character" w:customStyle="1" w:styleId="Cmsor3szmozottnmhhChar">
    <w:name w:val="Címsor3_számozott_nmhh Char"/>
    <w:basedOn w:val="ListaszerbekezdsChar"/>
    <w:link w:val="Cmsor3szmozottnmhh"/>
    <w:rsid w:val="002B2A3F"/>
    <w:rPr>
      <w:rFonts w:asciiTheme="majorHAnsi" w:hAnsiTheme="majorHAnsi" w:cstheme="majorHAnsi"/>
      <w:b/>
      <w:sz w:val="28"/>
      <w:szCs w:val="28"/>
    </w:rPr>
  </w:style>
  <w:style w:type="paragraph" w:customStyle="1" w:styleId="Irodalomjegyzkfelsorolsnmhh">
    <w:name w:val="Irodalomjegyzék_felsorolás_nmhh"/>
    <w:basedOn w:val="Bekezdsnmhh"/>
    <w:link w:val="IrodalomjegyzkfelsorolsnmhhChar"/>
    <w:qFormat/>
    <w:rsid w:val="0018360B"/>
    <w:pPr>
      <w:numPr>
        <w:numId w:val="8"/>
      </w:numPr>
      <w:jc w:val="left"/>
    </w:pPr>
  </w:style>
  <w:style w:type="character" w:customStyle="1" w:styleId="Cmsor4szmozottnmhhChar">
    <w:name w:val="Címsor4_számozott_nmhh Char"/>
    <w:basedOn w:val="ListaszerbekezdsChar"/>
    <w:link w:val="Cmsor4szmozottnmhh"/>
    <w:rsid w:val="002B2A3F"/>
    <w:rPr>
      <w:rFonts w:asciiTheme="majorHAnsi" w:hAnsiTheme="majorHAnsi" w:cstheme="majorHAnsi"/>
      <w:b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18360B"/>
    <w:pPr>
      <w:spacing w:after="100"/>
    </w:pPr>
  </w:style>
  <w:style w:type="character" w:customStyle="1" w:styleId="IrodalomjegyzkfelsorolsnmhhChar">
    <w:name w:val="Irodalomjegyzék_felsorolás_nmhh Char"/>
    <w:basedOn w:val="BekezdsnmhhChar"/>
    <w:link w:val="Irodalomjegyzkfelsorolsnmhh"/>
    <w:rsid w:val="0018360B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D08FA"/>
    <w:rPr>
      <w:rFonts w:asciiTheme="majorHAnsi" w:eastAsiaTheme="majorEastAsia" w:hAnsiTheme="majorHAnsi" w:cstheme="majorBidi"/>
      <w:b/>
      <w:bCs/>
      <w:color w:val="666666" w:themeColor="text2" w:themeTint="99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D08FA"/>
    <w:rPr>
      <w:rFonts w:asciiTheme="majorHAnsi" w:eastAsiaTheme="majorEastAsia" w:hAnsiTheme="majorHAnsi" w:cstheme="majorBidi"/>
      <w:b/>
      <w:bCs/>
      <w:color w:val="999999" w:themeColor="text2" w:themeTint="66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D08FA"/>
    <w:rPr>
      <w:rFonts w:asciiTheme="majorHAnsi" w:eastAsiaTheme="majorEastAsia" w:hAnsiTheme="majorHAnsi" w:cstheme="majorBidi"/>
      <w:b/>
      <w:bCs/>
      <w:iCs/>
      <w:color w:val="CCCCCC" w:themeColor="text2" w:themeTint="33"/>
    </w:rPr>
  </w:style>
  <w:style w:type="paragraph" w:styleId="TJ2">
    <w:name w:val="toc 2"/>
    <w:basedOn w:val="Norml"/>
    <w:next w:val="Norml"/>
    <w:autoRedefine/>
    <w:uiPriority w:val="39"/>
    <w:unhideWhenUsed/>
    <w:rsid w:val="0018360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8360B"/>
    <w:pPr>
      <w:spacing w:after="100"/>
      <w:ind w:left="440"/>
    </w:pPr>
  </w:style>
  <w:style w:type="paragraph" w:customStyle="1" w:styleId="BasicParagraph">
    <w:name w:val="[Basic Paragraph]"/>
    <w:basedOn w:val="Norml"/>
    <w:uiPriority w:val="99"/>
    <w:rsid w:val="00AD08F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Style2">
    <w:name w:val="Style2"/>
    <w:basedOn w:val="Norml"/>
    <w:rsid w:val="006F446C"/>
    <w:pPr>
      <w:spacing w:after="240" w:line="720" w:lineRule="exact"/>
      <w:jc w:val="left"/>
    </w:pPr>
    <w:rPr>
      <w:rFonts w:ascii="Arial" w:hAnsi="Arial" w:cstheme="minorBidi"/>
      <w:b/>
      <w:color w:val="911E6C"/>
      <w:sz w:val="60"/>
      <w:szCs w:val="60"/>
    </w:rPr>
  </w:style>
  <w:style w:type="paragraph" w:customStyle="1" w:styleId="Style3">
    <w:name w:val="Style3"/>
    <w:basedOn w:val="Norml"/>
    <w:rsid w:val="00AD08FA"/>
    <w:pPr>
      <w:spacing w:after="160" w:line="440" w:lineRule="exact"/>
      <w:jc w:val="left"/>
    </w:pPr>
    <w:rPr>
      <w:rFonts w:ascii="Arial" w:hAnsi="Arial" w:cstheme="minorBidi"/>
      <w:color w:val="465155"/>
      <w:sz w:val="36"/>
      <w:szCs w:val="36"/>
    </w:rPr>
  </w:style>
  <w:style w:type="table" w:styleId="Rcsostblzat">
    <w:name w:val="Table Grid"/>
    <w:basedOn w:val="Normltblzat"/>
    <w:uiPriority w:val="59"/>
    <w:rsid w:val="00AD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D08FA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AD08F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FA"/>
    <w:rPr>
      <w:rFonts w:ascii="Tahoma" w:hAnsi="Tahoma" w:cs="Tahoma"/>
      <w:sz w:val="16"/>
      <w:szCs w:val="16"/>
    </w:rPr>
  </w:style>
  <w:style w:type="paragraph" w:styleId="Lbjegyzetszveg">
    <w:name w:val="footnote text"/>
    <w:aliases w:val=" Char,Char,DNV-FT Char,DNV-FT,DNV-FT Char Char Char,Char1,Footnote Text Char Char1,Footnote Text Char4 Char Char,Footnote Text Char1 Char1 Char1 Char,Footnote Text Char Char1 Char1 Char Char,ABA Footnote Text,DNV-,ALTS FOOTNOTE Char"/>
    <w:basedOn w:val="Norml"/>
    <w:link w:val="LbjegyzetszvegChar"/>
    <w:uiPriority w:val="99"/>
    <w:unhideWhenUsed/>
    <w:qFormat/>
    <w:rsid w:val="003D4E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 Char Char,Char Char,DNV-FT Char Char,DNV-FT Char1,DNV-FT Char Char Char Char,Char1 Char,Footnote Text Char Char1 Char,Footnote Text Char4 Char Char Char,Footnote Text Char1 Char1 Char1 Char Char,ABA Footnote Text Char,DNV- Char"/>
    <w:basedOn w:val="Bekezdsalapbettpusa"/>
    <w:link w:val="Lbjegyzetszveg"/>
    <w:uiPriority w:val="99"/>
    <w:rsid w:val="003D4E11"/>
    <w:rPr>
      <w:sz w:val="20"/>
      <w:szCs w:val="20"/>
    </w:rPr>
  </w:style>
  <w:style w:type="character" w:styleId="Lbjegyzet-hivatkozs">
    <w:name w:val="footnote reference"/>
    <w:aliases w:val="Footnote symbol,Footnote,Nota,Footnote Reference/,Appel note de bas de p,Style 12,(NECG) Footnote Reference,Style 124,o,Style 13,FR,Style 17,Style 3,Appel note de bas de p + 11 pt,Italic,Appel note de bas de p1,Times 10 Point"/>
    <w:basedOn w:val="Bekezdsalapbettpusa"/>
    <w:uiPriority w:val="99"/>
    <w:unhideWhenUsed/>
    <w:rsid w:val="003D4E11"/>
    <w:rPr>
      <w:vertAlign w:val="superscript"/>
    </w:rPr>
  </w:style>
  <w:style w:type="paragraph" w:customStyle="1" w:styleId="Default">
    <w:name w:val="Default"/>
    <w:rsid w:val="00DE6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customStyle="1" w:styleId="CM14">
    <w:name w:val="CM14"/>
    <w:basedOn w:val="Default"/>
    <w:next w:val="Default"/>
    <w:uiPriority w:val="99"/>
    <w:rsid w:val="00DE62EF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DE62EF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B85A3A"/>
    <w:rPr>
      <w:color w:val="auto"/>
    </w:rPr>
  </w:style>
  <w:style w:type="paragraph" w:customStyle="1" w:styleId="mellekletpontformazott">
    <w:name w:val="melleklet_pont_formazott"/>
    <w:basedOn w:val="Norml"/>
    <w:rsid w:val="009A47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B0A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0A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0A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0A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0A1F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80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mhh.hu/esemeny/207926/Nyilvanos_meghallgatas_a_mobil_halozatok_uzemeltetesere_alkalmas_frekvenciasavok_hasznositasaval_kapcsolatos_szakmai_kerdesekre" TargetMode="External"/><Relationship Id="rId1" Type="http://schemas.openxmlformats.org/officeDocument/2006/relationships/hyperlink" Target="http://nmhh.hu/esemeny/207926/Nyilvanos_meghallgatas_a_mobil_halozatok_uzemeltetesere_alkalmas_frekvenciasavok_hasznositasaval_kapcsolatos_szakmai_kerdesek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unka\Documents\toth_laszlo\Adminisztracio\Sablonok\SGO_sablon\new_2016\NEW_SGO_sablon_2017.dotx" TargetMode="Externa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MH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10C9-CC1F-49D9-9DC1-22B645CC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NEW_SGO_sablon_2017</Template>
  <TotalTime>14</TotalTime>
  <Pages>13</Pages>
  <Words>3354</Words>
  <Characters>23144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Bálint Irén</dc:creator>
  <cp:lastModifiedBy>Szőgyényi Szilvia</cp:lastModifiedBy>
  <cp:revision>6</cp:revision>
  <dcterms:created xsi:type="dcterms:W3CDTF">2022-02-17T08:06:00Z</dcterms:created>
  <dcterms:modified xsi:type="dcterms:W3CDTF">2022-02-18T10:20:00Z</dcterms:modified>
</cp:coreProperties>
</file>