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HAnsi"/>
          <w:b w:val="0"/>
          <w:color w:val="auto"/>
          <w:spacing w:val="0"/>
          <w:kern w:val="0"/>
          <w:sz w:val="22"/>
          <w:szCs w:val="22"/>
        </w:rPr>
        <w:id w:val="7557074"/>
        <w:docPartObj>
          <w:docPartGallery w:val="Cover Pages"/>
          <w:docPartUnique/>
        </w:docPartObj>
      </w:sdtPr>
      <w:sdtEndPr>
        <w:rPr>
          <w:bCs/>
        </w:rPr>
      </w:sdtEndPr>
      <w:sdtContent>
        <w:p w14:paraId="39EA9D9A" w14:textId="3A73DA09" w:rsidR="00121BE6" w:rsidRDefault="00121BE6" w:rsidP="00EF7841">
          <w:pPr>
            <w:pStyle w:val="Cmnmhh"/>
            <w:jc w:val="center"/>
          </w:pPr>
          <w:r>
            <w:rPr>
              <w:noProof/>
              <w:lang w:eastAsia="hu-HU"/>
            </w:rPr>
            <w:drawing>
              <wp:anchor distT="0" distB="1011555" distL="114300" distR="114300" simplePos="0" relativeHeight="251662336" behindDoc="1" locked="0" layoutInCell="1" allowOverlap="1" wp14:anchorId="0A7C4590" wp14:editId="5C856E5E">
                <wp:simplePos x="0" y="0"/>
                <wp:positionH relativeFrom="page">
                  <wp:posOffset>0</wp:posOffset>
                </wp:positionH>
                <wp:positionV relativeFrom="page">
                  <wp:posOffset>4445</wp:posOffset>
                </wp:positionV>
                <wp:extent cx="7556500" cy="3351530"/>
                <wp:effectExtent l="0" t="0" r="0" b="0"/>
                <wp:wrapTopAndBottom/>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0" cy="3351530"/>
                        </a:xfrm>
                        <a:prstGeom prst="rect">
                          <a:avLst/>
                        </a:prstGeom>
                      </pic:spPr>
                    </pic:pic>
                  </a:graphicData>
                </a:graphic>
                <wp14:sizeRelV relativeFrom="margin">
                  <wp14:pctHeight>0</wp14:pctHeight>
                </wp14:sizeRelV>
              </wp:anchor>
            </w:drawing>
          </w:r>
          <w:sdt>
            <w:sdtPr>
              <w:alias w:val="Cím"/>
              <w:tag w:val="Cím"/>
              <w:id w:val="1523521023"/>
              <w:placeholder>
                <w:docPart w:val="060F1B3B340945E8AC20E073004A5FB4"/>
              </w:placeholder>
            </w:sdtPr>
            <w:sdtEndPr/>
            <w:sdtContent>
              <w:sdt>
                <w:sdtPr>
                  <w:alias w:val="Cím"/>
                  <w:tag w:val="Cím"/>
                  <w:id w:val="463394509"/>
                </w:sdtPr>
                <w:sdtEndPr/>
                <w:sdtContent>
                  <w:r w:rsidR="007553B5" w:rsidRPr="00FC16CF">
                    <w:t xml:space="preserve">Sávismertető </w:t>
                  </w:r>
                  <w:r w:rsidR="007553B5" w:rsidRPr="00FC16CF">
                    <w:br/>
                    <w:t>2300 MHz</w:t>
                  </w:r>
                  <w:r w:rsidR="00847550">
                    <w:t>-es</w:t>
                  </w:r>
                  <w:r w:rsidR="007553B5" w:rsidRPr="00FC16CF">
                    <w:t xml:space="preserve"> </w:t>
                  </w:r>
                  <w:r w:rsidR="00B209EF">
                    <w:t>frekvencia</w:t>
                  </w:r>
                  <w:r w:rsidR="007553B5" w:rsidRPr="00FC16CF">
                    <w:t>sáv</w:t>
                  </w:r>
                </w:sdtContent>
              </w:sdt>
            </w:sdtContent>
          </w:sdt>
        </w:p>
        <w:p w14:paraId="78ACEA7E" w14:textId="77777777" w:rsidR="00121BE6" w:rsidRDefault="00121BE6" w:rsidP="00121BE6">
          <w:pPr>
            <w:pStyle w:val="Osztlynmhh"/>
          </w:pPr>
        </w:p>
        <w:p w14:paraId="1CACE3E7" w14:textId="77777777" w:rsidR="00121BE6" w:rsidRDefault="00121BE6" w:rsidP="00121BE6">
          <w:pPr>
            <w:pStyle w:val="Bortlapegybnmhh"/>
            <w:spacing w:before="3480"/>
            <w:rPr>
              <w:rStyle w:val="Helyrzszveg"/>
              <w:color w:val="4C5256"/>
            </w:rPr>
          </w:pPr>
        </w:p>
        <w:p w14:paraId="2FAFDFC6" w14:textId="429C8F3A" w:rsidR="00121BE6" w:rsidRDefault="00B82928" w:rsidP="00EF7841">
          <w:pPr>
            <w:pStyle w:val="Bortlapegybnmhh"/>
            <w:spacing w:before="240"/>
            <w:jc w:val="center"/>
          </w:pPr>
          <w:sdt>
            <w:sdtPr>
              <w:rPr>
                <w:rStyle w:val="BortlapegybnmhhChar"/>
              </w:rPr>
              <w:alias w:val="Dátum"/>
              <w:tag w:val="Dátum"/>
              <w:id w:val="217647746"/>
              <w:date w:fullDate="2021-02-15T00:00:00Z">
                <w:dateFormat w:val="yyyy. MMMM d."/>
                <w:lid w:val="hu-HU"/>
                <w:storeMappedDataAs w:val="dateTime"/>
                <w:calendar w:val="gregorian"/>
              </w:date>
            </w:sdtPr>
            <w:sdtEndPr>
              <w:rPr>
                <w:rStyle w:val="Bekezdsalapbettpusa"/>
              </w:rPr>
            </w:sdtEndPr>
            <w:sdtContent>
              <w:r w:rsidR="00B209EF" w:rsidDel="00DA1153">
                <w:rPr>
                  <w:rStyle w:val="BortlapegybnmhhChar"/>
                </w:rPr>
                <w:t>2021. február 15.</w:t>
              </w:r>
            </w:sdtContent>
          </w:sdt>
        </w:p>
        <w:p w14:paraId="09287404" w14:textId="77777777" w:rsidR="00121BE6" w:rsidRDefault="00B82928" w:rsidP="00121BE6">
          <w:pPr>
            <w:spacing w:after="200"/>
            <w:jc w:val="left"/>
            <w:rPr>
              <w:b/>
              <w:bCs/>
            </w:rPr>
            <w:sectPr w:rsidR="00121BE6">
              <w:headerReference w:type="even" r:id="rId9"/>
              <w:headerReference w:type="default" r:id="rId10"/>
              <w:footerReference w:type="even" r:id="rId11"/>
              <w:footerReference w:type="default" r:id="rId12"/>
              <w:headerReference w:type="first" r:id="rId13"/>
              <w:pgSz w:w="11906" w:h="16838"/>
              <w:pgMar w:top="1417" w:right="1417" w:bottom="1417" w:left="1417" w:header="1417" w:footer="709" w:gutter="0"/>
              <w:cols w:space="708"/>
              <w:titlePg/>
              <w:docGrid w:linePitch="360"/>
            </w:sectPr>
          </w:pPr>
        </w:p>
      </w:sdtContent>
    </w:sdt>
    <w:bookmarkStart w:id="0" w:name="_Toc96075699" w:displacedByCustomXml="next"/>
    <w:sdt>
      <w:sdtPr>
        <w:rPr>
          <w:rFonts w:asciiTheme="minorHAnsi" w:eastAsiaTheme="minorHAnsi" w:hAnsiTheme="minorHAnsi" w:cstheme="minorHAnsi"/>
          <w:b w:val="0"/>
          <w:bCs w:val="0"/>
          <w:color w:val="auto"/>
          <w:sz w:val="22"/>
          <w:szCs w:val="22"/>
        </w:rPr>
        <w:id w:val="28749728"/>
        <w:docPartObj>
          <w:docPartGallery w:val="Table of Contents"/>
          <w:docPartUnique/>
        </w:docPartObj>
      </w:sdtPr>
      <w:sdtEndPr/>
      <w:sdtContent>
        <w:p w14:paraId="6FF7830F" w14:textId="77777777" w:rsidR="00DA31F6" w:rsidRPr="00D86540" w:rsidRDefault="00DA31F6" w:rsidP="00DA31F6">
          <w:pPr>
            <w:pStyle w:val="Tartalomjegyzkcmsoranmhh"/>
          </w:pPr>
          <w:r w:rsidRPr="00D86540">
            <w:t>Tartalomjegyzék</w:t>
          </w:r>
          <w:bookmarkEnd w:id="0"/>
        </w:p>
        <w:p w14:paraId="434B02CC" w14:textId="514EDB6A" w:rsidR="003921AB" w:rsidRDefault="00292C54">
          <w:pPr>
            <w:pStyle w:val="TJ1"/>
            <w:tabs>
              <w:tab w:val="right" w:leader="dot" w:pos="9062"/>
            </w:tabs>
            <w:rPr>
              <w:rFonts w:eastAsiaTheme="minorEastAsia" w:cstheme="minorBidi"/>
              <w:noProof/>
              <w:lang w:eastAsia="hu-HU"/>
            </w:rPr>
          </w:pPr>
          <w:r w:rsidRPr="00D86540">
            <w:fldChar w:fldCharType="begin"/>
          </w:r>
          <w:r w:rsidR="00DA31F6" w:rsidRPr="00D86540">
            <w:instrText xml:space="preserve"> TOC \o "1-3" \h \z \u </w:instrText>
          </w:r>
          <w:r w:rsidRPr="00D86540">
            <w:fldChar w:fldCharType="separate"/>
          </w:r>
          <w:bookmarkStart w:id="1" w:name="_GoBack"/>
          <w:bookmarkEnd w:id="1"/>
          <w:r w:rsidR="003921AB" w:rsidRPr="001C2BD4">
            <w:rPr>
              <w:rStyle w:val="Hiperhivatkozs"/>
              <w:noProof/>
            </w:rPr>
            <w:fldChar w:fldCharType="begin"/>
          </w:r>
          <w:r w:rsidR="003921AB" w:rsidRPr="001C2BD4">
            <w:rPr>
              <w:rStyle w:val="Hiperhivatkozs"/>
              <w:noProof/>
            </w:rPr>
            <w:instrText xml:space="preserve"> </w:instrText>
          </w:r>
          <w:r w:rsidR="003921AB">
            <w:rPr>
              <w:noProof/>
            </w:rPr>
            <w:instrText>HYPERLINK \l "_Toc96075699"</w:instrText>
          </w:r>
          <w:r w:rsidR="003921AB" w:rsidRPr="001C2BD4">
            <w:rPr>
              <w:rStyle w:val="Hiperhivatkozs"/>
              <w:noProof/>
            </w:rPr>
            <w:instrText xml:space="preserve"> </w:instrText>
          </w:r>
          <w:r w:rsidR="003921AB" w:rsidRPr="001C2BD4">
            <w:rPr>
              <w:rStyle w:val="Hiperhivatkozs"/>
              <w:noProof/>
            </w:rPr>
          </w:r>
          <w:r w:rsidR="003921AB" w:rsidRPr="001C2BD4">
            <w:rPr>
              <w:rStyle w:val="Hiperhivatkozs"/>
              <w:noProof/>
            </w:rPr>
            <w:fldChar w:fldCharType="separate"/>
          </w:r>
          <w:r w:rsidR="003921AB" w:rsidRPr="001C2BD4">
            <w:rPr>
              <w:rStyle w:val="Hiperhivatkozs"/>
              <w:noProof/>
            </w:rPr>
            <w:t>Tartalomjegyzék</w:t>
          </w:r>
          <w:r w:rsidR="003921AB">
            <w:rPr>
              <w:noProof/>
              <w:webHidden/>
            </w:rPr>
            <w:tab/>
          </w:r>
          <w:r w:rsidR="003921AB">
            <w:rPr>
              <w:noProof/>
              <w:webHidden/>
            </w:rPr>
            <w:fldChar w:fldCharType="begin"/>
          </w:r>
          <w:r w:rsidR="003921AB">
            <w:rPr>
              <w:noProof/>
              <w:webHidden/>
            </w:rPr>
            <w:instrText xml:space="preserve"> PAGEREF _Toc96075699 \h </w:instrText>
          </w:r>
          <w:r w:rsidR="003921AB">
            <w:rPr>
              <w:noProof/>
              <w:webHidden/>
            </w:rPr>
          </w:r>
          <w:r w:rsidR="003921AB">
            <w:rPr>
              <w:noProof/>
              <w:webHidden/>
            </w:rPr>
            <w:fldChar w:fldCharType="separate"/>
          </w:r>
          <w:r w:rsidR="003921AB">
            <w:rPr>
              <w:noProof/>
              <w:webHidden/>
            </w:rPr>
            <w:t>2</w:t>
          </w:r>
          <w:r w:rsidR="003921AB">
            <w:rPr>
              <w:noProof/>
              <w:webHidden/>
            </w:rPr>
            <w:fldChar w:fldCharType="end"/>
          </w:r>
          <w:r w:rsidR="003921AB" w:rsidRPr="001C2BD4">
            <w:rPr>
              <w:rStyle w:val="Hiperhivatkozs"/>
              <w:noProof/>
            </w:rPr>
            <w:fldChar w:fldCharType="end"/>
          </w:r>
        </w:p>
        <w:p w14:paraId="2FB71ED5" w14:textId="02BC5911" w:rsidR="003921AB" w:rsidRDefault="003921AB">
          <w:pPr>
            <w:pStyle w:val="TJ1"/>
            <w:tabs>
              <w:tab w:val="left" w:pos="440"/>
              <w:tab w:val="right" w:leader="dot" w:pos="9062"/>
            </w:tabs>
            <w:rPr>
              <w:rFonts w:eastAsiaTheme="minorEastAsia" w:cstheme="minorBidi"/>
              <w:noProof/>
              <w:lang w:eastAsia="hu-HU"/>
            </w:rPr>
          </w:pPr>
          <w:hyperlink w:anchor="_Toc96075700" w:history="1">
            <w:r w:rsidRPr="001C2BD4">
              <w:rPr>
                <w:rStyle w:val="Hiperhivatkozs"/>
                <w:noProof/>
              </w:rPr>
              <w:t>1</w:t>
            </w:r>
            <w:r>
              <w:rPr>
                <w:rFonts w:eastAsiaTheme="minorEastAsia" w:cstheme="minorBidi"/>
                <w:noProof/>
                <w:lang w:eastAsia="hu-HU"/>
              </w:rPr>
              <w:tab/>
            </w:r>
            <w:r w:rsidRPr="001C2BD4">
              <w:rPr>
                <w:rStyle w:val="Hiperhivatkozs"/>
                <w:noProof/>
              </w:rPr>
              <w:t>Összefoglaló</w:t>
            </w:r>
            <w:r>
              <w:rPr>
                <w:noProof/>
                <w:webHidden/>
              </w:rPr>
              <w:tab/>
            </w:r>
            <w:r>
              <w:rPr>
                <w:noProof/>
                <w:webHidden/>
              </w:rPr>
              <w:fldChar w:fldCharType="begin"/>
            </w:r>
            <w:r>
              <w:rPr>
                <w:noProof/>
                <w:webHidden/>
              </w:rPr>
              <w:instrText xml:space="preserve"> PAGEREF _Toc96075700 \h </w:instrText>
            </w:r>
            <w:r>
              <w:rPr>
                <w:noProof/>
                <w:webHidden/>
              </w:rPr>
            </w:r>
            <w:r>
              <w:rPr>
                <w:noProof/>
                <w:webHidden/>
              </w:rPr>
              <w:fldChar w:fldCharType="separate"/>
            </w:r>
            <w:r>
              <w:rPr>
                <w:noProof/>
                <w:webHidden/>
              </w:rPr>
              <w:t>3</w:t>
            </w:r>
            <w:r>
              <w:rPr>
                <w:noProof/>
                <w:webHidden/>
              </w:rPr>
              <w:fldChar w:fldCharType="end"/>
            </w:r>
          </w:hyperlink>
        </w:p>
        <w:p w14:paraId="1F26993D" w14:textId="684D51B2" w:rsidR="003921AB" w:rsidRDefault="003921AB">
          <w:pPr>
            <w:pStyle w:val="TJ1"/>
            <w:tabs>
              <w:tab w:val="left" w:pos="440"/>
              <w:tab w:val="right" w:leader="dot" w:pos="9062"/>
            </w:tabs>
            <w:rPr>
              <w:rFonts w:eastAsiaTheme="minorEastAsia" w:cstheme="minorBidi"/>
              <w:noProof/>
              <w:lang w:eastAsia="hu-HU"/>
            </w:rPr>
          </w:pPr>
          <w:hyperlink w:anchor="_Toc96075701" w:history="1">
            <w:r w:rsidRPr="001C2BD4">
              <w:rPr>
                <w:rStyle w:val="Hiperhivatkozs"/>
                <w:noProof/>
              </w:rPr>
              <w:t>2</w:t>
            </w:r>
            <w:r>
              <w:rPr>
                <w:rFonts w:eastAsiaTheme="minorEastAsia" w:cstheme="minorBidi"/>
                <w:noProof/>
                <w:lang w:eastAsia="hu-HU"/>
              </w:rPr>
              <w:tab/>
            </w:r>
            <w:r w:rsidRPr="001C2BD4">
              <w:rPr>
                <w:rStyle w:val="Hiperhivatkozs"/>
                <w:noProof/>
              </w:rPr>
              <w:t>Bevezetés</w:t>
            </w:r>
            <w:r>
              <w:rPr>
                <w:noProof/>
                <w:webHidden/>
              </w:rPr>
              <w:tab/>
            </w:r>
            <w:r>
              <w:rPr>
                <w:noProof/>
                <w:webHidden/>
              </w:rPr>
              <w:fldChar w:fldCharType="begin"/>
            </w:r>
            <w:r>
              <w:rPr>
                <w:noProof/>
                <w:webHidden/>
              </w:rPr>
              <w:instrText xml:space="preserve"> PAGEREF _Toc96075701 \h </w:instrText>
            </w:r>
            <w:r>
              <w:rPr>
                <w:noProof/>
                <w:webHidden/>
              </w:rPr>
            </w:r>
            <w:r>
              <w:rPr>
                <w:noProof/>
                <w:webHidden/>
              </w:rPr>
              <w:fldChar w:fldCharType="separate"/>
            </w:r>
            <w:r>
              <w:rPr>
                <w:noProof/>
                <w:webHidden/>
              </w:rPr>
              <w:t>4</w:t>
            </w:r>
            <w:r>
              <w:rPr>
                <w:noProof/>
                <w:webHidden/>
              </w:rPr>
              <w:fldChar w:fldCharType="end"/>
            </w:r>
          </w:hyperlink>
        </w:p>
        <w:p w14:paraId="26D1740E" w14:textId="3023C322" w:rsidR="003921AB" w:rsidRDefault="003921AB">
          <w:pPr>
            <w:pStyle w:val="TJ1"/>
            <w:tabs>
              <w:tab w:val="left" w:pos="440"/>
              <w:tab w:val="right" w:leader="dot" w:pos="9062"/>
            </w:tabs>
            <w:rPr>
              <w:rFonts w:eastAsiaTheme="minorEastAsia" w:cstheme="minorBidi"/>
              <w:noProof/>
              <w:lang w:eastAsia="hu-HU"/>
            </w:rPr>
          </w:pPr>
          <w:hyperlink w:anchor="_Toc96075702" w:history="1">
            <w:r w:rsidRPr="001C2BD4">
              <w:rPr>
                <w:rStyle w:val="Hiperhivatkozs"/>
                <w:noProof/>
              </w:rPr>
              <w:t>3</w:t>
            </w:r>
            <w:r>
              <w:rPr>
                <w:rFonts w:eastAsiaTheme="minorEastAsia" w:cstheme="minorBidi"/>
                <w:noProof/>
                <w:lang w:eastAsia="hu-HU"/>
              </w:rPr>
              <w:tab/>
            </w:r>
            <w:r w:rsidRPr="001C2BD4">
              <w:rPr>
                <w:rStyle w:val="Hiperhivatkozs"/>
                <w:noProof/>
              </w:rPr>
              <w:t>A 2300-2400 MHz frekvenciasáv szabályozása</w:t>
            </w:r>
            <w:r>
              <w:rPr>
                <w:noProof/>
                <w:webHidden/>
              </w:rPr>
              <w:tab/>
            </w:r>
            <w:r>
              <w:rPr>
                <w:noProof/>
                <w:webHidden/>
              </w:rPr>
              <w:fldChar w:fldCharType="begin"/>
            </w:r>
            <w:r>
              <w:rPr>
                <w:noProof/>
                <w:webHidden/>
              </w:rPr>
              <w:instrText xml:space="preserve"> PAGEREF _Toc96075702 \h </w:instrText>
            </w:r>
            <w:r>
              <w:rPr>
                <w:noProof/>
                <w:webHidden/>
              </w:rPr>
            </w:r>
            <w:r>
              <w:rPr>
                <w:noProof/>
                <w:webHidden/>
              </w:rPr>
              <w:fldChar w:fldCharType="separate"/>
            </w:r>
            <w:r>
              <w:rPr>
                <w:noProof/>
                <w:webHidden/>
              </w:rPr>
              <w:t>5</w:t>
            </w:r>
            <w:r>
              <w:rPr>
                <w:noProof/>
                <w:webHidden/>
              </w:rPr>
              <w:fldChar w:fldCharType="end"/>
            </w:r>
          </w:hyperlink>
        </w:p>
        <w:p w14:paraId="4C5E0E15" w14:textId="7FEE4935" w:rsidR="003921AB" w:rsidRDefault="003921AB">
          <w:pPr>
            <w:pStyle w:val="TJ2"/>
            <w:tabs>
              <w:tab w:val="left" w:pos="880"/>
              <w:tab w:val="right" w:leader="dot" w:pos="9062"/>
            </w:tabs>
            <w:rPr>
              <w:rFonts w:eastAsiaTheme="minorEastAsia" w:cstheme="minorBidi"/>
              <w:noProof/>
              <w:lang w:eastAsia="hu-HU"/>
            </w:rPr>
          </w:pPr>
          <w:hyperlink w:anchor="_Toc96075703" w:history="1">
            <w:r w:rsidRPr="001C2BD4">
              <w:rPr>
                <w:rStyle w:val="Hiperhivatkozs"/>
                <w:noProof/>
              </w:rPr>
              <w:t>3.1</w:t>
            </w:r>
            <w:r>
              <w:rPr>
                <w:rFonts w:eastAsiaTheme="minorEastAsia" w:cstheme="minorBidi"/>
                <w:noProof/>
                <w:lang w:eastAsia="hu-HU"/>
              </w:rPr>
              <w:tab/>
            </w:r>
            <w:r w:rsidRPr="001C2BD4">
              <w:rPr>
                <w:rStyle w:val="Hiperhivatkozs"/>
                <w:noProof/>
              </w:rPr>
              <w:t>Nemzetközi szabályozás</w:t>
            </w:r>
            <w:r>
              <w:rPr>
                <w:noProof/>
                <w:webHidden/>
              </w:rPr>
              <w:tab/>
            </w:r>
            <w:r>
              <w:rPr>
                <w:noProof/>
                <w:webHidden/>
              </w:rPr>
              <w:fldChar w:fldCharType="begin"/>
            </w:r>
            <w:r>
              <w:rPr>
                <w:noProof/>
                <w:webHidden/>
              </w:rPr>
              <w:instrText xml:space="preserve"> PAGEREF _Toc96075703 \h </w:instrText>
            </w:r>
            <w:r>
              <w:rPr>
                <w:noProof/>
                <w:webHidden/>
              </w:rPr>
            </w:r>
            <w:r>
              <w:rPr>
                <w:noProof/>
                <w:webHidden/>
              </w:rPr>
              <w:fldChar w:fldCharType="separate"/>
            </w:r>
            <w:r>
              <w:rPr>
                <w:noProof/>
                <w:webHidden/>
              </w:rPr>
              <w:t>5</w:t>
            </w:r>
            <w:r>
              <w:rPr>
                <w:noProof/>
                <w:webHidden/>
              </w:rPr>
              <w:fldChar w:fldCharType="end"/>
            </w:r>
          </w:hyperlink>
        </w:p>
        <w:p w14:paraId="4F4F2308" w14:textId="52044AF5" w:rsidR="003921AB" w:rsidRDefault="003921AB">
          <w:pPr>
            <w:pStyle w:val="TJ3"/>
            <w:tabs>
              <w:tab w:val="left" w:pos="1320"/>
              <w:tab w:val="right" w:leader="dot" w:pos="9062"/>
            </w:tabs>
            <w:rPr>
              <w:rFonts w:eastAsiaTheme="minorEastAsia" w:cstheme="minorBidi"/>
              <w:noProof/>
              <w:lang w:eastAsia="hu-HU"/>
            </w:rPr>
          </w:pPr>
          <w:hyperlink w:anchor="_Toc96075704" w:history="1">
            <w:r w:rsidRPr="001C2BD4">
              <w:rPr>
                <w:rStyle w:val="Hiperhivatkozs"/>
                <w:noProof/>
              </w:rPr>
              <w:t>3.1.1</w:t>
            </w:r>
            <w:r>
              <w:rPr>
                <w:rFonts w:eastAsiaTheme="minorEastAsia" w:cstheme="minorBidi"/>
                <w:noProof/>
                <w:lang w:eastAsia="hu-HU"/>
              </w:rPr>
              <w:tab/>
            </w:r>
            <w:r w:rsidRPr="001C2BD4">
              <w:rPr>
                <w:rStyle w:val="Hiperhivatkozs"/>
                <w:noProof/>
              </w:rPr>
              <w:t>ITU</w:t>
            </w:r>
            <w:r>
              <w:rPr>
                <w:noProof/>
                <w:webHidden/>
              </w:rPr>
              <w:tab/>
            </w:r>
            <w:r>
              <w:rPr>
                <w:noProof/>
                <w:webHidden/>
              </w:rPr>
              <w:fldChar w:fldCharType="begin"/>
            </w:r>
            <w:r>
              <w:rPr>
                <w:noProof/>
                <w:webHidden/>
              </w:rPr>
              <w:instrText xml:space="preserve"> PAGEREF _Toc96075704 \h </w:instrText>
            </w:r>
            <w:r>
              <w:rPr>
                <w:noProof/>
                <w:webHidden/>
              </w:rPr>
            </w:r>
            <w:r>
              <w:rPr>
                <w:noProof/>
                <w:webHidden/>
              </w:rPr>
              <w:fldChar w:fldCharType="separate"/>
            </w:r>
            <w:r>
              <w:rPr>
                <w:noProof/>
                <w:webHidden/>
              </w:rPr>
              <w:t>5</w:t>
            </w:r>
            <w:r>
              <w:rPr>
                <w:noProof/>
                <w:webHidden/>
              </w:rPr>
              <w:fldChar w:fldCharType="end"/>
            </w:r>
          </w:hyperlink>
        </w:p>
        <w:p w14:paraId="29FFB6DC" w14:textId="00457F27" w:rsidR="003921AB" w:rsidRDefault="003921AB">
          <w:pPr>
            <w:pStyle w:val="TJ3"/>
            <w:tabs>
              <w:tab w:val="left" w:pos="1320"/>
              <w:tab w:val="right" w:leader="dot" w:pos="9062"/>
            </w:tabs>
            <w:rPr>
              <w:rFonts w:eastAsiaTheme="minorEastAsia" w:cstheme="minorBidi"/>
              <w:noProof/>
              <w:lang w:eastAsia="hu-HU"/>
            </w:rPr>
          </w:pPr>
          <w:hyperlink w:anchor="_Toc96075705" w:history="1">
            <w:r w:rsidRPr="001C2BD4">
              <w:rPr>
                <w:rStyle w:val="Hiperhivatkozs"/>
                <w:noProof/>
              </w:rPr>
              <w:t>3.1.2</w:t>
            </w:r>
            <w:r>
              <w:rPr>
                <w:rFonts w:eastAsiaTheme="minorEastAsia" w:cstheme="minorBidi"/>
                <w:noProof/>
                <w:lang w:eastAsia="hu-HU"/>
              </w:rPr>
              <w:tab/>
            </w:r>
            <w:r w:rsidRPr="001C2BD4">
              <w:rPr>
                <w:rStyle w:val="Hiperhivatkozs"/>
                <w:noProof/>
              </w:rPr>
              <w:t>CEPT</w:t>
            </w:r>
            <w:r>
              <w:rPr>
                <w:noProof/>
                <w:webHidden/>
              </w:rPr>
              <w:tab/>
            </w:r>
            <w:r>
              <w:rPr>
                <w:noProof/>
                <w:webHidden/>
              </w:rPr>
              <w:fldChar w:fldCharType="begin"/>
            </w:r>
            <w:r>
              <w:rPr>
                <w:noProof/>
                <w:webHidden/>
              </w:rPr>
              <w:instrText xml:space="preserve"> PAGEREF _Toc96075705 \h </w:instrText>
            </w:r>
            <w:r>
              <w:rPr>
                <w:noProof/>
                <w:webHidden/>
              </w:rPr>
            </w:r>
            <w:r>
              <w:rPr>
                <w:noProof/>
                <w:webHidden/>
              </w:rPr>
              <w:fldChar w:fldCharType="separate"/>
            </w:r>
            <w:r>
              <w:rPr>
                <w:noProof/>
                <w:webHidden/>
              </w:rPr>
              <w:t>6</w:t>
            </w:r>
            <w:r>
              <w:rPr>
                <w:noProof/>
                <w:webHidden/>
              </w:rPr>
              <w:fldChar w:fldCharType="end"/>
            </w:r>
          </w:hyperlink>
        </w:p>
        <w:p w14:paraId="5216DE4D" w14:textId="085186AC" w:rsidR="003921AB" w:rsidRDefault="003921AB">
          <w:pPr>
            <w:pStyle w:val="TJ3"/>
            <w:tabs>
              <w:tab w:val="left" w:pos="1320"/>
              <w:tab w:val="right" w:leader="dot" w:pos="9062"/>
            </w:tabs>
            <w:rPr>
              <w:rFonts w:eastAsiaTheme="minorEastAsia" w:cstheme="minorBidi"/>
              <w:noProof/>
              <w:lang w:eastAsia="hu-HU"/>
            </w:rPr>
          </w:pPr>
          <w:hyperlink w:anchor="_Toc96075706" w:history="1">
            <w:r w:rsidRPr="001C2BD4">
              <w:rPr>
                <w:rStyle w:val="Hiperhivatkozs"/>
                <w:noProof/>
              </w:rPr>
              <w:t>3.1.3</w:t>
            </w:r>
            <w:r>
              <w:rPr>
                <w:rFonts w:eastAsiaTheme="minorEastAsia" w:cstheme="minorBidi"/>
                <w:noProof/>
                <w:lang w:eastAsia="hu-HU"/>
              </w:rPr>
              <w:tab/>
            </w:r>
            <w:r w:rsidRPr="001C2BD4">
              <w:rPr>
                <w:rStyle w:val="Hiperhivatkozs"/>
                <w:noProof/>
              </w:rPr>
              <w:t>EU</w:t>
            </w:r>
            <w:r>
              <w:rPr>
                <w:noProof/>
                <w:webHidden/>
              </w:rPr>
              <w:tab/>
            </w:r>
            <w:r>
              <w:rPr>
                <w:noProof/>
                <w:webHidden/>
              </w:rPr>
              <w:fldChar w:fldCharType="begin"/>
            </w:r>
            <w:r>
              <w:rPr>
                <w:noProof/>
                <w:webHidden/>
              </w:rPr>
              <w:instrText xml:space="preserve"> PAGEREF _Toc96075706 \h </w:instrText>
            </w:r>
            <w:r>
              <w:rPr>
                <w:noProof/>
                <w:webHidden/>
              </w:rPr>
            </w:r>
            <w:r>
              <w:rPr>
                <w:noProof/>
                <w:webHidden/>
              </w:rPr>
              <w:fldChar w:fldCharType="separate"/>
            </w:r>
            <w:r>
              <w:rPr>
                <w:noProof/>
                <w:webHidden/>
              </w:rPr>
              <w:t>7</w:t>
            </w:r>
            <w:r>
              <w:rPr>
                <w:noProof/>
                <w:webHidden/>
              </w:rPr>
              <w:fldChar w:fldCharType="end"/>
            </w:r>
          </w:hyperlink>
        </w:p>
        <w:p w14:paraId="525B1BA5" w14:textId="7F8896C6" w:rsidR="003921AB" w:rsidRDefault="003921AB">
          <w:pPr>
            <w:pStyle w:val="TJ3"/>
            <w:tabs>
              <w:tab w:val="left" w:pos="1320"/>
              <w:tab w:val="right" w:leader="dot" w:pos="9062"/>
            </w:tabs>
            <w:rPr>
              <w:rFonts w:eastAsiaTheme="minorEastAsia" w:cstheme="minorBidi"/>
              <w:noProof/>
              <w:lang w:eastAsia="hu-HU"/>
            </w:rPr>
          </w:pPr>
          <w:hyperlink w:anchor="_Toc96075707" w:history="1">
            <w:r w:rsidRPr="001C2BD4">
              <w:rPr>
                <w:rStyle w:val="Hiperhivatkozs"/>
                <w:noProof/>
              </w:rPr>
              <w:t>3.1.4</w:t>
            </w:r>
            <w:r>
              <w:rPr>
                <w:rFonts w:eastAsiaTheme="minorEastAsia" w:cstheme="minorBidi"/>
                <w:noProof/>
                <w:lang w:eastAsia="hu-HU"/>
              </w:rPr>
              <w:tab/>
            </w:r>
            <w:r w:rsidRPr="001C2BD4">
              <w:rPr>
                <w:rStyle w:val="Hiperhivatkozs"/>
                <w:noProof/>
              </w:rPr>
              <w:t>Szabványok</w:t>
            </w:r>
            <w:r>
              <w:rPr>
                <w:noProof/>
                <w:webHidden/>
              </w:rPr>
              <w:tab/>
            </w:r>
            <w:r>
              <w:rPr>
                <w:noProof/>
                <w:webHidden/>
              </w:rPr>
              <w:fldChar w:fldCharType="begin"/>
            </w:r>
            <w:r>
              <w:rPr>
                <w:noProof/>
                <w:webHidden/>
              </w:rPr>
              <w:instrText xml:space="preserve"> PAGEREF _Toc96075707 \h </w:instrText>
            </w:r>
            <w:r>
              <w:rPr>
                <w:noProof/>
                <w:webHidden/>
              </w:rPr>
            </w:r>
            <w:r>
              <w:rPr>
                <w:noProof/>
                <w:webHidden/>
              </w:rPr>
              <w:fldChar w:fldCharType="separate"/>
            </w:r>
            <w:r>
              <w:rPr>
                <w:noProof/>
                <w:webHidden/>
              </w:rPr>
              <w:t>8</w:t>
            </w:r>
            <w:r>
              <w:rPr>
                <w:noProof/>
                <w:webHidden/>
              </w:rPr>
              <w:fldChar w:fldCharType="end"/>
            </w:r>
          </w:hyperlink>
        </w:p>
        <w:p w14:paraId="0C406375" w14:textId="48277D3F" w:rsidR="003921AB" w:rsidRDefault="003921AB">
          <w:pPr>
            <w:pStyle w:val="TJ2"/>
            <w:tabs>
              <w:tab w:val="left" w:pos="880"/>
              <w:tab w:val="right" w:leader="dot" w:pos="9062"/>
            </w:tabs>
            <w:rPr>
              <w:rFonts w:eastAsiaTheme="minorEastAsia" w:cstheme="minorBidi"/>
              <w:noProof/>
              <w:lang w:eastAsia="hu-HU"/>
            </w:rPr>
          </w:pPr>
          <w:hyperlink w:anchor="_Toc96075708" w:history="1">
            <w:r w:rsidRPr="001C2BD4">
              <w:rPr>
                <w:rStyle w:val="Hiperhivatkozs"/>
                <w:noProof/>
              </w:rPr>
              <w:t>3.2</w:t>
            </w:r>
            <w:r>
              <w:rPr>
                <w:rFonts w:eastAsiaTheme="minorEastAsia" w:cstheme="minorBidi"/>
                <w:noProof/>
                <w:lang w:eastAsia="hu-HU"/>
              </w:rPr>
              <w:tab/>
            </w:r>
            <w:r w:rsidRPr="001C2BD4">
              <w:rPr>
                <w:rStyle w:val="Hiperhivatkozs"/>
                <w:noProof/>
              </w:rPr>
              <w:t>Nemzeti szabályozás</w:t>
            </w:r>
            <w:r>
              <w:rPr>
                <w:noProof/>
                <w:webHidden/>
              </w:rPr>
              <w:tab/>
            </w:r>
            <w:r>
              <w:rPr>
                <w:noProof/>
                <w:webHidden/>
              </w:rPr>
              <w:fldChar w:fldCharType="begin"/>
            </w:r>
            <w:r>
              <w:rPr>
                <w:noProof/>
                <w:webHidden/>
              </w:rPr>
              <w:instrText xml:space="preserve"> PAGEREF _Toc96075708 \h </w:instrText>
            </w:r>
            <w:r>
              <w:rPr>
                <w:noProof/>
                <w:webHidden/>
              </w:rPr>
            </w:r>
            <w:r>
              <w:rPr>
                <w:noProof/>
                <w:webHidden/>
              </w:rPr>
              <w:fldChar w:fldCharType="separate"/>
            </w:r>
            <w:r>
              <w:rPr>
                <w:noProof/>
                <w:webHidden/>
              </w:rPr>
              <w:t>8</w:t>
            </w:r>
            <w:r>
              <w:rPr>
                <w:noProof/>
                <w:webHidden/>
              </w:rPr>
              <w:fldChar w:fldCharType="end"/>
            </w:r>
          </w:hyperlink>
        </w:p>
        <w:p w14:paraId="1D34432B" w14:textId="49DB2159" w:rsidR="003921AB" w:rsidRDefault="003921AB">
          <w:pPr>
            <w:pStyle w:val="TJ3"/>
            <w:tabs>
              <w:tab w:val="left" w:pos="1320"/>
              <w:tab w:val="right" w:leader="dot" w:pos="9062"/>
            </w:tabs>
            <w:rPr>
              <w:rFonts w:eastAsiaTheme="minorEastAsia" w:cstheme="minorBidi"/>
              <w:noProof/>
              <w:lang w:eastAsia="hu-HU"/>
            </w:rPr>
          </w:pPr>
          <w:hyperlink w:anchor="_Toc96075709" w:history="1">
            <w:r w:rsidRPr="001C2BD4">
              <w:rPr>
                <w:rStyle w:val="Hiperhivatkozs"/>
                <w:noProof/>
              </w:rPr>
              <w:t>3.2.1</w:t>
            </w:r>
            <w:r>
              <w:rPr>
                <w:rFonts w:eastAsiaTheme="minorEastAsia" w:cstheme="minorBidi"/>
                <w:noProof/>
                <w:lang w:eastAsia="hu-HU"/>
              </w:rPr>
              <w:tab/>
            </w:r>
            <w:r w:rsidRPr="001C2BD4">
              <w:rPr>
                <w:rStyle w:val="Hiperhivatkozs"/>
                <w:noProof/>
              </w:rPr>
              <w:t>Az NFFF rendelkezései</w:t>
            </w:r>
            <w:r>
              <w:rPr>
                <w:noProof/>
                <w:webHidden/>
              </w:rPr>
              <w:tab/>
            </w:r>
            <w:r>
              <w:rPr>
                <w:noProof/>
                <w:webHidden/>
              </w:rPr>
              <w:fldChar w:fldCharType="begin"/>
            </w:r>
            <w:r>
              <w:rPr>
                <w:noProof/>
                <w:webHidden/>
              </w:rPr>
              <w:instrText xml:space="preserve"> PAGEREF _Toc96075709 \h </w:instrText>
            </w:r>
            <w:r>
              <w:rPr>
                <w:noProof/>
                <w:webHidden/>
              </w:rPr>
            </w:r>
            <w:r>
              <w:rPr>
                <w:noProof/>
                <w:webHidden/>
              </w:rPr>
              <w:fldChar w:fldCharType="separate"/>
            </w:r>
            <w:r>
              <w:rPr>
                <w:noProof/>
                <w:webHidden/>
              </w:rPr>
              <w:t>8</w:t>
            </w:r>
            <w:r>
              <w:rPr>
                <w:noProof/>
                <w:webHidden/>
              </w:rPr>
              <w:fldChar w:fldCharType="end"/>
            </w:r>
          </w:hyperlink>
        </w:p>
        <w:p w14:paraId="79017CEB" w14:textId="0DB4AF79" w:rsidR="003921AB" w:rsidRDefault="003921AB">
          <w:pPr>
            <w:pStyle w:val="TJ3"/>
            <w:tabs>
              <w:tab w:val="left" w:pos="1320"/>
              <w:tab w:val="right" w:leader="dot" w:pos="9062"/>
            </w:tabs>
            <w:rPr>
              <w:rFonts w:eastAsiaTheme="minorEastAsia" w:cstheme="minorBidi"/>
              <w:noProof/>
              <w:lang w:eastAsia="hu-HU"/>
            </w:rPr>
          </w:pPr>
          <w:hyperlink w:anchor="_Toc96075710" w:history="1">
            <w:r w:rsidRPr="001C2BD4">
              <w:rPr>
                <w:rStyle w:val="Hiperhivatkozs"/>
                <w:noProof/>
              </w:rPr>
              <w:t>3.2.2</w:t>
            </w:r>
            <w:r>
              <w:rPr>
                <w:rFonts w:eastAsiaTheme="minorEastAsia" w:cstheme="minorBidi"/>
                <w:noProof/>
                <w:lang w:eastAsia="hu-HU"/>
              </w:rPr>
              <w:tab/>
            </w:r>
            <w:r w:rsidRPr="001C2BD4">
              <w:rPr>
                <w:rStyle w:val="Hiperhivatkozs"/>
                <w:noProof/>
              </w:rPr>
              <w:t xml:space="preserve">A nem polgári </w:t>
            </w:r>
            <w:r w:rsidRPr="001C2BD4">
              <w:rPr>
                <w:rStyle w:val="Hiperhivatkozs"/>
                <w:bCs/>
                <w:noProof/>
              </w:rPr>
              <w:t>földfelszíni elektronikus hírközlő hálózatok használati feltételei a</w:t>
            </w:r>
            <w:r w:rsidRPr="001C2BD4">
              <w:rPr>
                <w:rStyle w:val="Hiperhivatkozs"/>
                <w:noProof/>
              </w:rPr>
              <w:t xml:space="preserve"> 2370-2400 MHz frekvenciasávban</w:t>
            </w:r>
            <w:r>
              <w:rPr>
                <w:noProof/>
                <w:webHidden/>
              </w:rPr>
              <w:tab/>
            </w:r>
            <w:r>
              <w:rPr>
                <w:noProof/>
                <w:webHidden/>
              </w:rPr>
              <w:fldChar w:fldCharType="begin"/>
            </w:r>
            <w:r>
              <w:rPr>
                <w:noProof/>
                <w:webHidden/>
              </w:rPr>
              <w:instrText xml:space="preserve"> PAGEREF _Toc96075710 \h </w:instrText>
            </w:r>
            <w:r>
              <w:rPr>
                <w:noProof/>
                <w:webHidden/>
              </w:rPr>
            </w:r>
            <w:r>
              <w:rPr>
                <w:noProof/>
                <w:webHidden/>
              </w:rPr>
              <w:fldChar w:fldCharType="separate"/>
            </w:r>
            <w:r>
              <w:rPr>
                <w:noProof/>
                <w:webHidden/>
              </w:rPr>
              <w:t>9</w:t>
            </w:r>
            <w:r>
              <w:rPr>
                <w:noProof/>
                <w:webHidden/>
              </w:rPr>
              <w:fldChar w:fldCharType="end"/>
            </w:r>
          </w:hyperlink>
        </w:p>
        <w:p w14:paraId="49223B55" w14:textId="2FF6D8EE" w:rsidR="003921AB" w:rsidRDefault="003921AB">
          <w:pPr>
            <w:pStyle w:val="TJ3"/>
            <w:tabs>
              <w:tab w:val="left" w:pos="1320"/>
              <w:tab w:val="right" w:leader="dot" w:pos="9062"/>
            </w:tabs>
            <w:rPr>
              <w:rFonts w:eastAsiaTheme="minorEastAsia" w:cstheme="minorBidi"/>
              <w:noProof/>
              <w:lang w:eastAsia="hu-HU"/>
            </w:rPr>
          </w:pPr>
          <w:hyperlink w:anchor="_Toc96075711" w:history="1">
            <w:r w:rsidRPr="001C2BD4">
              <w:rPr>
                <w:rStyle w:val="Hiperhivatkozs"/>
                <w:noProof/>
              </w:rPr>
              <w:t>3.2.3</w:t>
            </w:r>
            <w:r>
              <w:rPr>
                <w:rFonts w:eastAsiaTheme="minorEastAsia" w:cstheme="minorBidi"/>
                <w:noProof/>
                <w:lang w:eastAsia="hu-HU"/>
              </w:rPr>
              <w:tab/>
            </w:r>
            <w:r w:rsidRPr="001C2BD4">
              <w:rPr>
                <w:rStyle w:val="Hiperhivatkozs"/>
                <w:noProof/>
              </w:rPr>
              <w:t>Egyéb alkalmazások a 2300-2400 MHz frekvenciasávban</w:t>
            </w:r>
            <w:r>
              <w:rPr>
                <w:noProof/>
                <w:webHidden/>
              </w:rPr>
              <w:tab/>
            </w:r>
            <w:r>
              <w:rPr>
                <w:noProof/>
                <w:webHidden/>
              </w:rPr>
              <w:fldChar w:fldCharType="begin"/>
            </w:r>
            <w:r>
              <w:rPr>
                <w:noProof/>
                <w:webHidden/>
              </w:rPr>
              <w:instrText xml:space="preserve"> PAGEREF _Toc96075711 \h </w:instrText>
            </w:r>
            <w:r>
              <w:rPr>
                <w:noProof/>
                <w:webHidden/>
              </w:rPr>
            </w:r>
            <w:r>
              <w:rPr>
                <w:noProof/>
                <w:webHidden/>
              </w:rPr>
              <w:fldChar w:fldCharType="separate"/>
            </w:r>
            <w:r>
              <w:rPr>
                <w:noProof/>
                <w:webHidden/>
              </w:rPr>
              <w:t>10</w:t>
            </w:r>
            <w:r>
              <w:rPr>
                <w:noProof/>
                <w:webHidden/>
              </w:rPr>
              <w:fldChar w:fldCharType="end"/>
            </w:r>
          </w:hyperlink>
        </w:p>
        <w:p w14:paraId="414AFE60" w14:textId="1C6B78EA" w:rsidR="003921AB" w:rsidRDefault="003921AB">
          <w:pPr>
            <w:pStyle w:val="TJ1"/>
            <w:tabs>
              <w:tab w:val="left" w:pos="440"/>
              <w:tab w:val="right" w:leader="dot" w:pos="9062"/>
            </w:tabs>
            <w:rPr>
              <w:rFonts w:eastAsiaTheme="minorEastAsia" w:cstheme="minorBidi"/>
              <w:noProof/>
              <w:lang w:eastAsia="hu-HU"/>
            </w:rPr>
          </w:pPr>
          <w:hyperlink w:anchor="_Toc96075712" w:history="1">
            <w:r w:rsidRPr="001C2BD4">
              <w:rPr>
                <w:rStyle w:val="Hiperhivatkozs"/>
                <w:noProof/>
              </w:rPr>
              <w:t>4</w:t>
            </w:r>
            <w:r>
              <w:rPr>
                <w:rFonts w:eastAsiaTheme="minorEastAsia" w:cstheme="minorBidi"/>
                <w:noProof/>
                <w:lang w:eastAsia="hu-HU"/>
              </w:rPr>
              <w:tab/>
            </w:r>
            <w:r w:rsidRPr="001C2BD4">
              <w:rPr>
                <w:rStyle w:val="Hiperhivatkozs"/>
                <w:noProof/>
              </w:rPr>
              <w:t>Jelenlegi használat</w:t>
            </w:r>
            <w:r>
              <w:rPr>
                <w:noProof/>
                <w:webHidden/>
              </w:rPr>
              <w:tab/>
            </w:r>
            <w:r>
              <w:rPr>
                <w:noProof/>
                <w:webHidden/>
              </w:rPr>
              <w:fldChar w:fldCharType="begin"/>
            </w:r>
            <w:r>
              <w:rPr>
                <w:noProof/>
                <w:webHidden/>
              </w:rPr>
              <w:instrText xml:space="preserve"> PAGEREF _Toc96075712 \h </w:instrText>
            </w:r>
            <w:r>
              <w:rPr>
                <w:noProof/>
                <w:webHidden/>
              </w:rPr>
            </w:r>
            <w:r>
              <w:rPr>
                <w:noProof/>
                <w:webHidden/>
              </w:rPr>
              <w:fldChar w:fldCharType="separate"/>
            </w:r>
            <w:r>
              <w:rPr>
                <w:noProof/>
                <w:webHidden/>
              </w:rPr>
              <w:t>10</w:t>
            </w:r>
            <w:r>
              <w:rPr>
                <w:noProof/>
                <w:webHidden/>
              </w:rPr>
              <w:fldChar w:fldCharType="end"/>
            </w:r>
          </w:hyperlink>
        </w:p>
        <w:p w14:paraId="750D8230" w14:textId="19CE98C0" w:rsidR="003921AB" w:rsidRDefault="003921AB">
          <w:pPr>
            <w:pStyle w:val="TJ1"/>
            <w:tabs>
              <w:tab w:val="left" w:pos="440"/>
              <w:tab w:val="right" w:leader="dot" w:pos="9062"/>
            </w:tabs>
            <w:rPr>
              <w:rFonts w:eastAsiaTheme="minorEastAsia" w:cstheme="minorBidi"/>
              <w:noProof/>
              <w:lang w:eastAsia="hu-HU"/>
            </w:rPr>
          </w:pPr>
          <w:hyperlink w:anchor="_Toc96075713" w:history="1">
            <w:r w:rsidRPr="001C2BD4">
              <w:rPr>
                <w:rStyle w:val="Hiperhivatkozs"/>
                <w:noProof/>
              </w:rPr>
              <w:t>5</w:t>
            </w:r>
            <w:r>
              <w:rPr>
                <w:rFonts w:eastAsiaTheme="minorEastAsia" w:cstheme="minorBidi"/>
                <w:noProof/>
                <w:lang w:eastAsia="hu-HU"/>
              </w:rPr>
              <w:tab/>
            </w:r>
            <w:r w:rsidRPr="001C2BD4">
              <w:rPr>
                <w:rStyle w:val="Hiperhivatkozs"/>
                <w:noProof/>
              </w:rPr>
              <w:t>Nemzeti szabályozási tervek</w:t>
            </w:r>
            <w:r>
              <w:rPr>
                <w:noProof/>
                <w:webHidden/>
              </w:rPr>
              <w:tab/>
            </w:r>
            <w:r>
              <w:rPr>
                <w:noProof/>
                <w:webHidden/>
              </w:rPr>
              <w:fldChar w:fldCharType="begin"/>
            </w:r>
            <w:r>
              <w:rPr>
                <w:noProof/>
                <w:webHidden/>
              </w:rPr>
              <w:instrText xml:space="preserve"> PAGEREF _Toc96075713 \h </w:instrText>
            </w:r>
            <w:r>
              <w:rPr>
                <w:noProof/>
                <w:webHidden/>
              </w:rPr>
            </w:r>
            <w:r>
              <w:rPr>
                <w:noProof/>
                <w:webHidden/>
              </w:rPr>
              <w:fldChar w:fldCharType="separate"/>
            </w:r>
            <w:r>
              <w:rPr>
                <w:noProof/>
                <w:webHidden/>
              </w:rPr>
              <w:t>10</w:t>
            </w:r>
            <w:r>
              <w:rPr>
                <w:noProof/>
                <w:webHidden/>
              </w:rPr>
              <w:fldChar w:fldCharType="end"/>
            </w:r>
          </w:hyperlink>
        </w:p>
        <w:p w14:paraId="2248590F" w14:textId="40E24E4E" w:rsidR="003921AB" w:rsidRDefault="003921AB">
          <w:pPr>
            <w:pStyle w:val="TJ2"/>
            <w:tabs>
              <w:tab w:val="left" w:pos="880"/>
              <w:tab w:val="right" w:leader="dot" w:pos="9062"/>
            </w:tabs>
            <w:rPr>
              <w:rFonts w:eastAsiaTheme="minorEastAsia" w:cstheme="minorBidi"/>
              <w:noProof/>
              <w:lang w:eastAsia="hu-HU"/>
            </w:rPr>
          </w:pPr>
          <w:hyperlink w:anchor="_Toc96075714" w:history="1">
            <w:r w:rsidRPr="001C2BD4">
              <w:rPr>
                <w:rStyle w:val="Hiperhivatkozs"/>
                <w:noProof/>
              </w:rPr>
              <w:t>5.1</w:t>
            </w:r>
            <w:r>
              <w:rPr>
                <w:rFonts w:eastAsiaTheme="minorEastAsia" w:cstheme="minorBidi"/>
                <w:noProof/>
                <w:lang w:eastAsia="hu-HU"/>
              </w:rPr>
              <w:tab/>
            </w:r>
            <w:r w:rsidRPr="001C2BD4">
              <w:rPr>
                <w:rStyle w:val="Hiperhivatkozs"/>
                <w:noProof/>
              </w:rPr>
              <w:t>A jövőbeni használat lehetőségei</w:t>
            </w:r>
            <w:r>
              <w:rPr>
                <w:noProof/>
                <w:webHidden/>
              </w:rPr>
              <w:tab/>
            </w:r>
            <w:r>
              <w:rPr>
                <w:noProof/>
                <w:webHidden/>
              </w:rPr>
              <w:fldChar w:fldCharType="begin"/>
            </w:r>
            <w:r>
              <w:rPr>
                <w:noProof/>
                <w:webHidden/>
              </w:rPr>
              <w:instrText xml:space="preserve"> PAGEREF _Toc96075714 \h </w:instrText>
            </w:r>
            <w:r>
              <w:rPr>
                <w:noProof/>
                <w:webHidden/>
              </w:rPr>
            </w:r>
            <w:r>
              <w:rPr>
                <w:noProof/>
                <w:webHidden/>
              </w:rPr>
              <w:fldChar w:fldCharType="separate"/>
            </w:r>
            <w:r>
              <w:rPr>
                <w:noProof/>
                <w:webHidden/>
              </w:rPr>
              <w:t>11</w:t>
            </w:r>
            <w:r>
              <w:rPr>
                <w:noProof/>
                <w:webHidden/>
              </w:rPr>
              <w:fldChar w:fldCharType="end"/>
            </w:r>
          </w:hyperlink>
        </w:p>
        <w:p w14:paraId="4C8D6466" w14:textId="7E7041D0" w:rsidR="003921AB" w:rsidRDefault="003921AB">
          <w:pPr>
            <w:pStyle w:val="TJ1"/>
            <w:tabs>
              <w:tab w:val="left" w:pos="440"/>
              <w:tab w:val="right" w:leader="dot" w:pos="9062"/>
            </w:tabs>
            <w:rPr>
              <w:rFonts w:eastAsiaTheme="minorEastAsia" w:cstheme="minorBidi"/>
              <w:noProof/>
              <w:lang w:eastAsia="hu-HU"/>
            </w:rPr>
          </w:pPr>
          <w:hyperlink w:anchor="_Toc96075715" w:history="1">
            <w:r w:rsidRPr="001C2BD4">
              <w:rPr>
                <w:rStyle w:val="Hiperhivatkozs"/>
                <w:noProof/>
              </w:rPr>
              <w:t>6</w:t>
            </w:r>
            <w:r>
              <w:rPr>
                <w:rFonts w:eastAsiaTheme="minorEastAsia" w:cstheme="minorBidi"/>
                <w:noProof/>
                <w:lang w:eastAsia="hu-HU"/>
              </w:rPr>
              <w:tab/>
            </w:r>
            <w:r w:rsidRPr="001C2BD4">
              <w:rPr>
                <w:rStyle w:val="Hiperhivatkozs"/>
                <w:noProof/>
              </w:rPr>
              <w:t>Határövezeti rádióspektrum-használat</w:t>
            </w:r>
            <w:r>
              <w:rPr>
                <w:noProof/>
                <w:webHidden/>
              </w:rPr>
              <w:tab/>
            </w:r>
            <w:r>
              <w:rPr>
                <w:noProof/>
                <w:webHidden/>
              </w:rPr>
              <w:fldChar w:fldCharType="begin"/>
            </w:r>
            <w:r>
              <w:rPr>
                <w:noProof/>
                <w:webHidden/>
              </w:rPr>
              <w:instrText xml:space="preserve"> PAGEREF _Toc96075715 \h </w:instrText>
            </w:r>
            <w:r>
              <w:rPr>
                <w:noProof/>
                <w:webHidden/>
              </w:rPr>
            </w:r>
            <w:r>
              <w:rPr>
                <w:noProof/>
                <w:webHidden/>
              </w:rPr>
              <w:fldChar w:fldCharType="separate"/>
            </w:r>
            <w:r>
              <w:rPr>
                <w:noProof/>
                <w:webHidden/>
              </w:rPr>
              <w:t>12</w:t>
            </w:r>
            <w:r>
              <w:rPr>
                <w:noProof/>
                <w:webHidden/>
              </w:rPr>
              <w:fldChar w:fldCharType="end"/>
            </w:r>
          </w:hyperlink>
        </w:p>
        <w:p w14:paraId="67516FA0" w14:textId="22741C90" w:rsidR="003921AB" w:rsidRDefault="003921AB">
          <w:pPr>
            <w:pStyle w:val="TJ1"/>
            <w:tabs>
              <w:tab w:val="left" w:pos="440"/>
              <w:tab w:val="right" w:leader="dot" w:pos="9062"/>
            </w:tabs>
            <w:rPr>
              <w:rFonts w:eastAsiaTheme="minorEastAsia" w:cstheme="minorBidi"/>
              <w:noProof/>
              <w:lang w:eastAsia="hu-HU"/>
            </w:rPr>
          </w:pPr>
          <w:hyperlink w:anchor="_Toc96075716" w:history="1">
            <w:r w:rsidRPr="001C2BD4">
              <w:rPr>
                <w:rStyle w:val="Hiperhivatkozs"/>
                <w:noProof/>
              </w:rPr>
              <w:t>7</w:t>
            </w:r>
            <w:r>
              <w:rPr>
                <w:rFonts w:eastAsiaTheme="minorEastAsia" w:cstheme="minorBidi"/>
                <w:noProof/>
                <w:lang w:eastAsia="hu-HU"/>
              </w:rPr>
              <w:tab/>
            </w:r>
            <w:r w:rsidRPr="001C2BD4">
              <w:rPr>
                <w:rStyle w:val="Hiperhivatkozs"/>
                <w:noProof/>
              </w:rPr>
              <w:t>Rádióspektrumdíjak</w:t>
            </w:r>
            <w:r>
              <w:rPr>
                <w:noProof/>
                <w:webHidden/>
              </w:rPr>
              <w:tab/>
            </w:r>
            <w:r>
              <w:rPr>
                <w:noProof/>
                <w:webHidden/>
              </w:rPr>
              <w:fldChar w:fldCharType="begin"/>
            </w:r>
            <w:r>
              <w:rPr>
                <w:noProof/>
                <w:webHidden/>
              </w:rPr>
              <w:instrText xml:space="preserve"> PAGEREF _Toc96075716 \h </w:instrText>
            </w:r>
            <w:r>
              <w:rPr>
                <w:noProof/>
                <w:webHidden/>
              </w:rPr>
            </w:r>
            <w:r>
              <w:rPr>
                <w:noProof/>
                <w:webHidden/>
              </w:rPr>
              <w:fldChar w:fldCharType="separate"/>
            </w:r>
            <w:r>
              <w:rPr>
                <w:noProof/>
                <w:webHidden/>
              </w:rPr>
              <w:t>12</w:t>
            </w:r>
            <w:r>
              <w:rPr>
                <w:noProof/>
                <w:webHidden/>
              </w:rPr>
              <w:fldChar w:fldCharType="end"/>
            </w:r>
          </w:hyperlink>
        </w:p>
        <w:p w14:paraId="63B6E597" w14:textId="0778E08C" w:rsidR="00DA31F6" w:rsidRPr="00D86540" w:rsidRDefault="00292C54">
          <w:r w:rsidRPr="00D86540">
            <w:fldChar w:fldCharType="end"/>
          </w:r>
        </w:p>
      </w:sdtContent>
    </w:sdt>
    <w:p w14:paraId="7A92AD31" w14:textId="77777777" w:rsidR="001F2707" w:rsidRPr="00D86540" w:rsidRDefault="001F2707">
      <w:pPr>
        <w:spacing w:after="200"/>
        <w:jc w:val="left"/>
      </w:pPr>
      <w:r w:rsidRPr="00D86540">
        <w:br w:type="page"/>
      </w:r>
    </w:p>
    <w:p w14:paraId="680B1ABF" w14:textId="77777777" w:rsidR="00966F4D" w:rsidRDefault="0065666F" w:rsidP="0065666F">
      <w:pPr>
        <w:pStyle w:val="Cmsor1szmozottnmhh"/>
        <w:ind w:left="431"/>
      </w:pPr>
      <w:bookmarkStart w:id="2" w:name="_Toc96075700"/>
      <w:r>
        <w:lastRenderedPageBreak/>
        <w:t>Ö</w:t>
      </w:r>
      <w:r w:rsidR="00966F4D" w:rsidRPr="00781542">
        <w:t>sszefoglaló</w:t>
      </w:r>
      <w:bookmarkEnd w:id="2"/>
    </w:p>
    <w:p w14:paraId="46587D3D" w14:textId="6AC1C7CC" w:rsidR="00946ED5" w:rsidRDefault="002106B3" w:rsidP="002106B3">
      <w:pPr>
        <w:pStyle w:val="Behzottbekezdsnmhh"/>
      </w:pPr>
      <w:r>
        <w:t xml:space="preserve">A 2300-2400 MHz </w:t>
      </w:r>
      <w:r w:rsidR="0059329E">
        <w:t>frekvencia</w:t>
      </w:r>
      <w:r>
        <w:t xml:space="preserve">sáv </w:t>
      </w:r>
      <w:r w:rsidR="000778F8" w:rsidRPr="000778F8">
        <w:t xml:space="preserve">(a továbbiakban: 2300 MHz-es frekvenciasáv) </w:t>
      </w:r>
      <w:r>
        <w:t xml:space="preserve">a kevésbé kihasznált sávok közé tartozik, így európai szinten keresték a hatékonyság növelésének lehetőségeit. </w:t>
      </w:r>
      <w:r w:rsidR="0059329E">
        <w:t xml:space="preserve">Az Európai Bizottság kezdeményezésére még 2014-ben indult harmonizációs folyamat a legkevésbé korlátozó műszaki előírások uniós szintű meghatározása érdekében. </w:t>
      </w:r>
      <w:r>
        <w:t>A CEPT</w:t>
      </w:r>
      <w:r w:rsidR="001E07A0">
        <w:rPr>
          <w:rStyle w:val="Lbjegyzet-hivatkozs"/>
        </w:rPr>
        <w:footnoteReference w:id="1"/>
      </w:r>
      <w:r>
        <w:t xml:space="preserve"> </w:t>
      </w:r>
      <w:r w:rsidR="0059329E">
        <w:t xml:space="preserve">keretében </w:t>
      </w:r>
      <w:r w:rsidR="00DC15D3">
        <w:t>végzett vizsgálatok eredményei alapján</w:t>
      </w:r>
      <w:r>
        <w:t xml:space="preserve"> a megosztott használattal, a meglevő szolgálatok védelme mellett is lehetővé tehető a szélessávú rádióalkalmazások bevezetése</w:t>
      </w:r>
      <w:r w:rsidR="00A7108C">
        <w:t xml:space="preserve"> és a 2300 MHz</w:t>
      </w:r>
      <w:r w:rsidR="000778F8">
        <w:t>-es</w:t>
      </w:r>
      <w:r w:rsidR="00A7108C">
        <w:t xml:space="preserve"> </w:t>
      </w:r>
      <w:r w:rsidR="0059329E">
        <w:t>frekvencia</w:t>
      </w:r>
      <w:r w:rsidR="00A7108C">
        <w:t xml:space="preserve">sáv használata </w:t>
      </w:r>
      <w:r w:rsidR="0059329E">
        <w:t xml:space="preserve">szélessávú adatátvitelt lehetővé tevő </w:t>
      </w:r>
      <w:r w:rsidR="00C75341" w:rsidRPr="00B31E4F">
        <w:t xml:space="preserve">földfelszíni elektronikus hírközlő hálózatok </w:t>
      </w:r>
      <w:r w:rsidR="00C75341">
        <w:t>(</w:t>
      </w:r>
      <w:r w:rsidR="00C75341" w:rsidRPr="00FD7A25">
        <w:t>MFCN</w:t>
      </w:r>
      <w:r w:rsidR="00C75341">
        <w:rPr>
          <w:rStyle w:val="Lbjegyzet-hivatkozs"/>
        </w:rPr>
        <w:footnoteReference w:id="2"/>
      </w:r>
      <w:r w:rsidR="00C75341">
        <w:t>) céljára</w:t>
      </w:r>
      <w:r w:rsidR="00A7108C">
        <w:t>,</w:t>
      </w:r>
      <w:r w:rsidR="00551965">
        <w:t xml:space="preserve"> nem kizárólagos jelleggel</w:t>
      </w:r>
      <w:r w:rsidR="00DC15D3">
        <w:t xml:space="preserve">. </w:t>
      </w:r>
    </w:p>
    <w:p w14:paraId="7B8A87CE" w14:textId="47D50F58" w:rsidR="00946ED5" w:rsidRDefault="002106B3" w:rsidP="002106B3">
      <w:pPr>
        <w:pStyle w:val="Behzottbekezdsnmhh"/>
      </w:pPr>
      <w:r>
        <w:t xml:space="preserve">Az </w:t>
      </w:r>
      <w:r w:rsidRPr="00F43C66">
        <w:t>Európai Unió</w:t>
      </w:r>
      <w:r>
        <w:t xml:space="preserve"> (a továbbiakban</w:t>
      </w:r>
      <w:r w:rsidR="000778F8">
        <w:t>:</w:t>
      </w:r>
      <w:r>
        <w:t xml:space="preserve"> EU) tagállamainak jelentősen eltérő sávhasználatából adódóan </w:t>
      </w:r>
      <w:r w:rsidR="0059329E">
        <w:t xml:space="preserve">megállt a harmonizációs folyamat és nem született olyan uniós jogi aktus, ami </w:t>
      </w:r>
      <w:r>
        <w:t>kötelezettség</w:t>
      </w:r>
      <w:r w:rsidR="0059329E">
        <w:t>et rótt volna a tagállamokra</w:t>
      </w:r>
      <w:r>
        <w:t>.</w:t>
      </w:r>
      <w:r w:rsidR="0059329E">
        <w:t xml:space="preserve"> A CEPT vizsgálati eredményei és az </w:t>
      </w:r>
      <w:r w:rsidR="000778F8">
        <w:t>ezek</w:t>
      </w:r>
      <w:r w:rsidR="0059329E">
        <w:t xml:space="preserve"> alapján született CEPT dokumentumok (jelentés, határozat) azonban rendelkezésre áll</w:t>
      </w:r>
      <w:r w:rsidR="000778F8">
        <w:t>nak</w:t>
      </w:r>
      <w:r w:rsidR="0059329E">
        <w:t xml:space="preserve">. Európa néhány államában már elérhetővé is tették a </w:t>
      </w:r>
      <w:r w:rsidR="00CF1099">
        <w:t>2300 MHz-es</w:t>
      </w:r>
      <w:r w:rsidR="0059329E" w:rsidRPr="0059329E">
        <w:t xml:space="preserve"> frekvenciasáv</w:t>
      </w:r>
      <w:r w:rsidR="0059329E">
        <w:t>ot vezetéknélküli szélessávú hálózatok számára.</w:t>
      </w:r>
      <w:r w:rsidR="00C7538E">
        <w:t xml:space="preserve"> A CEPT jelenleg </w:t>
      </w:r>
      <w:r w:rsidR="0059329E">
        <w:t>azt</w:t>
      </w:r>
      <w:r w:rsidR="00C7538E">
        <w:t xml:space="preserve"> vizsgálja</w:t>
      </w:r>
      <w:r w:rsidR="0059329E">
        <w:t>, hogy</w:t>
      </w:r>
      <w:r w:rsidR="00C7538E">
        <w:t xml:space="preserve"> az 5G használatá</w:t>
      </w:r>
      <w:r w:rsidR="0059329E">
        <w:t>nak lehetővé tételéhez melyek a</w:t>
      </w:r>
      <w:r w:rsidR="00C7538E">
        <w:t xml:space="preserve"> leginkább alkalmas szabályozási és harmonizált műszaki feltételek.</w:t>
      </w:r>
      <w:r w:rsidR="0059329E" w:rsidRPr="0059329E">
        <w:t xml:space="preserve"> </w:t>
      </w:r>
    </w:p>
    <w:p w14:paraId="0D0E0B99" w14:textId="3B28DA34" w:rsidR="00D74CD5" w:rsidRPr="007C2162" w:rsidRDefault="0059329E" w:rsidP="002106B3">
      <w:pPr>
        <w:pStyle w:val="Behzottbekezdsnmhh"/>
      </w:pPr>
      <w:r w:rsidRPr="007C2162">
        <w:t xml:space="preserve">A </w:t>
      </w:r>
      <w:r>
        <w:t xml:space="preserve">hazai jogszabályi előírások alapján a 2300-2370 MHz </w:t>
      </w:r>
      <w:r w:rsidR="000778F8">
        <w:t xml:space="preserve">(70 MHz) </w:t>
      </w:r>
      <w:r>
        <w:t>sávrész</w:t>
      </w:r>
      <w:r w:rsidRPr="007C2162">
        <w:t xml:space="preserve"> polgári</w:t>
      </w:r>
      <w:r w:rsidR="000778F8">
        <w:t xml:space="preserve"> célra</w:t>
      </w:r>
      <w:r w:rsidRPr="007C2162">
        <w:t xml:space="preserve">, </w:t>
      </w:r>
      <w:r>
        <w:t xml:space="preserve">a 2370-2400 MHz </w:t>
      </w:r>
      <w:r w:rsidR="0051650A">
        <w:t xml:space="preserve">(30 MHz) </w:t>
      </w:r>
      <w:r>
        <w:t xml:space="preserve">sávrész </w:t>
      </w:r>
      <w:r w:rsidR="0051650A">
        <w:t xml:space="preserve">pedig </w:t>
      </w:r>
      <w:r w:rsidRPr="007C2162">
        <w:t xml:space="preserve">nem polgári célra </w:t>
      </w:r>
      <w:r>
        <w:t>használható</w:t>
      </w:r>
      <w:r w:rsidR="00F25193">
        <w:t xml:space="preserve"> Magyarországon</w:t>
      </w:r>
      <w:r>
        <w:t>.</w:t>
      </w:r>
      <w:r w:rsidRPr="007C2162">
        <w:t xml:space="preserve"> A </w:t>
      </w:r>
      <w:r w:rsidRPr="00B31E4F">
        <w:t>polgári célra rendelkezésre álló 70 MHz</w:t>
      </w:r>
      <w:r w:rsidR="00434710">
        <w:t xml:space="preserve"> </w:t>
      </w:r>
      <w:r w:rsidR="00E01EDB">
        <w:t>mennyiségű spektrum</w:t>
      </w:r>
      <w:r w:rsidRPr="00FD7A25">
        <w:t xml:space="preserve"> TDD</w:t>
      </w:r>
      <w:r>
        <w:rPr>
          <w:rStyle w:val="Lbjegyzet-hivatkozs"/>
        </w:rPr>
        <w:footnoteReference w:id="3"/>
      </w:r>
      <w:r w:rsidRPr="00FD7A25">
        <w:t xml:space="preserve"> </w:t>
      </w:r>
      <w:proofErr w:type="spellStart"/>
      <w:r>
        <w:t>hozzáférésű</w:t>
      </w:r>
      <w:proofErr w:type="spellEnd"/>
      <w:r w:rsidRPr="00FD7A25">
        <w:t xml:space="preserve"> </w:t>
      </w:r>
      <w:r w:rsidRPr="00B31E4F">
        <w:t>földfelszíni elektronikus hírközlő hálózatok számára te</w:t>
      </w:r>
      <w:r w:rsidRPr="00FD7A25">
        <w:t>rvezett státuszú</w:t>
      </w:r>
      <w:r>
        <w:t>.</w:t>
      </w:r>
      <w:r w:rsidR="0051650A">
        <w:t xml:space="preserve"> A nem polgári cél</w:t>
      </w:r>
      <w:r w:rsidR="00CF1099">
        <w:t>ú sávrész</w:t>
      </w:r>
      <w:r w:rsidR="0051650A">
        <w:t xml:space="preserve"> </w:t>
      </w:r>
      <w:r w:rsidR="00CF1099" w:rsidRPr="00CF1099">
        <w:t xml:space="preserve">már kijelölt, hasonló TDD </w:t>
      </w:r>
      <w:proofErr w:type="spellStart"/>
      <w:r w:rsidR="00CF1099" w:rsidRPr="00CF1099">
        <w:t>hozzáférésű</w:t>
      </w:r>
      <w:proofErr w:type="spellEnd"/>
      <w:r w:rsidR="00CF1099" w:rsidRPr="00CF1099">
        <w:t xml:space="preserve"> rendszerek számára</w:t>
      </w:r>
      <w:r w:rsidR="00EB0F6A">
        <w:t>,</w:t>
      </w:r>
      <w:r w:rsidR="00CD6211">
        <w:t xml:space="preserve"> </w:t>
      </w:r>
      <w:r w:rsidR="00EB0F6A">
        <w:t>e</w:t>
      </w:r>
      <w:r w:rsidR="00CD6211">
        <w:t xml:space="preserve">mellett </w:t>
      </w:r>
      <w:r w:rsidR="00CD6211" w:rsidRPr="00CD6211">
        <w:t xml:space="preserve">katonai távmérő és távvezérlő, valamint katonai mozgó rendszerek </w:t>
      </w:r>
      <w:r w:rsidR="00CD6211">
        <w:t xml:space="preserve">is </w:t>
      </w:r>
      <w:r w:rsidR="00CD6211" w:rsidRPr="00CD6211">
        <w:t>üzemelhetnek még</w:t>
      </w:r>
      <w:r w:rsidR="00CD6211">
        <w:t xml:space="preserve"> ebben a sávrészben.</w:t>
      </w:r>
    </w:p>
    <w:p w14:paraId="6EDFA9DF" w14:textId="7DFD1E01" w:rsidR="0079672B" w:rsidRDefault="00A7108C" w:rsidP="0079672B">
      <w:pPr>
        <w:pStyle w:val="Behzottbekezdsnmhh"/>
      </w:pPr>
      <w:r w:rsidRPr="00CE1333">
        <w:rPr>
          <w:rFonts w:cs="Arial"/>
        </w:rPr>
        <w:t>A nemzetközi törekvésekkel összhangban, a mobil szélessávú szolgáltatások további fejlődéséhez szükséges rádióspektrum biztosítása és igény szerinti használatba adása</w:t>
      </w:r>
      <w:r w:rsidR="00F25193">
        <w:rPr>
          <w:rFonts w:cs="Arial"/>
        </w:rPr>
        <w:t>, valamint a rádióspektrum hatékony használatának biztosítása és az innovatív megoldások támogatása</w:t>
      </w:r>
      <w:r w:rsidRPr="00CE1333">
        <w:rPr>
          <w:rFonts w:cs="Arial"/>
        </w:rPr>
        <w:t xml:space="preserve"> az NMHH kiemelt stratégiai célterületei közé tartozik.</w:t>
      </w:r>
      <w:r>
        <w:rPr>
          <w:rFonts w:cs="Arial"/>
        </w:rPr>
        <w:t xml:space="preserve"> </w:t>
      </w:r>
      <w:r w:rsidR="00D74CD5" w:rsidRPr="002149E2">
        <w:t xml:space="preserve">A </w:t>
      </w:r>
      <w:r w:rsidR="00E034BF">
        <w:t xml:space="preserve">polgári felhasználású 2300-2370 MHz </w:t>
      </w:r>
      <w:r w:rsidR="00F25193">
        <w:t>frekvencia</w:t>
      </w:r>
      <w:r w:rsidR="00D74CD5" w:rsidRPr="002149E2">
        <w:t>sáv</w:t>
      </w:r>
      <w:r w:rsidR="00E034BF">
        <w:t xml:space="preserve"> </w:t>
      </w:r>
      <w:r w:rsidR="0065666F">
        <w:t>jövőbeni használ</w:t>
      </w:r>
      <w:r w:rsidR="00F25193">
        <w:t>at</w:t>
      </w:r>
      <w:r w:rsidR="0065666F">
        <w:t xml:space="preserve">ára vonatkozó </w:t>
      </w:r>
      <w:r w:rsidR="00E034BF">
        <w:t>szabályozás kialakítása</w:t>
      </w:r>
      <w:r w:rsidR="00F25193">
        <w:t>, hasznosításhoz szükséges döntések</w:t>
      </w:r>
      <w:r w:rsidR="00E034BF">
        <w:t xml:space="preserve"> szempontjából</w:t>
      </w:r>
      <w:r w:rsidR="006C6FB6">
        <w:t xml:space="preserve">, beleértve a használat részletes műszaki feltételeit és az elosztás módját is, </w:t>
      </w:r>
      <w:r w:rsidR="00E034BF">
        <w:t xml:space="preserve">fontos </w:t>
      </w:r>
      <w:r w:rsidR="00D74CD5" w:rsidRPr="002149E2">
        <w:t xml:space="preserve">az MFCN iránti </w:t>
      </w:r>
      <w:r w:rsidR="00946ED5">
        <w:t>i</w:t>
      </w:r>
      <w:r w:rsidR="00D74CD5" w:rsidRPr="002149E2">
        <w:t>gények</w:t>
      </w:r>
      <w:r w:rsidR="00F25193">
        <w:t>, elképzelések</w:t>
      </w:r>
      <w:r w:rsidR="00D74CD5" w:rsidRPr="002149E2">
        <w:t xml:space="preserve"> </w:t>
      </w:r>
      <w:r w:rsidR="003E33ED">
        <w:t>megismerése</w:t>
      </w:r>
      <w:r w:rsidR="00E034BF">
        <w:t>.</w:t>
      </w:r>
      <w:r w:rsidR="00563890">
        <w:t xml:space="preserve"> </w:t>
      </w:r>
      <w:r w:rsidR="004011EB" w:rsidRPr="004011EB">
        <w:t xml:space="preserve">Korábbi alkalommal tartott nyilvános meghallgatáson (legutóbb </w:t>
      </w:r>
      <w:proofErr w:type="gramStart"/>
      <w:r w:rsidR="004011EB" w:rsidRPr="004011EB">
        <w:t>2019. decemberében</w:t>
      </w:r>
      <w:proofErr w:type="gramEnd"/>
      <w:r w:rsidR="004011EB" w:rsidRPr="004011EB">
        <w:t>) már szerepelt a 2300 MHz-es frekvenciasáv hasznosításának kérdése, de megalapozott piaci igény akkor nem jelentkezett</w:t>
      </w:r>
      <w:r w:rsidR="004011EB">
        <w:t>.</w:t>
      </w:r>
      <w:r w:rsidR="004011EB" w:rsidRPr="004011EB">
        <w:t xml:space="preserve"> </w:t>
      </w:r>
      <w:r w:rsidR="00563890">
        <w:t>Ország</w:t>
      </w:r>
      <w:r w:rsidR="00BF79EF">
        <w:t>os rendszer kiépítése is lehetséges a sávban. Erre tekintettel az NMHH vizsgálja a verseny</w:t>
      </w:r>
      <w:r w:rsidR="00233018">
        <w:t>e</w:t>
      </w:r>
      <w:r w:rsidR="00BF79EF">
        <w:t>z</w:t>
      </w:r>
      <w:r w:rsidR="00233018">
        <w:t>t</w:t>
      </w:r>
      <w:r w:rsidR="00BF79EF">
        <w:t>etési eljárás</w:t>
      </w:r>
      <w:r w:rsidR="00233018">
        <w:t>t</w:t>
      </w:r>
      <w:r w:rsidR="00BF79EF">
        <w:t xml:space="preserve">, mint </w:t>
      </w:r>
      <w:r w:rsidR="00233018">
        <w:t>lehet</w:t>
      </w:r>
      <w:r w:rsidR="00BF79EF">
        <w:t>s</w:t>
      </w:r>
      <w:r w:rsidR="00233018">
        <w:t>é</w:t>
      </w:r>
      <w:r w:rsidR="00BF79EF">
        <w:t>ge</w:t>
      </w:r>
      <w:r w:rsidR="00233018">
        <w:t>s</w:t>
      </w:r>
      <w:r w:rsidR="00BF79EF">
        <w:t xml:space="preserve"> elosztási mód</w:t>
      </w:r>
      <w:r w:rsidR="00233018">
        <w:t>ot, legalább a frekvenciasáv egy részében.</w:t>
      </w:r>
    </w:p>
    <w:p w14:paraId="1584C02F" w14:textId="77777777" w:rsidR="0055102E" w:rsidRPr="008D3E07" w:rsidRDefault="0055102E">
      <w:pPr>
        <w:spacing w:after="200"/>
        <w:jc w:val="left"/>
        <w:rPr>
          <w:sz w:val="20"/>
          <w:szCs w:val="20"/>
        </w:rPr>
      </w:pPr>
      <w:r w:rsidRPr="00ED370A">
        <w:rPr>
          <w:sz w:val="20"/>
          <w:szCs w:val="20"/>
        </w:rPr>
        <w:br w:type="page"/>
      </w:r>
    </w:p>
    <w:p w14:paraId="20CD7B68" w14:textId="77777777" w:rsidR="001F2707" w:rsidRPr="00D86540" w:rsidRDefault="005D09CC" w:rsidP="002246C2">
      <w:pPr>
        <w:pStyle w:val="Cmsor1szmozottnmhh"/>
        <w:ind w:left="431"/>
      </w:pPr>
      <w:bookmarkStart w:id="3" w:name="_Toc96075701"/>
      <w:r w:rsidRPr="00D86540">
        <w:lastRenderedPageBreak/>
        <w:t>Bevezetés</w:t>
      </w:r>
      <w:bookmarkEnd w:id="3"/>
    </w:p>
    <w:p w14:paraId="0603FE54" w14:textId="4B216BAF" w:rsidR="00C7538E" w:rsidRDefault="00F001D2" w:rsidP="002A10E8">
      <w:pPr>
        <w:pStyle w:val="Behzottbekezdsnmhh"/>
      </w:pPr>
      <w:r w:rsidRPr="005E0B0A">
        <w:t xml:space="preserve">A </w:t>
      </w:r>
      <w:r w:rsidR="002106B3">
        <w:t>2300-2400 MHz frekvencia</w:t>
      </w:r>
      <w:r w:rsidRPr="005E0B0A">
        <w:t xml:space="preserve">sáv </w:t>
      </w:r>
      <w:r w:rsidR="002106B3">
        <w:t>M</w:t>
      </w:r>
      <w:r w:rsidRPr="005E0B0A">
        <w:t>agyar</w:t>
      </w:r>
      <w:r w:rsidR="002106B3">
        <w:t>országon</w:t>
      </w:r>
      <w:r w:rsidRPr="005E0B0A">
        <w:t xml:space="preserve"> 2300 </w:t>
      </w:r>
      <w:proofErr w:type="spellStart"/>
      <w:r w:rsidRPr="005E0B0A">
        <w:t>MHz-től</w:t>
      </w:r>
      <w:proofErr w:type="spellEnd"/>
      <w:r w:rsidRPr="005E0B0A">
        <w:t xml:space="preserve"> 2370 </w:t>
      </w:r>
      <w:proofErr w:type="spellStart"/>
      <w:r w:rsidRPr="005E0B0A">
        <w:t>MHz-ig</w:t>
      </w:r>
      <w:proofErr w:type="spellEnd"/>
      <w:r w:rsidRPr="005E0B0A">
        <w:t xml:space="preserve"> polgári, fölötte 2400 </w:t>
      </w:r>
      <w:proofErr w:type="spellStart"/>
      <w:r w:rsidRPr="005E0B0A">
        <w:t>MHz-ig</w:t>
      </w:r>
      <w:proofErr w:type="spellEnd"/>
      <w:r w:rsidRPr="005E0B0A">
        <w:t xml:space="preserve"> nem polgári célra felosztott.</w:t>
      </w:r>
    </w:p>
    <w:p w14:paraId="6240A32C" w14:textId="0435704B" w:rsidR="00C7538E" w:rsidRDefault="00F001D2" w:rsidP="007A51DE">
      <w:pPr>
        <w:pStyle w:val="Behzottbekezdsnmhh"/>
      </w:pPr>
      <w:r w:rsidRPr="005E0B0A">
        <w:t xml:space="preserve">A polgári célra rendelkezésre álló 70 MHz sávrész földfelszíni elektronikus hírközlő hálózatok </w:t>
      </w:r>
      <w:r w:rsidR="002106B3" w:rsidRPr="005E0B0A">
        <w:t>állandóhelyű és mozgószolgálati</w:t>
      </w:r>
      <w:r w:rsidR="002106B3">
        <w:t xml:space="preserve"> rendszerei </w:t>
      </w:r>
      <w:r w:rsidR="003879C9">
        <w:t xml:space="preserve">(MFCN) </w:t>
      </w:r>
      <w:r w:rsidRPr="005E0B0A">
        <w:t>számára tervezett státuszú</w:t>
      </w:r>
      <w:r w:rsidR="004011EB">
        <w:t xml:space="preserve"> a </w:t>
      </w:r>
      <w:r w:rsidR="004011EB" w:rsidRPr="004011EB">
        <w:t xml:space="preserve">nemzeti frekvenciafelosztásról, valamint a frekvenciasávok felhasználási szabályairól szóló 7/2015. (XI. 13.) NMHH rendelet (továbbiakban: </w:t>
      </w:r>
      <w:r w:rsidR="004011EB">
        <w:t>NFFF) alapján</w:t>
      </w:r>
      <w:r w:rsidRPr="005E0B0A">
        <w:t>.</w:t>
      </w:r>
      <w:r w:rsidR="00743B67">
        <w:t xml:space="preserve"> </w:t>
      </w:r>
      <w:r w:rsidR="00B10A93" w:rsidRPr="00D86540">
        <w:t xml:space="preserve">A sáv </w:t>
      </w:r>
      <w:r>
        <w:t xml:space="preserve">polgári része </w:t>
      </w:r>
      <w:r w:rsidRPr="00F001D2">
        <w:t>amatőrrádiózási és kis hatótávolságú rádiómeghatározó alkalmazások számára kijelölt</w:t>
      </w:r>
      <w:r w:rsidR="002106B3">
        <w:t>.</w:t>
      </w:r>
      <w:r w:rsidR="00EE1679">
        <w:t xml:space="preserve"> </w:t>
      </w:r>
      <w:r w:rsidR="002106B3">
        <w:t>A</w:t>
      </w:r>
      <w:r w:rsidR="00386FFD">
        <w:t xml:space="preserve"> rövid idejű engedélyeken alapuló</w:t>
      </w:r>
      <w:r w:rsidR="00EE1679">
        <w:t xml:space="preserve"> alkalmi felhasználás a jellemző</w:t>
      </w:r>
      <w:r>
        <w:t>.</w:t>
      </w:r>
    </w:p>
    <w:p w14:paraId="64C0B3D6" w14:textId="22A0C091" w:rsidR="005A42B2" w:rsidRDefault="00386FFD" w:rsidP="007A51DE">
      <w:pPr>
        <w:pStyle w:val="Behzottbekezdsnmhh"/>
      </w:pPr>
      <w:r>
        <w:t xml:space="preserve">A nem polgári célú használatra </w:t>
      </w:r>
      <w:r w:rsidR="004011EB">
        <w:t xml:space="preserve">NFFF alapján </w:t>
      </w:r>
      <w:r>
        <w:t xml:space="preserve">kijelölt sávrészben </w:t>
      </w:r>
      <w:r w:rsidR="00EE153A">
        <w:t>hosszabb távra</w:t>
      </w:r>
      <w:r>
        <w:t xml:space="preserve"> </w:t>
      </w:r>
      <w:r w:rsidR="0088177F">
        <w:t xml:space="preserve">kiadott </w:t>
      </w:r>
      <w:r>
        <w:t>rádióengedélyek</w:t>
      </w:r>
      <w:r w:rsidR="003C516B">
        <w:t xml:space="preserve"> jellemzők</w:t>
      </w:r>
      <w:r w:rsidR="00133F71">
        <w:t xml:space="preserve"> és a</w:t>
      </w:r>
      <w:r w:rsidR="00C7538E">
        <w:t xml:space="preserve"> frekvenciasáv</w:t>
      </w:r>
      <w:r w:rsidR="00CC5EDA">
        <w:t>-</w:t>
      </w:r>
      <w:r w:rsidR="00C7538E">
        <w:t xml:space="preserve">használat </w:t>
      </w:r>
      <w:r w:rsidR="00133F71">
        <w:t>intenzitás</w:t>
      </w:r>
      <w:r w:rsidR="004011EB">
        <w:t>ának</w:t>
      </w:r>
      <w:r w:rsidR="00CE1BBB">
        <w:t xml:space="preserve"> növeked</w:t>
      </w:r>
      <w:r w:rsidR="004011EB">
        <w:t xml:space="preserve">ése </w:t>
      </w:r>
      <w:r w:rsidR="00AE1D3D">
        <w:t xml:space="preserve">már megkezdődött, ennek további növekedése </w:t>
      </w:r>
      <w:r w:rsidR="004011EB">
        <w:t>prognosztizál</w:t>
      </w:r>
      <w:r w:rsidR="00CC5EDA">
        <w:t>ható</w:t>
      </w:r>
      <w:r>
        <w:t>.</w:t>
      </w:r>
    </w:p>
    <w:p w14:paraId="4FC00550" w14:textId="7BBE0E2C" w:rsidR="0031066C" w:rsidRDefault="00F001D2" w:rsidP="007A51DE">
      <w:pPr>
        <w:pStyle w:val="Behzottbekezdsnmhh"/>
      </w:pPr>
      <w:r>
        <w:t xml:space="preserve">A </w:t>
      </w:r>
      <w:r w:rsidR="00E03E18">
        <w:t>polgári sávrészben</w:t>
      </w:r>
      <w:r w:rsidR="000819D4">
        <w:t xml:space="preserve"> eddig</w:t>
      </w:r>
      <w:r w:rsidR="00B10A93" w:rsidRPr="00D86540">
        <w:t xml:space="preserve"> video-</w:t>
      </w:r>
      <w:r w:rsidR="00B10A93" w:rsidRPr="00FF1DBA">
        <w:t>PMSE</w:t>
      </w:r>
      <w:r w:rsidR="00FF1DBA" w:rsidRPr="00FF1DBA">
        <w:rPr>
          <w:rStyle w:val="Lbjegyzet-hivatkozs"/>
        </w:rPr>
        <w:footnoteReference w:id="4"/>
      </w:r>
      <w:r w:rsidR="00B10A93" w:rsidRPr="00FF1DBA">
        <w:t xml:space="preserve"> </w:t>
      </w:r>
      <w:r w:rsidR="00C7330F" w:rsidRPr="00FF1DBA">
        <w:t>cél</w:t>
      </w:r>
      <w:r w:rsidR="00C7330F">
        <w:t>ú</w:t>
      </w:r>
      <w:r w:rsidR="00C7330F" w:rsidRPr="00D86540">
        <w:t xml:space="preserve"> </w:t>
      </w:r>
      <w:r w:rsidR="00B10A93" w:rsidRPr="00D86540">
        <w:t>használat</w:t>
      </w:r>
      <w:r w:rsidR="00E03E18">
        <w:t xml:space="preserve"> </w:t>
      </w:r>
      <w:r w:rsidR="000819D4">
        <w:t xml:space="preserve">volt </w:t>
      </w:r>
      <w:r w:rsidR="00A8001C">
        <w:t>jellemző</w:t>
      </w:r>
      <w:r w:rsidR="003879C9">
        <w:t>, melyet</w:t>
      </w:r>
      <w:r w:rsidR="00B10A93" w:rsidRPr="00D86540">
        <w:t xml:space="preserve"> az EU</w:t>
      </w:r>
      <w:r w:rsidR="00F26BF1">
        <w:t xml:space="preserve"> </w:t>
      </w:r>
      <w:r w:rsidR="003879C9">
        <w:t xml:space="preserve">kiemelten </w:t>
      </w:r>
      <w:r w:rsidR="00B10A93" w:rsidRPr="00D86540">
        <w:t>fontos alkalmazásnak tekint</w:t>
      </w:r>
      <w:r w:rsidR="00E03E18">
        <w:t>.</w:t>
      </w:r>
      <w:r w:rsidR="00114877">
        <w:t xml:space="preserve"> </w:t>
      </w:r>
      <w:r w:rsidR="00E03E18">
        <w:t>A</w:t>
      </w:r>
      <w:r w:rsidR="00114877">
        <w:t xml:space="preserve">z </w:t>
      </w:r>
      <w:r w:rsidR="001C1AF2">
        <w:t>RSPP</w:t>
      </w:r>
      <w:r w:rsidR="0088177F">
        <w:rPr>
          <w:rStyle w:val="Lbjegyzet-hivatkozs"/>
        </w:rPr>
        <w:footnoteReference w:id="5"/>
      </w:r>
      <w:r w:rsidR="0088177F">
        <w:t>-</w:t>
      </w:r>
      <w:proofErr w:type="spellStart"/>
      <w:r w:rsidR="0088177F">
        <w:t>ben</w:t>
      </w:r>
      <w:proofErr w:type="spellEnd"/>
      <w:r w:rsidR="00E03E18">
        <w:t xml:space="preserve"> általános célként került megfogalmazásra, hogy a PMSE részére biztosítani kell a szükséges frekvenciákat</w:t>
      </w:r>
      <w:r w:rsidR="00B10A93" w:rsidRPr="00D86540">
        <w:t xml:space="preserve">. </w:t>
      </w:r>
      <w:r w:rsidR="00E03E18">
        <w:t>PMSE célokra szükséges harmonizált szabály alkotására a RSPP megalkotása óta kétszer is sor került</w:t>
      </w:r>
      <w:r w:rsidR="00E03E18">
        <w:rPr>
          <w:rStyle w:val="Lbjegyzet-hivatkozs"/>
        </w:rPr>
        <w:footnoteReference w:id="6"/>
      </w:r>
      <w:r w:rsidR="00E03E18">
        <w:t>. Az RSPG</w:t>
      </w:r>
      <w:r w:rsidR="002942C9">
        <w:rPr>
          <w:rStyle w:val="Lbjegyzet-hivatkozs"/>
        </w:rPr>
        <w:footnoteReference w:id="7"/>
      </w:r>
      <w:r w:rsidR="00E03E18">
        <w:t xml:space="preserve"> hosszú </w:t>
      </w:r>
      <w:r w:rsidR="00E03E18" w:rsidRPr="00FF1DBA">
        <w:t xml:space="preserve">távú </w:t>
      </w:r>
      <w:r w:rsidR="003C73FA" w:rsidRPr="00FF1DBA">
        <w:t xml:space="preserve">PMSE </w:t>
      </w:r>
      <w:r w:rsidR="00E03E18" w:rsidRPr="001F07EA">
        <w:t>stratégia a</w:t>
      </w:r>
      <w:r w:rsidR="00E03E18" w:rsidRPr="007E4E9F">
        <w:t>lkotását tűzte ki célul</w:t>
      </w:r>
      <w:r w:rsidR="0031066C">
        <w:t>, és az erről alkotott, 2017 novemberében elfogadott átfogó szakvéleményében megállapította, hogy a video PMSE számára további sáv</w:t>
      </w:r>
      <w:r w:rsidR="00386FFD">
        <w:t>ok</w:t>
      </w:r>
      <w:r w:rsidR="0031066C">
        <w:t xml:space="preserve"> harmonizáció</w:t>
      </w:r>
      <w:r w:rsidR="00386FFD">
        <w:t>já</w:t>
      </w:r>
      <w:r w:rsidR="0031066C">
        <w:t xml:space="preserve">ra egyelőre nincs szükség, az igényeket tagállami szinten </w:t>
      </w:r>
      <w:r w:rsidR="00386FFD">
        <w:t>szükséges</w:t>
      </w:r>
      <w:r w:rsidR="0031066C">
        <w:t xml:space="preserve"> kezelni.</w:t>
      </w:r>
    </w:p>
    <w:p w14:paraId="1498AF79" w14:textId="3B971193" w:rsidR="00227955" w:rsidRDefault="001A2F59" w:rsidP="006D56B2">
      <w:pPr>
        <w:autoSpaceDE w:val="0"/>
        <w:autoSpaceDN w:val="0"/>
        <w:adjustRightInd w:val="0"/>
        <w:ind w:firstLine="357"/>
        <w:rPr>
          <w:sz w:val="20"/>
          <w:szCs w:val="20"/>
        </w:rPr>
      </w:pPr>
      <w:r w:rsidRPr="005164F3">
        <w:rPr>
          <w:sz w:val="20"/>
          <w:szCs w:val="20"/>
        </w:rPr>
        <w:t>A</w:t>
      </w:r>
      <w:r w:rsidR="002F6B2E">
        <w:rPr>
          <w:sz w:val="20"/>
          <w:szCs w:val="20"/>
        </w:rPr>
        <w:t xml:space="preserve"> sáv</w:t>
      </w:r>
      <w:r w:rsidR="00912763">
        <w:rPr>
          <w:sz w:val="20"/>
          <w:szCs w:val="20"/>
        </w:rPr>
        <w:t>használat</w:t>
      </w:r>
      <w:r w:rsidR="002F6B2E">
        <w:rPr>
          <w:sz w:val="20"/>
          <w:szCs w:val="20"/>
        </w:rPr>
        <w:t xml:space="preserve"> </w:t>
      </w:r>
      <w:r w:rsidR="00945A45">
        <w:rPr>
          <w:sz w:val="20"/>
          <w:szCs w:val="20"/>
        </w:rPr>
        <w:t xml:space="preserve">harmonizált feltételeinek kidolgozása érdekében </w:t>
      </w:r>
      <w:r w:rsidR="00A66270">
        <w:rPr>
          <w:sz w:val="20"/>
          <w:szCs w:val="20"/>
        </w:rPr>
        <w:t xml:space="preserve">az </w:t>
      </w:r>
      <w:r w:rsidR="00A66270" w:rsidRPr="005164F3">
        <w:rPr>
          <w:sz w:val="20"/>
          <w:szCs w:val="20"/>
        </w:rPr>
        <w:t xml:space="preserve">EU </w:t>
      </w:r>
      <w:r w:rsidR="00A66270">
        <w:rPr>
          <w:sz w:val="20"/>
          <w:szCs w:val="20"/>
        </w:rPr>
        <w:t xml:space="preserve">még </w:t>
      </w:r>
      <w:r w:rsidR="00945A45">
        <w:rPr>
          <w:sz w:val="20"/>
          <w:szCs w:val="20"/>
        </w:rPr>
        <w:t xml:space="preserve">2014 márciusában adott </w:t>
      </w:r>
      <w:r w:rsidR="00943FC7">
        <w:rPr>
          <w:sz w:val="20"/>
          <w:szCs w:val="20"/>
        </w:rPr>
        <w:t>megbízást</w:t>
      </w:r>
      <w:r w:rsidR="00C05447">
        <w:rPr>
          <w:rStyle w:val="Lbjegyzet-hivatkozs"/>
          <w:sz w:val="20"/>
          <w:szCs w:val="20"/>
        </w:rPr>
        <w:footnoteReference w:id="8"/>
      </w:r>
      <w:r w:rsidR="00943FC7">
        <w:rPr>
          <w:sz w:val="20"/>
          <w:szCs w:val="20"/>
        </w:rPr>
        <w:t xml:space="preserve"> </w:t>
      </w:r>
      <w:r w:rsidRPr="005164F3">
        <w:rPr>
          <w:sz w:val="20"/>
          <w:szCs w:val="20"/>
        </w:rPr>
        <w:t>a</w:t>
      </w:r>
      <w:r w:rsidR="00216546" w:rsidRPr="005164F3">
        <w:rPr>
          <w:sz w:val="20"/>
          <w:szCs w:val="20"/>
        </w:rPr>
        <w:t xml:space="preserve"> </w:t>
      </w:r>
      <w:r w:rsidRPr="005164F3">
        <w:rPr>
          <w:sz w:val="20"/>
          <w:szCs w:val="20"/>
        </w:rPr>
        <w:t>CEPT</w:t>
      </w:r>
      <w:r w:rsidR="00734868">
        <w:rPr>
          <w:sz w:val="20"/>
          <w:szCs w:val="20"/>
        </w:rPr>
        <w:t>-</w:t>
      </w:r>
      <w:proofErr w:type="spellStart"/>
      <w:r w:rsidR="00734868">
        <w:rPr>
          <w:sz w:val="20"/>
          <w:szCs w:val="20"/>
        </w:rPr>
        <w:t>nek</w:t>
      </w:r>
      <w:proofErr w:type="spellEnd"/>
      <w:r w:rsidRPr="005164F3">
        <w:rPr>
          <w:sz w:val="20"/>
          <w:szCs w:val="20"/>
        </w:rPr>
        <w:t xml:space="preserve">. Az elkészült </w:t>
      </w:r>
      <w:r w:rsidR="00943FC7">
        <w:rPr>
          <w:sz w:val="20"/>
          <w:szCs w:val="20"/>
        </w:rPr>
        <w:t>jelentések</w:t>
      </w:r>
      <w:r w:rsidR="00943FC7" w:rsidRPr="005164F3">
        <w:rPr>
          <w:sz w:val="20"/>
          <w:szCs w:val="20"/>
        </w:rPr>
        <w:t xml:space="preserve"> </w:t>
      </w:r>
      <w:r w:rsidRPr="005164F3">
        <w:rPr>
          <w:sz w:val="20"/>
          <w:szCs w:val="20"/>
        </w:rPr>
        <w:t>alapján a sáv</w:t>
      </w:r>
      <w:r w:rsidR="001C1AF2">
        <w:rPr>
          <w:sz w:val="20"/>
          <w:szCs w:val="20"/>
        </w:rPr>
        <w:t>ba</w:t>
      </w:r>
      <w:r w:rsidRPr="005164F3">
        <w:rPr>
          <w:sz w:val="20"/>
          <w:szCs w:val="20"/>
        </w:rPr>
        <w:t>n történő</w:t>
      </w:r>
      <w:r w:rsidR="001C1AF2">
        <w:rPr>
          <w:sz w:val="20"/>
          <w:szCs w:val="20"/>
        </w:rPr>
        <w:t>,</w:t>
      </w:r>
      <w:r w:rsidRPr="005164F3">
        <w:rPr>
          <w:sz w:val="20"/>
          <w:szCs w:val="20"/>
        </w:rPr>
        <w:t xml:space="preserve"> </w:t>
      </w:r>
      <w:r w:rsidR="00B606FA" w:rsidRPr="005164F3">
        <w:rPr>
          <w:sz w:val="20"/>
          <w:szCs w:val="20"/>
        </w:rPr>
        <w:t>rádió</w:t>
      </w:r>
      <w:r w:rsidRPr="005164F3">
        <w:rPr>
          <w:sz w:val="20"/>
          <w:szCs w:val="20"/>
        </w:rPr>
        <w:t xml:space="preserve">szolgálatok közti </w:t>
      </w:r>
      <w:r w:rsidR="00943FC7">
        <w:rPr>
          <w:sz w:val="20"/>
          <w:szCs w:val="20"/>
        </w:rPr>
        <w:t>megosztott használat</w:t>
      </w:r>
      <w:r w:rsidR="00943FC7" w:rsidRPr="005164F3">
        <w:rPr>
          <w:sz w:val="20"/>
          <w:szCs w:val="20"/>
        </w:rPr>
        <w:t xml:space="preserve"> </w:t>
      </w:r>
      <w:r w:rsidRPr="005164F3">
        <w:rPr>
          <w:sz w:val="20"/>
          <w:szCs w:val="20"/>
        </w:rPr>
        <w:t xml:space="preserve">kivitelezhető, de a </w:t>
      </w:r>
      <w:r w:rsidR="0038378B">
        <w:rPr>
          <w:sz w:val="20"/>
          <w:szCs w:val="20"/>
        </w:rPr>
        <w:t>tagállamok</w:t>
      </w:r>
      <w:r w:rsidR="00943FC7">
        <w:rPr>
          <w:sz w:val="20"/>
          <w:szCs w:val="20"/>
        </w:rPr>
        <w:t xml:space="preserve"> jelentősen eltérően használják a frekvenciasávot, </w:t>
      </w:r>
      <w:r w:rsidR="00A01F74">
        <w:rPr>
          <w:sz w:val="20"/>
          <w:szCs w:val="20"/>
        </w:rPr>
        <w:t xml:space="preserve">ezért </w:t>
      </w:r>
      <w:r w:rsidR="003879C9">
        <w:rPr>
          <w:sz w:val="20"/>
          <w:szCs w:val="20"/>
        </w:rPr>
        <w:t xml:space="preserve">a </w:t>
      </w:r>
      <w:r w:rsidR="00943FC7">
        <w:rPr>
          <w:sz w:val="20"/>
          <w:szCs w:val="20"/>
        </w:rPr>
        <w:t xml:space="preserve">harmonizációs folyamat még </w:t>
      </w:r>
      <w:r w:rsidR="00A66270">
        <w:rPr>
          <w:sz w:val="20"/>
          <w:szCs w:val="20"/>
        </w:rPr>
        <w:t>bizottsági eljárási (</w:t>
      </w:r>
      <w:proofErr w:type="spellStart"/>
      <w:r w:rsidR="00943FC7">
        <w:rPr>
          <w:sz w:val="20"/>
          <w:szCs w:val="20"/>
        </w:rPr>
        <w:t>komitológiai</w:t>
      </w:r>
      <w:proofErr w:type="spellEnd"/>
      <w:r w:rsidR="00A66270">
        <w:rPr>
          <w:sz w:val="20"/>
          <w:szCs w:val="20"/>
        </w:rPr>
        <w:t>)</w:t>
      </w:r>
      <w:r w:rsidR="00943FC7">
        <w:rPr>
          <w:sz w:val="20"/>
          <w:szCs w:val="20"/>
        </w:rPr>
        <w:t xml:space="preserve"> szinten leállításra került. A meglevő</w:t>
      </w:r>
      <w:r w:rsidRPr="005164F3">
        <w:rPr>
          <w:sz w:val="20"/>
          <w:szCs w:val="20"/>
        </w:rPr>
        <w:t xml:space="preserve"> CEPT </w:t>
      </w:r>
      <w:r w:rsidR="00943FC7">
        <w:rPr>
          <w:sz w:val="20"/>
          <w:szCs w:val="20"/>
        </w:rPr>
        <w:t>szabályozás és</w:t>
      </w:r>
      <w:r w:rsidRPr="005164F3">
        <w:rPr>
          <w:sz w:val="20"/>
          <w:szCs w:val="20"/>
        </w:rPr>
        <w:t xml:space="preserve"> </w:t>
      </w:r>
      <w:r w:rsidR="00416809">
        <w:rPr>
          <w:sz w:val="20"/>
          <w:szCs w:val="20"/>
        </w:rPr>
        <w:t xml:space="preserve">a </w:t>
      </w:r>
      <w:r w:rsidRPr="005164F3">
        <w:rPr>
          <w:sz w:val="20"/>
          <w:szCs w:val="20"/>
        </w:rPr>
        <w:t>releváns ETSI szabványok</w:t>
      </w:r>
      <w:r w:rsidR="00943FC7">
        <w:rPr>
          <w:sz w:val="20"/>
          <w:szCs w:val="20"/>
        </w:rPr>
        <w:t xml:space="preserve"> elvi szinten lehetővé teszik mind az MFCN, mind a PMSE használatát</w:t>
      </w:r>
      <w:r w:rsidRPr="005164F3">
        <w:rPr>
          <w:sz w:val="20"/>
          <w:szCs w:val="20"/>
        </w:rPr>
        <w:t>, és mostanra már különböző pilot projektek teszt eredményei is rendelkezésre állnak</w:t>
      </w:r>
      <w:r w:rsidR="00AB25E1" w:rsidRPr="005164F3">
        <w:rPr>
          <w:sz w:val="20"/>
          <w:szCs w:val="20"/>
        </w:rPr>
        <w:t xml:space="preserve">, amelyek mind </w:t>
      </w:r>
      <w:r w:rsidR="00E151B4" w:rsidRPr="005164F3">
        <w:rPr>
          <w:sz w:val="20"/>
          <w:szCs w:val="20"/>
        </w:rPr>
        <w:t>jó eredmén</w:t>
      </w:r>
      <w:r w:rsidR="00AB25E1" w:rsidRPr="005164F3">
        <w:rPr>
          <w:sz w:val="20"/>
          <w:szCs w:val="20"/>
        </w:rPr>
        <w:t>ye</w:t>
      </w:r>
      <w:r w:rsidR="00E151B4" w:rsidRPr="005164F3">
        <w:rPr>
          <w:sz w:val="20"/>
          <w:szCs w:val="20"/>
        </w:rPr>
        <w:t>kke</w:t>
      </w:r>
      <w:r w:rsidR="00AB25E1" w:rsidRPr="005164F3">
        <w:rPr>
          <w:sz w:val="20"/>
          <w:szCs w:val="20"/>
        </w:rPr>
        <w:t>l</w:t>
      </w:r>
      <w:r w:rsidR="00E151B4" w:rsidRPr="005164F3">
        <w:rPr>
          <w:sz w:val="20"/>
          <w:szCs w:val="20"/>
        </w:rPr>
        <w:t xml:space="preserve"> és könnyű bevezethetőséggel kecsegtetnek</w:t>
      </w:r>
      <w:r w:rsidR="000F739D">
        <w:rPr>
          <w:sz w:val="20"/>
          <w:szCs w:val="20"/>
        </w:rPr>
        <w:t>.</w:t>
      </w:r>
      <w:r w:rsidR="00946D6C">
        <w:rPr>
          <w:sz w:val="20"/>
          <w:szCs w:val="20"/>
        </w:rPr>
        <w:t xml:space="preserve"> </w:t>
      </w:r>
      <w:r w:rsidR="004011EB">
        <w:rPr>
          <w:sz w:val="20"/>
          <w:szCs w:val="20"/>
        </w:rPr>
        <w:t>A CEPT-</w:t>
      </w:r>
      <w:proofErr w:type="spellStart"/>
      <w:r w:rsidR="004011EB">
        <w:rPr>
          <w:sz w:val="20"/>
          <w:szCs w:val="20"/>
        </w:rPr>
        <w:t>ben</w:t>
      </w:r>
      <w:proofErr w:type="spellEnd"/>
      <w:r w:rsidR="004011EB">
        <w:rPr>
          <w:sz w:val="20"/>
          <w:szCs w:val="20"/>
        </w:rPr>
        <w:t xml:space="preserve"> </w:t>
      </w:r>
      <w:r w:rsidR="00946D6C">
        <w:rPr>
          <w:sz w:val="20"/>
          <w:szCs w:val="20"/>
        </w:rPr>
        <w:t>202</w:t>
      </w:r>
      <w:r w:rsidR="00416809">
        <w:rPr>
          <w:sz w:val="20"/>
          <w:szCs w:val="20"/>
        </w:rPr>
        <w:t>0</w:t>
      </w:r>
      <w:r w:rsidR="00946D6C">
        <w:rPr>
          <w:sz w:val="20"/>
          <w:szCs w:val="20"/>
        </w:rPr>
        <w:t xml:space="preserve"> tavaszán pedig elkezdődött a sávhasználat harmonizált feltételeit tartalmazó </w:t>
      </w:r>
      <w:r w:rsidR="00416809">
        <w:rPr>
          <w:sz w:val="20"/>
          <w:szCs w:val="20"/>
        </w:rPr>
        <w:t>ECC</w:t>
      </w:r>
      <w:r w:rsidR="00416809">
        <w:rPr>
          <w:rStyle w:val="Lbjegyzet-hivatkozs"/>
          <w:sz w:val="20"/>
          <w:szCs w:val="20"/>
        </w:rPr>
        <w:footnoteReference w:id="9"/>
      </w:r>
      <w:r w:rsidR="00416809">
        <w:rPr>
          <w:sz w:val="20"/>
          <w:szCs w:val="20"/>
        </w:rPr>
        <w:t>/DEC/</w:t>
      </w:r>
      <w:r w:rsidR="00946D6C">
        <w:rPr>
          <w:sz w:val="20"/>
          <w:szCs w:val="20"/>
        </w:rPr>
        <w:t>(14</w:t>
      </w:r>
      <w:proofErr w:type="gramStart"/>
      <w:r w:rsidR="00946D6C">
        <w:rPr>
          <w:sz w:val="20"/>
          <w:szCs w:val="20"/>
        </w:rPr>
        <w:t>)02</w:t>
      </w:r>
      <w:proofErr w:type="gramEnd"/>
      <w:r w:rsidR="00946D6C">
        <w:rPr>
          <w:sz w:val="20"/>
          <w:szCs w:val="20"/>
        </w:rPr>
        <w:t xml:space="preserve"> </w:t>
      </w:r>
      <w:r w:rsidR="00416809">
        <w:rPr>
          <w:sz w:val="20"/>
          <w:szCs w:val="20"/>
        </w:rPr>
        <w:t>H</w:t>
      </w:r>
      <w:r w:rsidR="00946D6C">
        <w:rPr>
          <w:sz w:val="20"/>
          <w:szCs w:val="20"/>
        </w:rPr>
        <w:t xml:space="preserve">atározat felülvizsgálata annak érdekében, hogy </w:t>
      </w:r>
      <w:r w:rsidR="00EF641E">
        <w:rPr>
          <w:sz w:val="20"/>
          <w:szCs w:val="20"/>
        </w:rPr>
        <w:t>meghatározza</w:t>
      </w:r>
      <w:r w:rsidR="00946D6C">
        <w:rPr>
          <w:sz w:val="20"/>
          <w:szCs w:val="20"/>
        </w:rPr>
        <w:t xml:space="preserve"> </w:t>
      </w:r>
      <w:r w:rsidR="00946D6C" w:rsidRPr="00946D6C">
        <w:rPr>
          <w:sz w:val="20"/>
          <w:szCs w:val="20"/>
        </w:rPr>
        <w:t xml:space="preserve">az </w:t>
      </w:r>
      <w:r w:rsidR="00EF641E">
        <w:rPr>
          <w:sz w:val="20"/>
          <w:szCs w:val="20"/>
        </w:rPr>
        <w:t>újgenerációs mobil rendszerek (</w:t>
      </w:r>
      <w:r w:rsidR="00C05447" w:rsidRPr="00E83972">
        <w:t>5G NR</w:t>
      </w:r>
      <w:r w:rsidR="00C05447" w:rsidRPr="00E83972">
        <w:rPr>
          <w:rStyle w:val="Lbjegyzet-hivatkozs"/>
        </w:rPr>
        <w:footnoteReference w:id="10"/>
      </w:r>
      <w:r w:rsidR="00EF641E">
        <w:rPr>
          <w:sz w:val="20"/>
          <w:szCs w:val="20"/>
        </w:rPr>
        <w:t>) használatának műszaki feltételeit, beleértve</w:t>
      </w:r>
      <w:r w:rsidR="00946D6C" w:rsidRPr="00946D6C">
        <w:rPr>
          <w:sz w:val="20"/>
          <w:szCs w:val="20"/>
        </w:rPr>
        <w:t xml:space="preserve"> az </w:t>
      </w:r>
      <w:r w:rsidR="00946D6C">
        <w:rPr>
          <w:sz w:val="20"/>
          <w:szCs w:val="20"/>
        </w:rPr>
        <w:t>aktív antennarendszerek használatának</w:t>
      </w:r>
      <w:r w:rsidR="00946D6C" w:rsidRPr="00946D6C">
        <w:rPr>
          <w:sz w:val="20"/>
          <w:szCs w:val="20"/>
        </w:rPr>
        <w:t xml:space="preserve"> </w:t>
      </w:r>
      <w:r w:rsidR="00EF641E">
        <w:rPr>
          <w:sz w:val="20"/>
          <w:szCs w:val="20"/>
        </w:rPr>
        <w:t>lehetőségét is</w:t>
      </w:r>
      <w:r w:rsidR="00946D6C" w:rsidRPr="00946D6C">
        <w:rPr>
          <w:sz w:val="20"/>
          <w:szCs w:val="20"/>
        </w:rPr>
        <w:t>, az egyéb szolgáltatások és</w:t>
      </w:r>
      <w:r w:rsidR="00946D6C">
        <w:rPr>
          <w:sz w:val="20"/>
          <w:szCs w:val="20"/>
        </w:rPr>
        <w:t xml:space="preserve"> alkalmazások megfelelő védelme mellett</w:t>
      </w:r>
      <w:r w:rsidR="00946D6C" w:rsidRPr="00946D6C">
        <w:rPr>
          <w:sz w:val="20"/>
          <w:szCs w:val="20"/>
        </w:rPr>
        <w:t>.</w:t>
      </w:r>
    </w:p>
    <w:p w14:paraId="04D59F98" w14:textId="18BCC666" w:rsidR="008D695D" w:rsidRDefault="008D3E07" w:rsidP="005A027E">
      <w:pPr>
        <w:pStyle w:val="Behzottbekezdsnmhh"/>
        <w:rPr>
          <w:rFonts w:asciiTheme="majorHAnsi" w:hAnsiTheme="majorHAnsi" w:cstheme="majorHAnsi"/>
          <w:b/>
          <w:sz w:val="36"/>
          <w:szCs w:val="36"/>
        </w:rPr>
      </w:pPr>
      <w:r w:rsidRPr="003341D7">
        <w:rPr>
          <w:rFonts w:cs="Arial"/>
        </w:rPr>
        <w:t xml:space="preserve">A </w:t>
      </w:r>
      <w:r>
        <w:rPr>
          <w:rFonts w:cs="Arial"/>
        </w:rPr>
        <w:t>polgári célra használható 2300-2370 MHz sávrész részletes hazai szabályozásának kialakításához meg kell ismerni a spektrumhasználati igényeket. N</w:t>
      </w:r>
      <w:r w:rsidRPr="003341D7">
        <w:rPr>
          <w:rFonts w:cs="Arial"/>
        </w:rPr>
        <w:t>yilvános meghallgatás eredményeként lehet dönteni többek között az elosztás módjáról is, azaz az engedélyezés típusának meghatározásáról</w:t>
      </w:r>
      <w:r w:rsidR="006C6FB6">
        <w:rPr>
          <w:rFonts w:cs="Arial"/>
        </w:rPr>
        <w:t>, esetleges korlátozásokról</w:t>
      </w:r>
      <w:r w:rsidRPr="003341D7">
        <w:rPr>
          <w:rFonts w:cs="Arial"/>
        </w:rPr>
        <w:t xml:space="preserve">. </w:t>
      </w:r>
      <w:r w:rsidR="004011EB">
        <w:rPr>
          <w:rFonts w:cs="Arial"/>
        </w:rPr>
        <w:t xml:space="preserve">Ezidáig </w:t>
      </w:r>
      <w:r>
        <w:rPr>
          <w:rFonts w:cs="Arial"/>
        </w:rPr>
        <w:t>megalapozott piaci igény nem jelentkezett</w:t>
      </w:r>
      <w:r w:rsidR="004011EB">
        <w:rPr>
          <w:rFonts w:cs="Arial"/>
        </w:rPr>
        <w:t xml:space="preserve"> a frekvenciasáv használata iránt</w:t>
      </w:r>
      <w:r>
        <w:rPr>
          <w:rFonts w:cs="Arial"/>
        </w:rPr>
        <w:t>.</w:t>
      </w:r>
      <w:r w:rsidR="008D695D">
        <w:br w:type="page"/>
      </w:r>
    </w:p>
    <w:p w14:paraId="12584BA2" w14:textId="77777777" w:rsidR="005D09CC" w:rsidRPr="00D86540" w:rsidRDefault="00CD093D" w:rsidP="00D04CAD">
      <w:pPr>
        <w:pStyle w:val="Cmsor1szmozottnmhh"/>
        <w:spacing w:before="360"/>
        <w:ind w:left="431" w:hanging="431"/>
      </w:pPr>
      <w:bookmarkStart w:id="4" w:name="_Toc96075702"/>
      <w:r>
        <w:lastRenderedPageBreak/>
        <w:t xml:space="preserve">A </w:t>
      </w:r>
      <w:r w:rsidR="008D3E07">
        <w:t>2300-2400 MHz frekvenciasáv</w:t>
      </w:r>
      <w:r w:rsidR="0097419D">
        <w:t xml:space="preserve"> </w:t>
      </w:r>
      <w:r>
        <w:t>szabályozása</w:t>
      </w:r>
      <w:bookmarkEnd w:id="4"/>
    </w:p>
    <w:p w14:paraId="3941C5CB" w14:textId="77777777" w:rsidR="005D09CC" w:rsidRPr="00D86540" w:rsidRDefault="005D09CC" w:rsidP="002A10E8">
      <w:pPr>
        <w:pStyle w:val="Cmsor2szmozottnmhh"/>
        <w:ind w:left="567"/>
      </w:pPr>
      <w:bookmarkStart w:id="5" w:name="_Toc96075703"/>
      <w:r w:rsidRPr="00D86540">
        <w:t>Nemzetközi szabályozás</w:t>
      </w:r>
      <w:bookmarkEnd w:id="5"/>
    </w:p>
    <w:p w14:paraId="2B4DC5A7" w14:textId="50E923B3" w:rsidR="00E04D6B" w:rsidRPr="00186107" w:rsidRDefault="00E04D6B" w:rsidP="00186107">
      <w:pPr>
        <w:pStyle w:val="Behzottbekezdsnmhh"/>
      </w:pPr>
      <w:r w:rsidRPr="00186107">
        <w:t xml:space="preserve">A </w:t>
      </w:r>
      <w:r w:rsidR="0029683D">
        <w:t>frekvencia</w:t>
      </w:r>
      <w:r w:rsidRPr="00186107">
        <w:t>sávra vonatkozó nemzetközi szabály</w:t>
      </w:r>
      <w:r w:rsidR="00386FFD">
        <w:t>o</w:t>
      </w:r>
      <w:r w:rsidRPr="00186107">
        <w:t>zás az utóbbi időben</w:t>
      </w:r>
      <w:r>
        <w:t xml:space="preserve"> elsősorban</w:t>
      </w:r>
      <w:r w:rsidRPr="00186107">
        <w:t xml:space="preserve"> annak elősegítése céljából változott, hogy</w:t>
      </w:r>
      <w:r w:rsidR="0097419D">
        <w:t xml:space="preserve"> az</w:t>
      </w:r>
      <w:r w:rsidRPr="00186107">
        <w:t xml:space="preserve"> </w:t>
      </w:r>
      <w:r w:rsidR="00E80D26" w:rsidRPr="00E80D26">
        <w:t>európai szinten</w:t>
      </w:r>
      <w:r w:rsidRPr="00186107">
        <w:t xml:space="preserve"> nagyon eltérő </w:t>
      </w:r>
      <w:r w:rsidR="00AE7707">
        <w:t>rádióspektrum-használat</w:t>
      </w:r>
      <w:r w:rsidRPr="00186107">
        <w:t xml:space="preserve"> figyelembevétel</w:t>
      </w:r>
      <w:r w:rsidR="0012059E">
        <w:t>e mellett</w:t>
      </w:r>
      <w:r w:rsidRPr="00186107">
        <w:t xml:space="preserve"> lehetővé tegye a sáv MFCN-célra való használatát, ezzel is </w:t>
      </w:r>
      <w:r w:rsidR="00AD6F7C">
        <w:t>elősegítve</w:t>
      </w:r>
      <w:r w:rsidR="00AD6F7C" w:rsidRPr="00186107">
        <w:t xml:space="preserve"> </w:t>
      </w:r>
      <w:r w:rsidRPr="00186107">
        <w:t>a sáv hatékony</w:t>
      </w:r>
      <w:r w:rsidR="00386FFD">
        <w:t>abb használ</w:t>
      </w:r>
      <w:r w:rsidR="0029683D">
        <w:t>at</w:t>
      </w:r>
      <w:r w:rsidR="00386FFD">
        <w:t>át</w:t>
      </w:r>
      <w:r w:rsidRPr="00186107">
        <w:t>.</w:t>
      </w:r>
    </w:p>
    <w:p w14:paraId="61A46764" w14:textId="77777777" w:rsidR="008E3AAF" w:rsidRPr="00D86540" w:rsidRDefault="008E3AAF" w:rsidP="002A10E8">
      <w:pPr>
        <w:pStyle w:val="Behzottbekezdsnmhh"/>
      </w:pPr>
      <w:r w:rsidRPr="00D86540">
        <w:t xml:space="preserve">A </w:t>
      </w:r>
      <w:r w:rsidR="00471F2D" w:rsidRPr="00D86540">
        <w:t>CEPT</w:t>
      </w:r>
      <w:r w:rsidR="00471F2D">
        <w:t>-</w:t>
      </w:r>
      <w:r w:rsidRPr="00D86540">
        <w:t xml:space="preserve">országokban jellemzően a következő </w:t>
      </w:r>
      <w:r w:rsidR="004438BF" w:rsidRPr="00D86540">
        <w:t>rendszerek és szolgálatok</w:t>
      </w:r>
      <w:r w:rsidRPr="00D86540">
        <w:t xml:space="preserve"> </w:t>
      </w:r>
      <w:r w:rsidR="00AD6F7C">
        <w:t>üzemelnek</w:t>
      </w:r>
      <w:r w:rsidR="00AD6F7C" w:rsidRPr="00D86540">
        <w:t xml:space="preserve"> </w:t>
      </w:r>
      <w:r w:rsidRPr="00D86540">
        <w:t>a sáv</w:t>
      </w:r>
      <w:r w:rsidR="00AD6F7C">
        <w:t>ban</w:t>
      </w:r>
      <w:r w:rsidRPr="00D86540">
        <w:t>:</w:t>
      </w:r>
    </w:p>
    <w:p w14:paraId="7B1F4B5B" w14:textId="3DDBC376" w:rsidR="008E3AAF" w:rsidRPr="00D86540" w:rsidRDefault="0060499A" w:rsidP="008E3AAF">
      <w:pPr>
        <w:pStyle w:val="ECCParBulleted"/>
        <w:rPr>
          <w:lang w:val="hu-HU"/>
        </w:rPr>
      </w:pPr>
      <w:r>
        <w:rPr>
          <w:lang w:val="hu-HU"/>
        </w:rPr>
        <w:t>t</w:t>
      </w:r>
      <w:r w:rsidR="00CA140D">
        <w:rPr>
          <w:lang w:val="hu-HU"/>
        </w:rPr>
        <w:t>ávmérés</w:t>
      </w:r>
      <w:r w:rsidR="00CA140D" w:rsidRPr="00D86540">
        <w:rPr>
          <w:lang w:val="hu-HU"/>
        </w:rPr>
        <w:t xml:space="preserve"> </w:t>
      </w:r>
      <w:r w:rsidR="008E3AAF" w:rsidRPr="00D86540">
        <w:rPr>
          <w:lang w:val="hu-HU"/>
        </w:rPr>
        <w:t>(</w:t>
      </w:r>
      <w:r w:rsidR="005C5C80">
        <w:rPr>
          <w:lang w:val="hu-HU"/>
        </w:rPr>
        <w:t>f</w:t>
      </w:r>
      <w:r w:rsidR="00CA140D">
        <w:rPr>
          <w:lang w:val="hu-HU"/>
        </w:rPr>
        <w:t>öldfelszíni</w:t>
      </w:r>
      <w:r w:rsidR="00CA140D" w:rsidRPr="00D86540">
        <w:rPr>
          <w:lang w:val="hu-HU"/>
        </w:rPr>
        <w:t xml:space="preserve"> </w:t>
      </w:r>
      <w:r w:rsidR="008E3AAF" w:rsidRPr="00D86540">
        <w:rPr>
          <w:lang w:val="hu-HU"/>
        </w:rPr>
        <w:t xml:space="preserve">/ </w:t>
      </w:r>
      <w:r w:rsidR="00CA140D">
        <w:rPr>
          <w:lang w:val="hu-HU"/>
        </w:rPr>
        <w:t>légi</w:t>
      </w:r>
      <w:r w:rsidR="008E3AAF" w:rsidRPr="00D86540">
        <w:rPr>
          <w:lang w:val="hu-HU"/>
        </w:rPr>
        <w:t>);</w:t>
      </w:r>
    </w:p>
    <w:p w14:paraId="7A9ACEB4" w14:textId="77777777" w:rsidR="008E3AAF" w:rsidRPr="00D86540" w:rsidRDefault="0060499A" w:rsidP="008E3AAF">
      <w:pPr>
        <w:pStyle w:val="ECCParBulleted"/>
        <w:rPr>
          <w:lang w:val="hu-HU"/>
        </w:rPr>
      </w:pPr>
      <w:r>
        <w:rPr>
          <w:lang w:val="hu-HU"/>
        </w:rPr>
        <w:t>k</w:t>
      </w:r>
      <w:r w:rsidR="00CA140D">
        <w:rPr>
          <w:lang w:val="hu-HU"/>
        </w:rPr>
        <w:t>atonai</w:t>
      </w:r>
      <w:r w:rsidR="008E3AAF" w:rsidRPr="00D86540">
        <w:rPr>
          <w:lang w:val="hu-HU"/>
        </w:rPr>
        <w:t xml:space="preserve"> felhasználás (pl. UAS</w:t>
      </w:r>
      <w:r w:rsidR="007E4E9F">
        <w:rPr>
          <w:rStyle w:val="Lbjegyzet-hivatkozs"/>
          <w:lang w:val="hu-HU"/>
        </w:rPr>
        <w:footnoteReference w:id="11"/>
      </w:r>
      <w:r w:rsidR="008E3AAF" w:rsidRPr="00D86540">
        <w:rPr>
          <w:lang w:val="hu-HU"/>
        </w:rPr>
        <w:t>);</w:t>
      </w:r>
    </w:p>
    <w:p w14:paraId="1FF8B7EB" w14:textId="77777777" w:rsidR="008E3AAF" w:rsidRPr="00D86540" w:rsidRDefault="0060499A" w:rsidP="008E3AAF">
      <w:pPr>
        <w:pStyle w:val="ECCParBulleted"/>
        <w:rPr>
          <w:lang w:val="hu-HU"/>
        </w:rPr>
      </w:pPr>
      <w:r>
        <w:rPr>
          <w:lang w:val="hu-HU"/>
        </w:rPr>
        <w:t>v</w:t>
      </w:r>
      <w:r w:rsidR="008E3AAF" w:rsidRPr="00D86540">
        <w:rPr>
          <w:lang w:val="hu-HU"/>
        </w:rPr>
        <w:t>ideo-PMSE;</w:t>
      </w:r>
    </w:p>
    <w:p w14:paraId="23B474D6" w14:textId="77777777" w:rsidR="00135C79" w:rsidRDefault="0060499A" w:rsidP="008E3AAF">
      <w:pPr>
        <w:pStyle w:val="ECCParBulleted"/>
        <w:rPr>
          <w:lang w:val="hu-HU"/>
        </w:rPr>
      </w:pPr>
      <w:r>
        <w:rPr>
          <w:lang w:val="hu-HU"/>
        </w:rPr>
        <w:t>a</w:t>
      </w:r>
      <w:r w:rsidR="008E3AAF" w:rsidRPr="00D86540">
        <w:rPr>
          <w:lang w:val="hu-HU"/>
        </w:rPr>
        <w:t>matőr</w:t>
      </w:r>
      <w:r w:rsidR="00CA140D">
        <w:rPr>
          <w:lang w:val="hu-HU"/>
        </w:rPr>
        <w:t>rádiózás</w:t>
      </w:r>
      <w:r w:rsidR="008E3AAF" w:rsidRPr="00D86540">
        <w:rPr>
          <w:lang w:val="hu-HU"/>
        </w:rPr>
        <w:t xml:space="preserve"> (másodlagos</w:t>
      </w:r>
      <w:r w:rsidR="00CA140D">
        <w:rPr>
          <w:lang w:val="hu-HU"/>
        </w:rPr>
        <w:t xml:space="preserve"> jelleggel</w:t>
      </w:r>
      <w:r w:rsidR="008E3AAF" w:rsidRPr="00D86540">
        <w:rPr>
          <w:lang w:val="hu-HU"/>
        </w:rPr>
        <w:t>)</w:t>
      </w:r>
      <w:r w:rsidR="00135C79">
        <w:rPr>
          <w:lang w:val="hu-HU"/>
        </w:rPr>
        <w:t>;</w:t>
      </w:r>
    </w:p>
    <w:p w14:paraId="5CF2EDA3" w14:textId="77777777" w:rsidR="008E3AAF" w:rsidRPr="00D86540" w:rsidRDefault="00135C79" w:rsidP="008E3AAF">
      <w:pPr>
        <w:pStyle w:val="ECCParBulleted"/>
        <w:rPr>
          <w:lang w:val="hu-HU"/>
        </w:rPr>
      </w:pPr>
      <w:r>
        <w:rPr>
          <w:lang w:val="hu-HU"/>
        </w:rPr>
        <w:t>MFCN</w:t>
      </w:r>
      <w:r w:rsidR="008E3AAF" w:rsidRPr="00D86540">
        <w:rPr>
          <w:lang w:val="hu-HU"/>
        </w:rPr>
        <w:t>.</w:t>
      </w:r>
    </w:p>
    <w:p w14:paraId="6E937362" w14:textId="32E64A5A" w:rsidR="008D695D" w:rsidRDefault="008229C3" w:rsidP="002A10E8">
      <w:pPr>
        <w:pStyle w:val="Behzottbekezdsnmhh"/>
      </w:pPr>
      <w:r>
        <w:t xml:space="preserve">Az MFCN bevezetésének </w:t>
      </w:r>
      <w:r w:rsidR="00B75CB5">
        <w:t>jellemző</w:t>
      </w:r>
      <w:r>
        <w:t xml:space="preserve"> módszere egy</w:t>
      </w:r>
      <w:r w:rsidR="00E63079">
        <w:t xml:space="preserve"> </w:t>
      </w:r>
      <w:r w:rsidR="00E51C4E">
        <w:t>frekvencia</w:t>
      </w:r>
      <w:r w:rsidR="00E63079">
        <w:t>sáv/</w:t>
      </w:r>
      <w:r>
        <w:t xml:space="preserve">részsáv kijelölése erre a célra. </w:t>
      </w:r>
      <w:r w:rsidR="00AD6F7C">
        <w:t>Ekkor is számolni kell esetenként</w:t>
      </w:r>
      <w:r w:rsidR="00CD093D">
        <w:t xml:space="preserve"> </w:t>
      </w:r>
      <w:r w:rsidR="00AD6F7C">
        <w:t>a meglevő</w:t>
      </w:r>
      <w:r w:rsidR="00CD093D">
        <w:t xml:space="preserve"> alkalmazások fenntartására</w:t>
      </w:r>
      <w:r w:rsidR="00AD6F7C">
        <w:t xml:space="preserve">, </w:t>
      </w:r>
      <w:r w:rsidR="005C5C80">
        <w:t>a</w:t>
      </w:r>
      <w:r w:rsidR="00AD6F7C">
        <w:t xml:space="preserve">melyek </w:t>
      </w:r>
      <w:proofErr w:type="spellStart"/>
      <w:r w:rsidR="00AD6F7C">
        <w:t>továbbélésére</w:t>
      </w:r>
      <w:proofErr w:type="spellEnd"/>
      <w:r w:rsidR="00CD093D">
        <w:t xml:space="preserve"> is szükség </w:t>
      </w:r>
      <w:r w:rsidR="00AD6F7C">
        <w:t xml:space="preserve">lehet a </w:t>
      </w:r>
      <w:r w:rsidR="00CD093D">
        <w:t xml:space="preserve">sávban. </w:t>
      </w:r>
      <w:r w:rsidR="00CD093D" w:rsidRPr="00B75CB5">
        <w:t>Ebben az esetben a</w:t>
      </w:r>
      <w:r w:rsidR="00E63079" w:rsidRPr="00B75CB5">
        <w:t xml:space="preserve"> sáv részsávokra való </w:t>
      </w:r>
      <w:r w:rsidR="00771589" w:rsidRPr="00B75CB5">
        <w:t>tagolása</w:t>
      </w:r>
      <w:r w:rsidR="00E63079" w:rsidRPr="00B75CB5">
        <w:t xml:space="preserve"> útján</w:t>
      </w:r>
      <w:r w:rsidRPr="00B75CB5">
        <w:t xml:space="preserve"> </w:t>
      </w:r>
      <w:r w:rsidR="00CD093D" w:rsidRPr="00B75CB5">
        <w:t>osztozhat</w:t>
      </w:r>
      <w:r w:rsidR="00E63079" w:rsidRPr="00B75CB5">
        <w:t xml:space="preserve"> az MFCN </w:t>
      </w:r>
      <w:r w:rsidRPr="00B75CB5">
        <w:t xml:space="preserve">más alkalmazásokkal a sávon. </w:t>
      </w:r>
      <w:r w:rsidR="00536D4C">
        <w:t>Másik megoldás a</w:t>
      </w:r>
      <w:r w:rsidRPr="00B75CB5">
        <w:t>nnak ér</w:t>
      </w:r>
      <w:r w:rsidR="00E63079" w:rsidRPr="00B75CB5">
        <w:t xml:space="preserve">dekében, </w:t>
      </w:r>
      <w:r w:rsidR="00953A5D" w:rsidRPr="00B75CB5">
        <w:t>hogy a sávkiürítés elkerülhető legyen</w:t>
      </w:r>
      <w:r w:rsidR="00E63079" w:rsidRPr="00B75CB5">
        <w:t>,</w:t>
      </w:r>
      <w:r w:rsidR="00656557" w:rsidRPr="00B75CB5">
        <w:t xml:space="preserve"> </w:t>
      </w:r>
      <w:r w:rsidR="00013E5D">
        <w:t>valamilyen</w:t>
      </w:r>
      <w:r w:rsidR="00013E5D" w:rsidRPr="00B75CB5">
        <w:t xml:space="preserve"> </w:t>
      </w:r>
      <w:r w:rsidR="00E51C4E">
        <w:t xml:space="preserve">egyéb </w:t>
      </w:r>
      <w:r w:rsidR="00656557" w:rsidRPr="00B75CB5">
        <w:t>megosztott</w:t>
      </w:r>
      <w:r w:rsidR="00656557">
        <w:t xml:space="preserve"> </w:t>
      </w:r>
      <w:r w:rsidR="00AE7707">
        <w:t>rádió</w:t>
      </w:r>
      <w:r w:rsidR="00013E5D">
        <w:t>spektrum</w:t>
      </w:r>
      <w:r w:rsidR="00AE7707">
        <w:t>-</w:t>
      </w:r>
      <w:r w:rsidR="00013E5D">
        <w:t xml:space="preserve">használaton </w:t>
      </w:r>
      <w:r w:rsidR="00656557">
        <w:t>alapuló módszer</w:t>
      </w:r>
      <w:r w:rsidR="0019318C">
        <w:t xml:space="preserve"> </w:t>
      </w:r>
      <w:r w:rsidR="00536D4C">
        <w:t>alkalm</w:t>
      </w:r>
      <w:r w:rsidR="00227955">
        <w:t>a</w:t>
      </w:r>
      <w:r w:rsidR="00536D4C">
        <w:t>zása</w:t>
      </w:r>
      <w:r w:rsidR="00656557">
        <w:t>.</w:t>
      </w:r>
      <w:r>
        <w:t xml:space="preserve"> </w:t>
      </w:r>
      <w:r w:rsidR="00656557">
        <w:t xml:space="preserve">Ezek </w:t>
      </w:r>
      <w:r w:rsidR="0060499A" w:rsidRPr="0060499A">
        <w:t xml:space="preserve">közül az egyik </w:t>
      </w:r>
      <w:r w:rsidR="0060499A">
        <w:t>lehetséges megosztási mód</w:t>
      </w:r>
      <w:r w:rsidR="0060499A" w:rsidRPr="0060499A">
        <w:t xml:space="preserve"> </w:t>
      </w:r>
      <w:r w:rsidR="0060499A" w:rsidRPr="007E4E9F">
        <w:t>az engedélyezett megosztott spektrumhozzáférés (</w:t>
      </w:r>
      <w:proofErr w:type="spellStart"/>
      <w:r w:rsidR="0060499A" w:rsidRPr="007E4E9F">
        <w:t>licensed</w:t>
      </w:r>
      <w:proofErr w:type="spellEnd"/>
      <w:r w:rsidR="0060499A" w:rsidRPr="007E4E9F">
        <w:t xml:space="preserve"> </w:t>
      </w:r>
      <w:proofErr w:type="spellStart"/>
      <w:r w:rsidR="0060499A" w:rsidRPr="007E4E9F">
        <w:t>shared</w:t>
      </w:r>
      <w:proofErr w:type="spellEnd"/>
      <w:r w:rsidR="0060499A" w:rsidRPr="007E4E9F">
        <w:t xml:space="preserve"> </w:t>
      </w:r>
      <w:proofErr w:type="spellStart"/>
      <w:r w:rsidR="0060499A" w:rsidRPr="007E4E9F">
        <w:t>access</w:t>
      </w:r>
      <w:proofErr w:type="spellEnd"/>
      <w:r w:rsidR="0060499A" w:rsidRPr="007E4E9F">
        <w:t>,</w:t>
      </w:r>
      <w:r w:rsidR="00137D5E" w:rsidRPr="007E4E9F">
        <w:t xml:space="preserve"> a továbbiakban</w:t>
      </w:r>
      <w:r w:rsidR="009A596C">
        <w:t>:</w:t>
      </w:r>
      <w:r w:rsidR="0060499A" w:rsidRPr="007E4E9F">
        <w:t xml:space="preserve"> LSA) megközelítés</w:t>
      </w:r>
      <w:r w:rsidR="0060499A" w:rsidRPr="00460358">
        <w:t xml:space="preserve">. </w:t>
      </w:r>
      <w:r w:rsidR="00172E94" w:rsidRPr="007553B5">
        <w:t xml:space="preserve">Az LSA az a </w:t>
      </w:r>
      <w:r w:rsidR="00E3635C" w:rsidRPr="007553B5">
        <w:t>szabályozási</w:t>
      </w:r>
      <w:r w:rsidR="00056D1D" w:rsidRPr="007553B5">
        <w:t xml:space="preserve"> </w:t>
      </w:r>
      <w:r w:rsidR="00172E94" w:rsidRPr="007553B5">
        <w:t xml:space="preserve">megközelítés, amit a CEPT a sávon belül történő MFCN bevezetés esetére a tagállamoknak javasol, ha az </w:t>
      </w:r>
      <w:proofErr w:type="spellStart"/>
      <w:r w:rsidR="00172E94" w:rsidRPr="007553B5">
        <w:t>inkumbens</w:t>
      </w:r>
      <w:proofErr w:type="spellEnd"/>
      <w:r w:rsidR="00172E94" w:rsidRPr="007553B5">
        <w:t xml:space="preserve"> alkalmazásokat is szeretnék megtartani. Az LSA bevezetéséhez nemzeti szinten kell kidolgozni a szükséges </w:t>
      </w:r>
      <w:r w:rsidR="00D86540" w:rsidRPr="007553B5">
        <w:t>feltételeket,</w:t>
      </w:r>
      <w:r w:rsidR="002C6299" w:rsidRPr="007553B5">
        <w:t xml:space="preserve"> amelyek által biztosítható az </w:t>
      </w:r>
      <w:proofErr w:type="spellStart"/>
      <w:r w:rsidR="002C6299" w:rsidRPr="007553B5">
        <w:t>inkumbensek</w:t>
      </w:r>
      <w:proofErr w:type="spellEnd"/>
      <w:r w:rsidR="002C6299" w:rsidRPr="007553B5">
        <w:t xml:space="preserve"> </w:t>
      </w:r>
      <w:r w:rsidR="00AE7707">
        <w:t>rádió</w:t>
      </w:r>
      <w:r w:rsidR="00460358">
        <w:t>spektrum</w:t>
      </w:r>
      <w:r w:rsidR="00AE7707">
        <w:t>-</w:t>
      </w:r>
      <w:r w:rsidR="00460358">
        <w:t>használatának</w:t>
      </w:r>
      <w:r w:rsidR="00460358" w:rsidRPr="007553B5">
        <w:t xml:space="preserve"> </w:t>
      </w:r>
      <w:r w:rsidR="00471F2D" w:rsidRPr="007553B5">
        <w:t>folytonossága</w:t>
      </w:r>
      <w:r w:rsidR="0060499A" w:rsidRPr="007553B5">
        <w:t>, azaz zavartalan használata a szolgáltatás minőség sérülése nélkül</w:t>
      </w:r>
      <w:r w:rsidR="003879C9" w:rsidRPr="007553B5">
        <w:t>.</w:t>
      </w:r>
    </w:p>
    <w:p w14:paraId="08DE05A9" w14:textId="77777777" w:rsidR="005D09CC" w:rsidRPr="00D86540" w:rsidRDefault="005D09CC" w:rsidP="00D04CAD">
      <w:pPr>
        <w:pStyle w:val="Cmsor3szmozottnmhh"/>
        <w:spacing w:before="360"/>
      </w:pPr>
      <w:bookmarkStart w:id="6" w:name="_Toc96075704"/>
      <w:r w:rsidRPr="00D86540">
        <w:t>ITU</w:t>
      </w:r>
      <w:bookmarkEnd w:id="6"/>
    </w:p>
    <w:p w14:paraId="488BE030" w14:textId="6202E4AD" w:rsidR="00B66497" w:rsidRDefault="002930CA" w:rsidP="004501FE">
      <w:pPr>
        <w:pStyle w:val="Behzottbekezdsnmhh"/>
      </w:pPr>
      <w:r w:rsidRPr="00D86540">
        <w:t>A</w:t>
      </w:r>
      <w:r w:rsidR="00257A26">
        <w:t xml:space="preserve"> Rádiószabályzat </w:t>
      </w:r>
      <w:r w:rsidR="00FE47CB">
        <w:t xml:space="preserve">(a továbbiakban: RR) </w:t>
      </w:r>
      <w:r w:rsidR="00257A26">
        <w:t>szerint az</w:t>
      </w:r>
      <w:r w:rsidRPr="00D86540">
        <w:t xml:space="preserve"> 1. </w:t>
      </w:r>
      <w:r w:rsidR="009A596C">
        <w:t>K</w:t>
      </w:r>
      <w:r w:rsidRPr="00D86540">
        <w:t xml:space="preserve">örzetben </w:t>
      </w:r>
      <w:r w:rsidR="00227955" w:rsidRPr="00D86540">
        <w:t xml:space="preserve">a 2300-2450 MHz sáv </w:t>
      </w:r>
      <w:r w:rsidRPr="00D86540">
        <w:t xml:space="preserve">az állandóhelyű és mozgó </w:t>
      </w:r>
      <w:r w:rsidR="00510F5C" w:rsidRPr="00D86540">
        <w:t>szolgálatok számára elsődlegesen, az amatőr és rádiólokáció szolgálatokra másodlagosan van felosztva</w:t>
      </w:r>
      <w:r w:rsidR="00C64001">
        <w:t xml:space="preserve"> (3.1.1. Táblázat)</w:t>
      </w:r>
      <w:r w:rsidR="009507B1" w:rsidRPr="00D86540">
        <w:t>.</w:t>
      </w:r>
    </w:p>
    <w:tbl>
      <w:tblPr>
        <w:tblW w:w="8222" w:type="dxa"/>
        <w:tblInd w:w="-10" w:type="dxa"/>
        <w:tblCellMar>
          <w:left w:w="70" w:type="dxa"/>
          <w:right w:w="70" w:type="dxa"/>
        </w:tblCellMar>
        <w:tblLook w:val="04A0" w:firstRow="1" w:lastRow="0" w:firstColumn="1" w:lastColumn="0" w:noHBand="0" w:noVBand="1"/>
      </w:tblPr>
      <w:tblGrid>
        <w:gridCol w:w="567"/>
        <w:gridCol w:w="1701"/>
        <w:gridCol w:w="2065"/>
        <w:gridCol w:w="2188"/>
        <w:gridCol w:w="1701"/>
      </w:tblGrid>
      <w:tr w:rsidR="00B66497" w:rsidRPr="00E110C7" w14:paraId="19BA9E2C" w14:textId="77777777" w:rsidTr="007553B5">
        <w:trPr>
          <w:trHeight w:val="300"/>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246954" w14:textId="77777777" w:rsidR="00B66497" w:rsidRPr="00E110C7" w:rsidRDefault="00B66497" w:rsidP="00BE2636">
            <w:pPr>
              <w:spacing w:after="0" w:line="240" w:lineRule="auto"/>
              <w:jc w:val="left"/>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 </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44E997D4"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proofErr w:type="gramStart"/>
            <w:r w:rsidRPr="00E110C7">
              <w:rPr>
                <w:rFonts w:asciiTheme="majorHAnsi" w:eastAsia="Times New Roman" w:hAnsiTheme="majorHAnsi" w:cstheme="majorHAnsi"/>
                <w:color w:val="000000"/>
                <w:sz w:val="14"/>
                <w:szCs w:val="16"/>
                <w:lang w:eastAsia="hu-HU"/>
              </w:rPr>
              <w:t>A</w:t>
            </w:r>
            <w:proofErr w:type="gramEnd"/>
          </w:p>
        </w:tc>
        <w:tc>
          <w:tcPr>
            <w:tcW w:w="2065" w:type="dxa"/>
            <w:tcBorders>
              <w:top w:val="single" w:sz="8" w:space="0" w:color="auto"/>
              <w:left w:val="nil"/>
              <w:bottom w:val="single" w:sz="4" w:space="0" w:color="auto"/>
              <w:right w:val="single" w:sz="4" w:space="0" w:color="auto"/>
            </w:tcBorders>
            <w:shd w:val="clear" w:color="auto" w:fill="auto"/>
            <w:vAlign w:val="center"/>
            <w:hideMark/>
          </w:tcPr>
          <w:p w14:paraId="50727176"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B</w:t>
            </w:r>
          </w:p>
        </w:tc>
        <w:tc>
          <w:tcPr>
            <w:tcW w:w="2188" w:type="dxa"/>
            <w:tcBorders>
              <w:top w:val="single" w:sz="8" w:space="0" w:color="auto"/>
              <w:left w:val="nil"/>
              <w:bottom w:val="single" w:sz="4" w:space="0" w:color="auto"/>
              <w:right w:val="single" w:sz="4" w:space="0" w:color="auto"/>
            </w:tcBorders>
            <w:shd w:val="clear" w:color="auto" w:fill="auto"/>
            <w:vAlign w:val="center"/>
            <w:hideMark/>
          </w:tcPr>
          <w:p w14:paraId="5177A6B7"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C</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76439511"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D</w:t>
            </w:r>
          </w:p>
        </w:tc>
      </w:tr>
      <w:tr w:rsidR="00B66497" w:rsidRPr="00E110C7" w14:paraId="709319FB" w14:textId="77777777" w:rsidTr="007553B5">
        <w:trPr>
          <w:trHeight w:val="809"/>
        </w:trPr>
        <w:tc>
          <w:tcPr>
            <w:tcW w:w="567" w:type="dxa"/>
            <w:tcBorders>
              <w:top w:val="nil"/>
              <w:left w:val="single" w:sz="8" w:space="0" w:color="auto"/>
              <w:bottom w:val="single" w:sz="4" w:space="0" w:color="auto"/>
              <w:right w:val="single" w:sz="4" w:space="0" w:color="auto"/>
            </w:tcBorders>
            <w:shd w:val="clear" w:color="auto" w:fill="auto"/>
            <w:vAlign w:val="center"/>
            <w:hideMark/>
          </w:tcPr>
          <w:p w14:paraId="2752AE2A"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 xml:space="preserve">1  </w:t>
            </w:r>
          </w:p>
        </w:tc>
        <w:tc>
          <w:tcPr>
            <w:tcW w:w="5954" w:type="dxa"/>
            <w:gridSpan w:val="3"/>
            <w:tcBorders>
              <w:top w:val="single" w:sz="4" w:space="0" w:color="auto"/>
              <w:left w:val="nil"/>
              <w:bottom w:val="single" w:sz="4" w:space="0" w:color="auto"/>
              <w:right w:val="single" w:sz="4" w:space="0" w:color="auto"/>
            </w:tcBorders>
            <w:shd w:val="clear" w:color="auto" w:fill="auto"/>
            <w:vAlign w:val="center"/>
            <w:hideMark/>
          </w:tcPr>
          <w:p w14:paraId="29F0533B"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 xml:space="preserve">RR FREKVENCIASÁVOK FELOSZTÁSI TÁBLÁZATA </w:t>
            </w:r>
          </w:p>
        </w:tc>
        <w:tc>
          <w:tcPr>
            <w:tcW w:w="1701" w:type="dxa"/>
            <w:vMerge w:val="restart"/>
            <w:tcBorders>
              <w:top w:val="nil"/>
              <w:left w:val="single" w:sz="4" w:space="0" w:color="auto"/>
              <w:bottom w:val="single" w:sz="8" w:space="0" w:color="000000"/>
              <w:right w:val="single" w:sz="8" w:space="0" w:color="auto"/>
            </w:tcBorders>
            <w:shd w:val="clear" w:color="auto" w:fill="auto"/>
            <w:vAlign w:val="center"/>
            <w:hideMark/>
          </w:tcPr>
          <w:p w14:paraId="03B5CD56" w14:textId="77777777" w:rsidR="00B66497" w:rsidRPr="00B66497" w:rsidRDefault="00B66497" w:rsidP="00BE2636">
            <w:pPr>
              <w:spacing w:after="0" w:line="240" w:lineRule="auto"/>
              <w:jc w:val="center"/>
              <w:rPr>
                <w:rFonts w:eastAsia="Times New Roman"/>
                <w:color w:val="000000"/>
                <w:sz w:val="14"/>
                <w:szCs w:val="16"/>
                <w:lang w:eastAsia="hu-HU"/>
              </w:rPr>
            </w:pPr>
            <w:r w:rsidRPr="00B66497">
              <w:rPr>
                <w:rFonts w:eastAsia="Times New Roman"/>
                <w:color w:val="000000"/>
                <w:sz w:val="14"/>
                <w:szCs w:val="16"/>
                <w:lang w:eastAsia="hu-HU"/>
              </w:rPr>
              <w:t xml:space="preserve">MAGYARORSZÁGRA ÉRVÉNYES FELOSZTÁS AZ RR SZERINT </w:t>
            </w:r>
          </w:p>
        </w:tc>
      </w:tr>
      <w:tr w:rsidR="00B66497" w:rsidRPr="00E110C7" w14:paraId="5648BDBE" w14:textId="77777777" w:rsidTr="007553B5">
        <w:trPr>
          <w:trHeight w:val="176"/>
        </w:trPr>
        <w:tc>
          <w:tcPr>
            <w:tcW w:w="567" w:type="dxa"/>
            <w:tcBorders>
              <w:top w:val="nil"/>
              <w:left w:val="single" w:sz="8" w:space="0" w:color="auto"/>
              <w:bottom w:val="single" w:sz="8" w:space="0" w:color="auto"/>
              <w:right w:val="single" w:sz="4" w:space="0" w:color="auto"/>
            </w:tcBorders>
            <w:shd w:val="clear" w:color="auto" w:fill="auto"/>
            <w:vAlign w:val="center"/>
            <w:hideMark/>
          </w:tcPr>
          <w:p w14:paraId="5658A5CC"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 xml:space="preserve">2  </w:t>
            </w:r>
          </w:p>
        </w:tc>
        <w:tc>
          <w:tcPr>
            <w:tcW w:w="1701" w:type="dxa"/>
            <w:tcBorders>
              <w:top w:val="nil"/>
              <w:left w:val="nil"/>
              <w:bottom w:val="single" w:sz="8" w:space="0" w:color="auto"/>
              <w:right w:val="single" w:sz="4" w:space="0" w:color="auto"/>
            </w:tcBorders>
            <w:shd w:val="clear" w:color="auto" w:fill="auto"/>
            <w:vAlign w:val="center"/>
            <w:hideMark/>
          </w:tcPr>
          <w:p w14:paraId="21DD6771"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 xml:space="preserve">1. KÖRZET </w:t>
            </w:r>
          </w:p>
        </w:tc>
        <w:tc>
          <w:tcPr>
            <w:tcW w:w="2065" w:type="dxa"/>
            <w:tcBorders>
              <w:top w:val="nil"/>
              <w:left w:val="nil"/>
              <w:bottom w:val="single" w:sz="8" w:space="0" w:color="auto"/>
              <w:right w:val="single" w:sz="4" w:space="0" w:color="auto"/>
            </w:tcBorders>
            <w:shd w:val="clear" w:color="auto" w:fill="auto"/>
            <w:vAlign w:val="center"/>
            <w:hideMark/>
          </w:tcPr>
          <w:p w14:paraId="45D615D8"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 xml:space="preserve">2. KÖRZET </w:t>
            </w:r>
          </w:p>
        </w:tc>
        <w:tc>
          <w:tcPr>
            <w:tcW w:w="2188" w:type="dxa"/>
            <w:tcBorders>
              <w:top w:val="nil"/>
              <w:left w:val="nil"/>
              <w:bottom w:val="single" w:sz="8" w:space="0" w:color="auto"/>
              <w:right w:val="single" w:sz="4" w:space="0" w:color="auto"/>
            </w:tcBorders>
            <w:shd w:val="clear" w:color="auto" w:fill="auto"/>
            <w:vAlign w:val="center"/>
            <w:hideMark/>
          </w:tcPr>
          <w:p w14:paraId="4110D75C" w14:textId="77777777" w:rsidR="00B66497" w:rsidRPr="00E110C7" w:rsidRDefault="00B66497" w:rsidP="00BE2636">
            <w:pPr>
              <w:spacing w:after="0" w:line="240" w:lineRule="auto"/>
              <w:jc w:val="center"/>
              <w:rPr>
                <w:rFonts w:asciiTheme="majorHAnsi" w:eastAsia="Times New Roman" w:hAnsiTheme="majorHAnsi" w:cstheme="majorHAnsi"/>
                <w:color w:val="000000"/>
                <w:sz w:val="14"/>
                <w:szCs w:val="16"/>
                <w:lang w:eastAsia="hu-HU"/>
              </w:rPr>
            </w:pPr>
            <w:r w:rsidRPr="00E110C7">
              <w:rPr>
                <w:rFonts w:asciiTheme="majorHAnsi" w:eastAsia="Times New Roman" w:hAnsiTheme="majorHAnsi" w:cstheme="majorHAnsi"/>
                <w:color w:val="000000"/>
                <w:sz w:val="14"/>
                <w:szCs w:val="16"/>
                <w:lang w:eastAsia="hu-HU"/>
              </w:rPr>
              <w:t xml:space="preserve">3. KÖRZET </w:t>
            </w:r>
          </w:p>
        </w:tc>
        <w:tc>
          <w:tcPr>
            <w:tcW w:w="1701" w:type="dxa"/>
            <w:vMerge/>
            <w:tcBorders>
              <w:top w:val="nil"/>
              <w:left w:val="single" w:sz="4" w:space="0" w:color="auto"/>
              <w:bottom w:val="single" w:sz="8" w:space="0" w:color="000000"/>
              <w:right w:val="single" w:sz="8" w:space="0" w:color="auto"/>
            </w:tcBorders>
            <w:vAlign w:val="center"/>
            <w:hideMark/>
          </w:tcPr>
          <w:p w14:paraId="3E22C0BC" w14:textId="77777777" w:rsidR="00B66497" w:rsidRPr="00E110C7" w:rsidRDefault="00B66497" w:rsidP="00BE2636">
            <w:pPr>
              <w:spacing w:after="0" w:line="240" w:lineRule="auto"/>
              <w:jc w:val="left"/>
              <w:rPr>
                <w:rFonts w:asciiTheme="majorHAnsi" w:eastAsia="Times New Roman" w:hAnsiTheme="majorHAnsi" w:cstheme="majorHAnsi"/>
                <w:color w:val="000000"/>
                <w:sz w:val="14"/>
                <w:szCs w:val="16"/>
                <w:lang w:eastAsia="hu-HU"/>
              </w:rPr>
            </w:pPr>
          </w:p>
        </w:tc>
      </w:tr>
    </w:tbl>
    <w:tbl>
      <w:tblPr>
        <w:tblStyle w:val="NormalTablePHPDOCX"/>
        <w:tblW w:w="8222" w:type="dxa"/>
        <w:tblInd w:w="-6" w:type="dxa"/>
        <w:tblBorders>
          <w:top w:val="single" w:sz="5" w:space="0" w:color="000000"/>
          <w:left w:val="single" w:sz="5" w:space="0" w:color="000000"/>
          <w:bottom w:val="single" w:sz="15" w:space="0" w:color="000000"/>
          <w:right w:val="single" w:sz="5" w:space="0" w:color="000000"/>
        </w:tblBorders>
        <w:tblLayout w:type="fixed"/>
        <w:tblLook w:val="04A0" w:firstRow="1" w:lastRow="0" w:firstColumn="1" w:lastColumn="0" w:noHBand="0" w:noVBand="1"/>
      </w:tblPr>
      <w:tblGrid>
        <w:gridCol w:w="567"/>
        <w:gridCol w:w="1701"/>
        <w:gridCol w:w="4253"/>
        <w:gridCol w:w="1701"/>
      </w:tblGrid>
      <w:tr w:rsidR="00475E60" w:rsidRPr="007553B5" w14:paraId="34923F4E" w14:textId="77777777" w:rsidTr="007553B5">
        <w:trPr>
          <w:cantSplit/>
        </w:trPr>
        <w:tc>
          <w:tcPr>
            <w:tcW w:w="567" w:type="dxa"/>
            <w:tcBorders>
              <w:top w:val="single" w:sz="5" w:space="0" w:color="000000"/>
              <w:left w:val="single" w:sz="5" w:space="0" w:color="000000"/>
              <w:right w:val="single" w:sz="15" w:space="0" w:color="000000"/>
            </w:tcBorders>
            <w:tcMar>
              <w:top w:w="15" w:type="dxa"/>
              <w:left w:w="15" w:type="dxa"/>
              <w:bottom w:w="15" w:type="dxa"/>
              <w:right w:w="15" w:type="dxa"/>
            </w:tcMar>
          </w:tcPr>
          <w:p w14:paraId="3FA40CDF"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368</w:t>
            </w:r>
          </w:p>
        </w:tc>
        <w:tc>
          <w:tcPr>
            <w:tcW w:w="1701" w:type="dxa"/>
            <w:tcBorders>
              <w:top w:val="single" w:sz="5" w:space="0" w:color="000000"/>
              <w:left w:val="single" w:sz="5" w:space="0" w:color="000000"/>
              <w:right w:val="single" w:sz="5" w:space="0" w:color="000000"/>
            </w:tcBorders>
            <w:tcMar>
              <w:top w:w="15" w:type="dxa"/>
              <w:left w:w="15" w:type="dxa"/>
              <w:bottom w:w="15" w:type="dxa"/>
              <w:right w:w="15" w:type="dxa"/>
            </w:tcMar>
          </w:tcPr>
          <w:p w14:paraId="138EA19A"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2300–2450 MHz</w:t>
            </w:r>
          </w:p>
          <w:p w14:paraId="61DA5B92"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ÁLLANDÓHELYŰ</w:t>
            </w:r>
          </w:p>
          <w:p w14:paraId="10F7ECF3"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MOZGÓ 5.384A</w:t>
            </w:r>
          </w:p>
          <w:p w14:paraId="1249D1E4"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proofErr w:type="spellStart"/>
            <w:r w:rsidRPr="00CD4DFB">
              <w:rPr>
                <w:rFonts w:asciiTheme="majorHAnsi" w:eastAsia="Times New Roman" w:hAnsiTheme="majorHAnsi" w:cstheme="majorHAnsi"/>
                <w:color w:val="000000"/>
                <w:sz w:val="14"/>
                <w:szCs w:val="16"/>
                <w:lang w:eastAsia="hu-HU"/>
              </w:rPr>
              <w:t>Amatőr</w:t>
            </w:r>
            <w:proofErr w:type="spellEnd"/>
          </w:p>
          <w:p w14:paraId="3505C05E"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proofErr w:type="spellStart"/>
            <w:r w:rsidRPr="00CD4DFB">
              <w:rPr>
                <w:rFonts w:asciiTheme="majorHAnsi" w:eastAsia="Times New Roman" w:hAnsiTheme="majorHAnsi" w:cstheme="majorHAnsi"/>
                <w:color w:val="000000"/>
                <w:sz w:val="14"/>
                <w:szCs w:val="16"/>
                <w:lang w:eastAsia="hu-HU"/>
              </w:rPr>
              <w:t>Rádiólokáció</w:t>
            </w:r>
            <w:proofErr w:type="spellEnd"/>
          </w:p>
        </w:tc>
        <w:tc>
          <w:tcPr>
            <w:tcW w:w="4253" w:type="dxa"/>
            <w:tcBorders>
              <w:top w:val="single" w:sz="5" w:space="0" w:color="000000"/>
              <w:left w:val="single" w:sz="5" w:space="0" w:color="000000"/>
            </w:tcBorders>
            <w:tcMar>
              <w:top w:w="15" w:type="dxa"/>
              <w:left w:w="15" w:type="dxa"/>
              <w:bottom w:w="15" w:type="dxa"/>
              <w:right w:w="15" w:type="dxa"/>
            </w:tcMar>
          </w:tcPr>
          <w:p w14:paraId="38B193E4"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2300–2450 MHz</w:t>
            </w:r>
          </w:p>
          <w:p w14:paraId="0F835F15"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ÁLLANDÓHELYŰ</w:t>
            </w:r>
          </w:p>
          <w:p w14:paraId="3DE36685"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MOZGÓ 5.384A</w:t>
            </w:r>
          </w:p>
          <w:p w14:paraId="57E0D781"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RÁDIÓLOKÁCIÓ</w:t>
            </w:r>
          </w:p>
          <w:p w14:paraId="67B84BE0"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proofErr w:type="spellStart"/>
            <w:r w:rsidRPr="00CD4DFB">
              <w:rPr>
                <w:rFonts w:asciiTheme="majorHAnsi" w:eastAsia="Times New Roman" w:hAnsiTheme="majorHAnsi" w:cstheme="majorHAnsi"/>
                <w:color w:val="000000"/>
                <w:sz w:val="14"/>
                <w:szCs w:val="16"/>
                <w:lang w:eastAsia="hu-HU"/>
              </w:rPr>
              <w:t>Amatőr</w:t>
            </w:r>
            <w:proofErr w:type="spellEnd"/>
          </w:p>
        </w:tc>
        <w:tc>
          <w:tcPr>
            <w:tcW w:w="1701" w:type="dxa"/>
            <w:tcBorders>
              <w:top w:val="single" w:sz="5" w:space="0" w:color="000000"/>
              <w:left w:val="single" w:sz="15" w:space="0" w:color="000000"/>
              <w:right w:val="single" w:sz="15" w:space="0" w:color="000000"/>
            </w:tcBorders>
            <w:tcMar>
              <w:top w:w="15" w:type="dxa"/>
              <w:left w:w="15" w:type="dxa"/>
              <w:bottom w:w="15" w:type="dxa"/>
              <w:right w:w="15" w:type="dxa"/>
            </w:tcMar>
          </w:tcPr>
          <w:p w14:paraId="2443AC50"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2300–2450 MHz</w:t>
            </w:r>
          </w:p>
          <w:p w14:paraId="53364E08"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ÁLLANDÓHELYŰ</w:t>
            </w:r>
          </w:p>
          <w:p w14:paraId="655C61FE"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MOZGÓ 5.384A</w:t>
            </w:r>
          </w:p>
          <w:p w14:paraId="24284C5B"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proofErr w:type="spellStart"/>
            <w:r w:rsidRPr="00CD4DFB">
              <w:rPr>
                <w:rFonts w:asciiTheme="majorHAnsi" w:eastAsia="Times New Roman" w:hAnsiTheme="majorHAnsi" w:cstheme="majorHAnsi"/>
                <w:color w:val="000000"/>
                <w:sz w:val="14"/>
                <w:szCs w:val="16"/>
                <w:lang w:eastAsia="hu-HU"/>
              </w:rPr>
              <w:t>Amatőr</w:t>
            </w:r>
            <w:proofErr w:type="spellEnd"/>
          </w:p>
          <w:p w14:paraId="3905F4EF"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proofErr w:type="spellStart"/>
            <w:r w:rsidRPr="00CD4DFB">
              <w:rPr>
                <w:rFonts w:asciiTheme="majorHAnsi" w:eastAsia="Times New Roman" w:hAnsiTheme="majorHAnsi" w:cstheme="majorHAnsi"/>
                <w:color w:val="000000"/>
                <w:sz w:val="14"/>
                <w:szCs w:val="16"/>
                <w:lang w:eastAsia="hu-HU"/>
              </w:rPr>
              <w:t>Rádiólokáció</w:t>
            </w:r>
            <w:proofErr w:type="spellEnd"/>
          </w:p>
        </w:tc>
      </w:tr>
      <w:tr w:rsidR="00475E60" w:rsidRPr="007553B5" w14:paraId="3C11D019" w14:textId="77777777" w:rsidTr="007553B5">
        <w:trPr>
          <w:cantSplit/>
        </w:trPr>
        <w:tc>
          <w:tcPr>
            <w:tcW w:w="567" w:type="dxa"/>
            <w:tcBorders>
              <w:left w:val="single" w:sz="5" w:space="0" w:color="000000"/>
              <w:bottom w:val="single" w:sz="5" w:space="0" w:color="000000"/>
              <w:right w:val="single" w:sz="15" w:space="0" w:color="000000"/>
            </w:tcBorders>
            <w:tcMar>
              <w:top w:w="15" w:type="dxa"/>
              <w:left w:w="15" w:type="dxa"/>
              <w:bottom w:w="15" w:type="dxa"/>
              <w:right w:w="15" w:type="dxa"/>
            </w:tcMar>
          </w:tcPr>
          <w:p w14:paraId="69935BF0"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w:t>
            </w:r>
          </w:p>
        </w:tc>
        <w:tc>
          <w:tcPr>
            <w:tcW w:w="1701" w:type="dxa"/>
            <w:tcBorders>
              <w:left w:val="single" w:sz="5" w:space="0" w:color="000000"/>
              <w:bottom w:val="single" w:sz="5" w:space="0" w:color="000000"/>
              <w:right w:val="single" w:sz="5" w:space="0" w:color="000000"/>
            </w:tcBorders>
            <w:tcMar>
              <w:top w:w="15" w:type="dxa"/>
              <w:left w:w="15" w:type="dxa"/>
              <w:bottom w:w="15" w:type="dxa"/>
              <w:right w:w="15" w:type="dxa"/>
            </w:tcMar>
            <w:vAlign w:val="bottom"/>
          </w:tcPr>
          <w:p w14:paraId="553B06C3"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w:t>
            </w:r>
          </w:p>
          <w:p w14:paraId="547F5B5A"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xml:space="preserve"> 5.150 5.282 5.395</w:t>
            </w:r>
          </w:p>
        </w:tc>
        <w:tc>
          <w:tcPr>
            <w:tcW w:w="4253" w:type="dxa"/>
            <w:tcBorders>
              <w:left w:val="single" w:sz="5" w:space="0" w:color="000000"/>
              <w:bottom w:val="single" w:sz="5" w:space="0" w:color="000000"/>
            </w:tcBorders>
            <w:tcMar>
              <w:top w:w="15" w:type="dxa"/>
              <w:left w:w="15" w:type="dxa"/>
              <w:bottom w:w="15" w:type="dxa"/>
              <w:right w:w="15" w:type="dxa"/>
            </w:tcMar>
          </w:tcPr>
          <w:p w14:paraId="34E076D8"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w:t>
            </w:r>
          </w:p>
          <w:p w14:paraId="223C0C92"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w:t>
            </w:r>
          </w:p>
          <w:p w14:paraId="74BAF72E"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xml:space="preserve"> 5.150 5.282 5.393 5.394 5.396</w:t>
            </w:r>
          </w:p>
        </w:tc>
        <w:tc>
          <w:tcPr>
            <w:tcW w:w="1701" w:type="dxa"/>
            <w:tcBorders>
              <w:left w:val="single" w:sz="15" w:space="0" w:color="000000"/>
              <w:bottom w:val="single" w:sz="5" w:space="0" w:color="000000"/>
              <w:right w:val="single" w:sz="15" w:space="0" w:color="000000"/>
            </w:tcBorders>
            <w:tcMar>
              <w:top w:w="15" w:type="dxa"/>
              <w:left w:w="15" w:type="dxa"/>
              <w:bottom w:w="15" w:type="dxa"/>
              <w:right w:w="15" w:type="dxa"/>
            </w:tcMar>
            <w:vAlign w:val="bottom"/>
          </w:tcPr>
          <w:p w14:paraId="43A99E1D" w14:textId="77777777" w:rsidR="00475E60" w:rsidRPr="00CD4DFB" w:rsidRDefault="00475E60" w:rsidP="007553B5">
            <w:pPr>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w:t>
            </w:r>
          </w:p>
          <w:p w14:paraId="5D23A8DB" w14:textId="77777777" w:rsidR="00475E60" w:rsidRPr="00CD4DFB" w:rsidRDefault="00475E60" w:rsidP="00C64001">
            <w:pPr>
              <w:keepNext/>
              <w:spacing w:after="0" w:line="240" w:lineRule="auto"/>
              <w:jc w:val="left"/>
              <w:rPr>
                <w:rFonts w:asciiTheme="majorHAnsi" w:eastAsia="Times New Roman" w:hAnsiTheme="majorHAnsi" w:cstheme="majorHAnsi"/>
                <w:color w:val="000000"/>
                <w:sz w:val="14"/>
                <w:szCs w:val="16"/>
                <w:lang w:eastAsia="hu-HU"/>
              </w:rPr>
            </w:pPr>
            <w:r w:rsidRPr="00CD4DFB">
              <w:rPr>
                <w:rFonts w:asciiTheme="majorHAnsi" w:eastAsia="Times New Roman" w:hAnsiTheme="majorHAnsi" w:cstheme="majorHAnsi"/>
                <w:color w:val="000000"/>
                <w:sz w:val="14"/>
                <w:szCs w:val="16"/>
                <w:lang w:eastAsia="hu-HU"/>
              </w:rPr>
              <w:t xml:space="preserve"> 5.150 5.282</w:t>
            </w:r>
          </w:p>
        </w:tc>
      </w:tr>
    </w:tbl>
    <w:p w14:paraId="12691033" w14:textId="77777777" w:rsidR="00475E60" w:rsidRDefault="00C64001" w:rsidP="00C64001">
      <w:pPr>
        <w:pStyle w:val="Kpalrs"/>
        <w:jc w:val="center"/>
        <w:rPr>
          <w:noProof/>
        </w:rPr>
      </w:pPr>
      <w:r>
        <w:rPr>
          <w:noProof/>
        </w:rPr>
        <w:t>3.1.1 Táblázat</w:t>
      </w:r>
    </w:p>
    <w:p w14:paraId="639F2215" w14:textId="08E3FB0D" w:rsidR="009507B1" w:rsidRPr="00D86540" w:rsidRDefault="004501FE" w:rsidP="009507B1">
      <w:pPr>
        <w:pStyle w:val="Behzottbekezdsnmhh"/>
      </w:pPr>
      <w:r>
        <w:t xml:space="preserve">Magyarországon az NFFF 2. melléklete szerint </w:t>
      </w:r>
      <w:r w:rsidR="00B66497">
        <w:t xml:space="preserve">csak </w:t>
      </w:r>
      <w:r>
        <w:t xml:space="preserve">a 2300-2400 MHz sáv </w:t>
      </w:r>
      <w:r w:rsidR="005A42B2">
        <w:t xml:space="preserve">felosztott az </w:t>
      </w:r>
      <w:r>
        <w:t>állandóhelyű és mozgószolgálat számára</w:t>
      </w:r>
      <w:r w:rsidR="005A42B2">
        <w:t>.</w:t>
      </w:r>
      <w:r w:rsidR="002C5905">
        <w:t xml:space="preserve"> </w:t>
      </w:r>
      <w:r w:rsidR="009507B1" w:rsidRPr="00D86540">
        <w:t>A mozgószolgálatra a</w:t>
      </w:r>
      <w:r w:rsidR="00F27A47">
        <w:t>z 5.384A</w:t>
      </w:r>
      <w:r w:rsidR="009507B1" w:rsidRPr="00D86540">
        <w:t xml:space="preserve"> lábjegyzet vonatkozik:</w:t>
      </w:r>
    </w:p>
    <w:p w14:paraId="6AEB6A40" w14:textId="65128E03" w:rsidR="009507B1" w:rsidRPr="00CB7D6D" w:rsidRDefault="009507B1" w:rsidP="00CB7D6D">
      <w:pPr>
        <w:pStyle w:val="Behzottbekezdsnmhh"/>
        <w:ind w:left="284" w:right="992" w:firstLine="0"/>
        <w:rPr>
          <w:i/>
        </w:rPr>
      </w:pPr>
      <w:r w:rsidRPr="00CB7D6D">
        <w:rPr>
          <w:i/>
        </w:rPr>
        <w:lastRenderedPageBreak/>
        <w:t xml:space="preserve">„Az 1710−1885 MHz, a 2300−2400 MHz és a 2500−2690 MHz </w:t>
      </w:r>
      <w:r w:rsidR="009A596C">
        <w:rPr>
          <w:i/>
        </w:rPr>
        <w:t>frekvencia</w:t>
      </w:r>
      <w:r w:rsidRPr="00CB7D6D">
        <w:rPr>
          <w:i/>
        </w:rPr>
        <w:t xml:space="preserve">sáv vagy azok egyes részei azon igazgatások általi használatra vannak </w:t>
      </w:r>
      <w:r w:rsidR="009A596C">
        <w:rPr>
          <w:i/>
        </w:rPr>
        <w:t>előirányozva</w:t>
      </w:r>
      <w:r w:rsidRPr="00CB7D6D">
        <w:rPr>
          <w:i/>
        </w:rPr>
        <w:t>, amelyek a nemzetközi mozgó távközlést (IMT) kívánják megvalósítani a 223. (Rev</w:t>
      </w:r>
      <w:proofErr w:type="gramStart"/>
      <w:r w:rsidRPr="00CB7D6D">
        <w:rPr>
          <w:i/>
        </w:rPr>
        <w:t>.WRC</w:t>
      </w:r>
      <w:r w:rsidRPr="00CB7D6D">
        <w:rPr>
          <w:i/>
        </w:rPr>
        <w:noBreakHyphen/>
      </w:r>
      <w:r w:rsidR="009A596C">
        <w:rPr>
          <w:i/>
        </w:rPr>
        <w:t>15</w:t>
      </w:r>
      <w:proofErr w:type="gramEnd"/>
      <w:r w:rsidRPr="00CB7D6D">
        <w:rPr>
          <w:i/>
        </w:rPr>
        <w:t>) Határozatnak megfelelően. Ez a</w:t>
      </w:r>
      <w:r w:rsidR="00221308">
        <w:rPr>
          <w:i/>
        </w:rPr>
        <w:t>z</w:t>
      </w:r>
      <w:r w:rsidRPr="00CB7D6D">
        <w:rPr>
          <w:i/>
        </w:rPr>
        <w:t xml:space="preserve"> </w:t>
      </w:r>
      <w:r w:rsidR="00FE47CB" w:rsidRPr="00FE47CB">
        <w:rPr>
          <w:i/>
        </w:rPr>
        <w:t>előirányzás</w:t>
      </w:r>
      <w:r w:rsidR="00FE47CB">
        <w:rPr>
          <w:i/>
        </w:rPr>
        <w:t xml:space="preserve"> </w:t>
      </w:r>
      <w:r w:rsidRPr="00CB7D6D">
        <w:rPr>
          <w:i/>
        </w:rPr>
        <w:t xml:space="preserve">nem zárja ki, hogy ezen </w:t>
      </w:r>
      <w:r w:rsidR="00FE47CB">
        <w:rPr>
          <w:i/>
        </w:rPr>
        <w:t>frekvencia</w:t>
      </w:r>
      <w:r w:rsidRPr="00CB7D6D">
        <w:rPr>
          <w:i/>
        </w:rPr>
        <w:t>sávokat azon szolgálatok bármely alkalmazása használja, amelyek számára ezeket a sávokat felosztották, továbbá a Rádiószabályzatban sem biztosít elsőbbséget. (WRC-</w:t>
      </w:r>
      <w:r w:rsidR="009A596C">
        <w:rPr>
          <w:i/>
        </w:rPr>
        <w:t>15</w:t>
      </w:r>
      <w:r w:rsidRPr="00CB7D6D">
        <w:rPr>
          <w:i/>
        </w:rPr>
        <w:t>)”</w:t>
      </w:r>
    </w:p>
    <w:p w14:paraId="6458054B" w14:textId="6BDF31A9" w:rsidR="00022E75" w:rsidRDefault="009507B1" w:rsidP="00BE07D2">
      <w:pPr>
        <w:pStyle w:val="Behzottbekezdsnmhh"/>
      </w:pPr>
      <w:r w:rsidRPr="00D86540">
        <w:t>A</w:t>
      </w:r>
      <w:r w:rsidR="00FE47CB">
        <w:t>z RR</w:t>
      </w:r>
      <w:r w:rsidR="004501FE">
        <w:t xml:space="preserve"> szerinti</w:t>
      </w:r>
      <w:r w:rsidRPr="00D86540">
        <w:t xml:space="preserve"> </w:t>
      </w:r>
      <w:r w:rsidR="0014621D">
        <w:t>felosztásban a</w:t>
      </w:r>
      <w:r w:rsidR="0014621D" w:rsidRPr="00D86540">
        <w:t xml:space="preserve"> </w:t>
      </w:r>
      <w:r w:rsidRPr="00D86540">
        <w:t>2300-2450 MHz</w:t>
      </w:r>
      <w:r w:rsidR="0014621D">
        <w:t xml:space="preserve"> sávon belül</w:t>
      </w:r>
      <w:r w:rsidRPr="00D86540">
        <w:t xml:space="preserve"> </w:t>
      </w:r>
      <w:r w:rsidR="004475AA" w:rsidRPr="00D86540">
        <w:t>Magyarország</w:t>
      </w:r>
      <w:r w:rsidR="0014621D">
        <w:t>ot</w:t>
      </w:r>
      <w:r w:rsidRPr="00D86540">
        <w:t xml:space="preserve"> </w:t>
      </w:r>
      <w:r w:rsidR="00FE47CB">
        <w:t xml:space="preserve">a fenti lábjegyzeten kívül </w:t>
      </w:r>
      <w:r w:rsidRPr="00D86540">
        <w:t>az</w:t>
      </w:r>
      <w:r w:rsidR="00D60243" w:rsidRPr="00D86540">
        <w:t xml:space="preserve"> 5.150</w:t>
      </w:r>
      <w:r w:rsidR="004475AA" w:rsidRPr="00D86540">
        <w:t xml:space="preserve"> és az</w:t>
      </w:r>
      <w:r w:rsidR="00D60243" w:rsidRPr="00D86540">
        <w:t xml:space="preserve"> 5.282</w:t>
      </w:r>
      <w:r w:rsidR="004475AA" w:rsidRPr="00D86540">
        <w:t xml:space="preserve"> lábjegyzet</w:t>
      </w:r>
      <w:r w:rsidR="0014621D">
        <w:t>ek érintik</w:t>
      </w:r>
      <w:r w:rsidR="004475AA" w:rsidRPr="00D86540">
        <w:t xml:space="preserve"> </w:t>
      </w:r>
      <w:r w:rsidR="004501FE">
        <w:t>(NFFF 1. melléklet)</w:t>
      </w:r>
      <w:r w:rsidR="004475AA" w:rsidRPr="00D86540">
        <w:t>,</w:t>
      </w:r>
      <w:r w:rsidRPr="00D86540">
        <w:t xml:space="preserve"> melyek</w:t>
      </w:r>
      <w:r w:rsidR="004501FE">
        <w:t xml:space="preserve"> </w:t>
      </w:r>
      <w:r w:rsidR="00022E75">
        <w:t xml:space="preserve">azonban </w:t>
      </w:r>
      <w:r w:rsidR="004501FE">
        <w:t>csak</w:t>
      </w:r>
      <w:r w:rsidRPr="00D86540">
        <w:t xml:space="preserve"> a 2400 MHz feletti sávrészre adnak meg szabályokat</w:t>
      </w:r>
      <w:r w:rsidR="004475AA" w:rsidRPr="00D86540">
        <w:t xml:space="preserve">. </w:t>
      </w:r>
    </w:p>
    <w:p w14:paraId="1FD00BC1" w14:textId="6C8114E8" w:rsidR="006F356E" w:rsidRDefault="00C43C6F" w:rsidP="007D3867">
      <w:pPr>
        <w:pStyle w:val="Behzottbekezdsnmhh"/>
      </w:pPr>
      <w:r w:rsidRPr="001E56BE">
        <w:t>Az ITU-R M.1036-</w:t>
      </w:r>
      <w:r w:rsidR="00475E60">
        <w:t>6</w:t>
      </w:r>
      <w:r w:rsidRPr="001E56BE">
        <w:t xml:space="preserve"> </w:t>
      </w:r>
      <w:r w:rsidR="00FE47CB">
        <w:t>A</w:t>
      </w:r>
      <w:r w:rsidRPr="001E56BE">
        <w:t>jánlás</w:t>
      </w:r>
      <w:r w:rsidR="000F739D">
        <w:rPr>
          <w:rStyle w:val="Lbjegyzet-hivatkozs"/>
        </w:rPr>
        <w:footnoteReference w:id="12"/>
      </w:r>
      <w:r w:rsidR="007D1912">
        <w:t xml:space="preserve"> mellékletének </w:t>
      </w:r>
      <w:r w:rsidR="00475E60">
        <w:t>6</w:t>
      </w:r>
      <w:r w:rsidR="007D1912">
        <w:t>. szakaszában</w:t>
      </w:r>
      <w:r w:rsidRPr="001E56BE">
        <w:t xml:space="preserve"> foglalt preferált frekvenciaelrendezés szerint a teljes 100 MHz-</w:t>
      </w:r>
      <w:proofErr w:type="spellStart"/>
      <w:r w:rsidRPr="001E56BE">
        <w:t>nyi</w:t>
      </w:r>
      <w:proofErr w:type="spellEnd"/>
      <w:r w:rsidRPr="001E56BE">
        <w:t xml:space="preserve"> sáv</w:t>
      </w:r>
      <w:r w:rsidR="0071526D" w:rsidRPr="001E56BE">
        <w:t>részben</w:t>
      </w:r>
      <w:r w:rsidRPr="001E56BE">
        <w:t xml:space="preserve"> TDD alapon </w:t>
      </w:r>
      <w:r w:rsidR="005A42B2">
        <w:t>lehet</w:t>
      </w:r>
      <w:r w:rsidR="005A42B2" w:rsidRPr="001E56BE">
        <w:t xml:space="preserve"> </w:t>
      </w:r>
      <w:r w:rsidRPr="001E56BE">
        <w:t>IMT</w:t>
      </w:r>
      <w:r w:rsidR="00036EE1">
        <w:rPr>
          <w:rStyle w:val="Lbjegyzet-hivatkozs"/>
        </w:rPr>
        <w:footnoteReference w:id="13"/>
      </w:r>
      <w:r w:rsidRPr="001E56BE">
        <w:t xml:space="preserve"> rendszereket megvalósítani</w:t>
      </w:r>
      <w:r w:rsidR="008D72F4" w:rsidRPr="001E56BE">
        <w:t>.</w:t>
      </w:r>
    </w:p>
    <w:p w14:paraId="0B5FA81C" w14:textId="77777777" w:rsidR="002745C4" w:rsidRDefault="001E56BE" w:rsidP="00BE07D2">
      <w:pPr>
        <w:pStyle w:val="Behzottbekezdsnmhh"/>
      </w:pPr>
      <w:r>
        <w:t>A hatékony spektrummegosztást támogató szabályozási eszközökről szóló ITU-R SM.2404-0 Ajánlás</w:t>
      </w:r>
      <w:r w:rsidR="007926BA">
        <w:rPr>
          <w:rStyle w:val="Lbjegyzet-hivatkozs"/>
        </w:rPr>
        <w:footnoteReference w:id="14"/>
      </w:r>
      <w:r>
        <w:t xml:space="preserve"> foglalkozik az LSA-</w:t>
      </w:r>
      <w:proofErr w:type="spellStart"/>
      <w:r>
        <w:t>val</w:t>
      </w:r>
      <w:proofErr w:type="spellEnd"/>
      <w:r w:rsidR="007D3867">
        <w:t>, mint alkalmas spektrummegosztási módszerrel.</w:t>
      </w:r>
    </w:p>
    <w:p w14:paraId="6FC0E81A" w14:textId="77777777" w:rsidR="008D695D" w:rsidRDefault="008431C6" w:rsidP="008D695D">
      <w:pPr>
        <w:pStyle w:val="Behzottbekezdsnmhh"/>
      </w:pPr>
      <w:r w:rsidRPr="00022495">
        <w:t xml:space="preserve">Az ITU-ban jelenleg nincs folyamatban levő, a </w:t>
      </w:r>
      <w:r w:rsidR="005A42B2">
        <w:t>2300-2400 MHz frekvencia</w:t>
      </w:r>
      <w:r w:rsidRPr="00022495">
        <w:t xml:space="preserve">sáv szabályozását érintő módosítási </w:t>
      </w:r>
      <w:r w:rsidR="007926BA">
        <w:t>eljárás</w:t>
      </w:r>
      <w:r>
        <w:t>.</w:t>
      </w:r>
    </w:p>
    <w:p w14:paraId="3042164D" w14:textId="77777777" w:rsidR="005D09CC" w:rsidRPr="00D86540" w:rsidRDefault="005D09CC" w:rsidP="00D04CAD">
      <w:pPr>
        <w:pStyle w:val="Cmsor3szmozottnmhh"/>
        <w:spacing w:before="360"/>
      </w:pPr>
      <w:bookmarkStart w:id="7" w:name="_Toc96075705"/>
      <w:r w:rsidRPr="00D86540">
        <w:t>CEPT</w:t>
      </w:r>
      <w:bookmarkEnd w:id="7"/>
    </w:p>
    <w:p w14:paraId="725E60D6" w14:textId="1DA02B2A" w:rsidR="00A673E4" w:rsidRDefault="00471F2D" w:rsidP="00C43C6F">
      <w:pPr>
        <w:pStyle w:val="Behzottbekezdsnmhh"/>
      </w:pPr>
      <w:r w:rsidRPr="008009F0">
        <w:t xml:space="preserve">Az </w:t>
      </w:r>
      <w:r>
        <w:t>ECC/</w:t>
      </w:r>
      <w:proofErr w:type="gramStart"/>
      <w:r>
        <w:t>DEC(</w:t>
      </w:r>
      <w:proofErr w:type="gramEnd"/>
      <w:r>
        <w:t>14)02</w:t>
      </w:r>
      <w:r w:rsidR="007926BA">
        <w:rPr>
          <w:rStyle w:val="Lbjegyzet-hivatkozs"/>
        </w:rPr>
        <w:footnoteReference w:id="15"/>
      </w:r>
      <w:r>
        <w:t xml:space="preserve"> </w:t>
      </w:r>
      <w:r w:rsidR="007D16C6">
        <w:t>H</w:t>
      </w:r>
      <w:r>
        <w:t xml:space="preserve">atározat </w:t>
      </w:r>
      <w:r w:rsidR="00DF0860">
        <w:t>tartalmazza</w:t>
      </w:r>
      <w:r>
        <w:t xml:space="preserve"> a lehető legkevésbé </w:t>
      </w:r>
      <w:r w:rsidR="0071526D">
        <w:t xml:space="preserve">korlátozó </w:t>
      </w:r>
      <w:r>
        <w:t xml:space="preserve">műszaki feltételeket a </w:t>
      </w:r>
      <w:r w:rsidR="0014621D">
        <w:t xml:space="preserve">2300-2400 MHz </w:t>
      </w:r>
      <w:r w:rsidR="00E51C4E">
        <w:t>frekvencia</w:t>
      </w:r>
      <w:r>
        <w:t xml:space="preserve">sáv használatára vonatkozóan annak érdekében, hogy a </w:t>
      </w:r>
      <w:r w:rsidR="00E51C4E">
        <w:t>frekvencia</w:t>
      </w:r>
      <w:r>
        <w:t xml:space="preserve">sávban könnyítse, a CEPT-tagállamokra vonatkozóan közös irányba terelje, </w:t>
      </w:r>
      <w:r w:rsidR="00DD6833">
        <w:t xml:space="preserve">(nem kötelező jelleggel) </w:t>
      </w:r>
      <w:r>
        <w:t xml:space="preserve">harmonizálja a </w:t>
      </w:r>
      <w:r w:rsidR="00AE7707">
        <w:t>rádióspektrum-használat</w:t>
      </w:r>
      <w:r>
        <w:t xml:space="preserve">ot </w:t>
      </w:r>
      <w:r w:rsidR="008F396A">
        <w:t>vezetéknélküli szélessávú alkalmazások (</w:t>
      </w:r>
      <w:r w:rsidR="00A06F87">
        <w:t>WBB</w:t>
      </w:r>
      <w:r w:rsidR="00227955">
        <w:rPr>
          <w:rStyle w:val="Lbjegyzet-hivatkozs"/>
        </w:rPr>
        <w:footnoteReference w:id="16"/>
      </w:r>
      <w:r w:rsidR="008F396A">
        <w:t>)</w:t>
      </w:r>
      <w:r w:rsidR="00A06F87">
        <w:t xml:space="preserve"> cé</w:t>
      </w:r>
      <w:r w:rsidR="0086608B">
        <w:t>l</w:t>
      </w:r>
      <w:r w:rsidR="008F396A">
        <w:t>jára</w:t>
      </w:r>
      <w:r w:rsidR="00A06F87">
        <w:t xml:space="preserve"> </w:t>
      </w:r>
      <w:r>
        <w:t xml:space="preserve">az </w:t>
      </w:r>
      <w:proofErr w:type="spellStart"/>
      <w:r>
        <w:t>inkumbens</w:t>
      </w:r>
      <w:proofErr w:type="spellEnd"/>
      <w:r>
        <w:t xml:space="preserve"> alkalmazások ellehet</w:t>
      </w:r>
      <w:r w:rsidR="0014621D">
        <w:t>et</w:t>
      </w:r>
      <w:r>
        <w:t xml:space="preserve">lenítése nélkül. </w:t>
      </w:r>
      <w:r w:rsidR="00AF751D" w:rsidRPr="00D86540">
        <w:t xml:space="preserve">Ehhez </w:t>
      </w:r>
      <w:r w:rsidR="008D6E69">
        <w:t xml:space="preserve">meghatároz </w:t>
      </w:r>
      <w:r w:rsidR="00F2135C" w:rsidRPr="00FA1575">
        <w:t>blokkszéli maszk (</w:t>
      </w:r>
      <w:proofErr w:type="spellStart"/>
      <w:r w:rsidR="00F2135C" w:rsidRPr="00FA1575">
        <w:t>block</w:t>
      </w:r>
      <w:proofErr w:type="spellEnd"/>
      <w:r w:rsidR="00F2135C" w:rsidRPr="00FA1575">
        <w:t xml:space="preserve"> </w:t>
      </w:r>
      <w:proofErr w:type="spellStart"/>
      <w:r w:rsidR="00F2135C" w:rsidRPr="00FA1575">
        <w:t>edge</w:t>
      </w:r>
      <w:proofErr w:type="spellEnd"/>
      <w:r w:rsidR="00F2135C" w:rsidRPr="00FA1575">
        <w:t xml:space="preserve"> </w:t>
      </w:r>
      <w:proofErr w:type="spellStart"/>
      <w:r w:rsidR="00F2135C" w:rsidRPr="00FA1575">
        <w:t>mask</w:t>
      </w:r>
      <w:proofErr w:type="spellEnd"/>
      <w:r w:rsidR="00F2135C" w:rsidRPr="00FA1575">
        <w:t>, BEM)</w:t>
      </w:r>
      <w:r w:rsidR="00F2135C">
        <w:t xml:space="preserve"> </w:t>
      </w:r>
      <w:r w:rsidR="00F2135C" w:rsidRPr="00FA1575">
        <w:t>néven összefoglalt műszaki paramétereket</w:t>
      </w:r>
      <w:r w:rsidR="008D6E69">
        <w:t>,</w:t>
      </w:r>
      <w:r w:rsidR="00F2135C" w:rsidRPr="00D86540" w:rsidDel="00F2135C">
        <w:t xml:space="preserve"> </w:t>
      </w:r>
      <w:r w:rsidR="006B069D" w:rsidRPr="00D86540">
        <w:t>és</w:t>
      </w:r>
      <w:r w:rsidR="00AF751D" w:rsidRPr="00D86540">
        <w:t xml:space="preserve"> megadja a javasolt csatornaosztást </w:t>
      </w:r>
      <w:r w:rsidR="006B069D" w:rsidRPr="00D86540">
        <w:t xml:space="preserve">is </w:t>
      </w:r>
      <w:r w:rsidR="00AF751D" w:rsidRPr="00D86540">
        <w:t>(20 db 5 MHz</w:t>
      </w:r>
      <w:r w:rsidR="00227955">
        <w:t>-es</w:t>
      </w:r>
      <w:r w:rsidR="00AF751D" w:rsidRPr="00D86540">
        <w:t xml:space="preserve"> </w:t>
      </w:r>
      <w:r w:rsidR="007928B0">
        <w:t>blokk</w:t>
      </w:r>
      <w:r w:rsidR="00AF751D" w:rsidRPr="00D86540">
        <w:t>, amelyek</w:t>
      </w:r>
      <w:r w:rsidR="00DF0860">
        <w:t xml:space="preserve"> összevonhatók nagyobb sávszélességű csatornák elérése céljából</w:t>
      </w:r>
      <w:r w:rsidR="00AF751D" w:rsidRPr="00D86540">
        <w:t>)</w:t>
      </w:r>
      <w:r w:rsidR="006B069D" w:rsidRPr="00D86540">
        <w:t>.</w:t>
      </w:r>
      <w:r w:rsidR="00033171">
        <w:t xml:space="preserve"> </w:t>
      </w:r>
    </w:p>
    <w:p w14:paraId="29B5DBEB" w14:textId="77777777" w:rsidR="00E85E5A" w:rsidRDefault="00E85E5A" w:rsidP="00F50143">
      <w:pPr>
        <w:pStyle w:val="Behzottbekezdsnmhh"/>
        <w:keepNext/>
      </w:pPr>
      <w:r>
        <w:rPr>
          <w:noProof/>
          <w:lang w:eastAsia="hu-HU"/>
        </w:rPr>
        <w:drawing>
          <wp:inline distT="0" distB="0" distL="0" distR="0" wp14:anchorId="05E7E9D0" wp14:editId="2D0185FD">
            <wp:extent cx="5760720" cy="139639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0720" cy="1396390"/>
                    </a:xfrm>
                    <a:prstGeom prst="rect">
                      <a:avLst/>
                    </a:prstGeom>
                  </pic:spPr>
                </pic:pic>
              </a:graphicData>
            </a:graphic>
          </wp:inline>
        </w:drawing>
      </w:r>
    </w:p>
    <w:p w14:paraId="40C288AF" w14:textId="77777777" w:rsidR="00E85E5A" w:rsidRPr="00D86540" w:rsidRDefault="000A0E71" w:rsidP="00F50143">
      <w:pPr>
        <w:pStyle w:val="Kpalrs"/>
        <w:jc w:val="center"/>
      </w:pPr>
      <w:r>
        <w:t>3.1.2</w:t>
      </w:r>
      <w:r w:rsidR="00E85E5A">
        <w:t>. ábra Csatornaosztás</w:t>
      </w:r>
    </w:p>
    <w:p w14:paraId="020271E7" w14:textId="0D89E2AA" w:rsidR="00A673E4" w:rsidRPr="00D86540" w:rsidRDefault="006B069D" w:rsidP="00C43C6F">
      <w:pPr>
        <w:pStyle w:val="Behzottbekezdsnmhh"/>
      </w:pPr>
      <w:r w:rsidRPr="00D86540">
        <w:t xml:space="preserve">A </w:t>
      </w:r>
      <w:r w:rsidR="00471F2D">
        <w:t xml:space="preserve">CEPT a </w:t>
      </w:r>
      <w:r w:rsidRPr="00D86540">
        <w:t xml:space="preserve">BEM megállapításakor nincs </w:t>
      </w:r>
      <w:proofErr w:type="gramStart"/>
      <w:r w:rsidRPr="00D86540">
        <w:t>figyelemmel</w:t>
      </w:r>
      <w:proofErr w:type="gramEnd"/>
      <w:r w:rsidRPr="00D86540">
        <w:t xml:space="preserve"> a sávval</w:t>
      </w:r>
      <w:r w:rsidR="000873B5" w:rsidRPr="00D86540">
        <w:t xml:space="preserve"> szomszédos,</w:t>
      </w:r>
      <w:r w:rsidRPr="00D86540">
        <w:t xml:space="preserve"> 2300 MH</w:t>
      </w:r>
      <w:r w:rsidR="000873B5" w:rsidRPr="00D86540">
        <w:t>z</w:t>
      </w:r>
      <w:r w:rsidRPr="00D86540">
        <w:t xml:space="preserve"> alatti tartományban üzemelő alkalmazásokkal egyidejű sávhaszná</w:t>
      </w:r>
      <w:r w:rsidR="006D12DF">
        <w:t>latra. Ennek kezelésére a</w:t>
      </w:r>
      <w:r w:rsidR="005E7CD4">
        <w:t>z</w:t>
      </w:r>
      <w:r w:rsidR="006D12DF">
        <w:t xml:space="preserve"> </w:t>
      </w:r>
      <w:r w:rsidRPr="00D86540">
        <w:t xml:space="preserve">ECC </w:t>
      </w:r>
      <w:r w:rsidR="006D12DF">
        <w:t>172.</w:t>
      </w:r>
      <w:r w:rsidR="006D12DF" w:rsidRPr="00D86540">
        <w:t xml:space="preserve"> </w:t>
      </w:r>
      <w:r w:rsidR="006D12DF">
        <w:lastRenderedPageBreak/>
        <w:t>J</w:t>
      </w:r>
      <w:r w:rsidRPr="00D86540">
        <w:t>elentésben</w:t>
      </w:r>
      <w:r w:rsidR="007926BA">
        <w:rPr>
          <w:rStyle w:val="Lbjegyzet-hivatkozs"/>
        </w:rPr>
        <w:footnoteReference w:id="17"/>
      </w:r>
      <w:r w:rsidRPr="00D86540">
        <w:t xml:space="preserve"> található iránymutatás használata javasolt</w:t>
      </w:r>
      <w:r w:rsidR="000873B5" w:rsidRPr="00D86540">
        <w:t>, ami</w:t>
      </w:r>
      <w:r w:rsidR="00634521" w:rsidRPr="00D86540">
        <w:t xml:space="preserve"> a sávon belüli</w:t>
      </w:r>
      <w:r w:rsidR="00813B92">
        <w:t>, valamint</w:t>
      </w:r>
      <w:r w:rsidR="00634521" w:rsidRPr="00D86540">
        <w:t xml:space="preserve"> a sávo</w:t>
      </w:r>
      <w:r w:rsidR="003C1BC4">
        <w:t>n belüli és szomszédos sávokban található</w:t>
      </w:r>
      <w:r w:rsidR="00634521" w:rsidRPr="00D86540">
        <w:t xml:space="preserve"> alkalmazások közti kompatibilitás kérdéseit vizsgálja.</w:t>
      </w:r>
      <w:r w:rsidR="00A673E4" w:rsidRPr="00D86540">
        <w:t xml:space="preserve"> </w:t>
      </w:r>
    </w:p>
    <w:p w14:paraId="32D8539B" w14:textId="510A94BA" w:rsidR="00EB44C7" w:rsidRPr="00D86540" w:rsidRDefault="00EB44C7" w:rsidP="00C43C6F">
      <w:pPr>
        <w:pStyle w:val="Behzottbekezdsnmhh"/>
      </w:pPr>
      <w:r w:rsidRPr="00D86540">
        <w:t>A nemzetközi koordináció</w:t>
      </w:r>
      <w:r w:rsidR="00A673E4" w:rsidRPr="00D86540">
        <w:t xml:space="preserve"> (MFCN – MFCN; MFCN – más alkalmazás)</w:t>
      </w:r>
      <w:r w:rsidRPr="00D86540">
        <w:t xml:space="preserve"> </w:t>
      </w:r>
      <w:r w:rsidR="00DF0860">
        <w:t xml:space="preserve">határövezeti használatára vonatkozó nemzetközi koordinációs szabályokat </w:t>
      </w:r>
      <w:r w:rsidRPr="00D86540">
        <w:t>az ERC/REC</w:t>
      </w:r>
      <w:r w:rsidR="007D16C6">
        <w:t>/</w:t>
      </w:r>
      <w:r w:rsidRPr="00D86540">
        <w:t>(14</w:t>
      </w:r>
      <w:proofErr w:type="gramStart"/>
      <w:r w:rsidRPr="00D86540">
        <w:t>)04</w:t>
      </w:r>
      <w:proofErr w:type="gramEnd"/>
      <w:r w:rsidR="00227955">
        <w:rPr>
          <w:rStyle w:val="Lbjegyzet-hivatkozs"/>
        </w:rPr>
        <w:footnoteReference w:id="18"/>
      </w:r>
      <w:r w:rsidR="00AF751D" w:rsidRPr="00D86540">
        <w:t xml:space="preserve"> </w:t>
      </w:r>
      <w:r w:rsidR="007D16C6">
        <w:t>A</w:t>
      </w:r>
      <w:r w:rsidR="00AF751D" w:rsidRPr="00D86540">
        <w:t>jánlás</w:t>
      </w:r>
      <w:r w:rsidR="00DF0860">
        <w:t xml:space="preserve"> tartalmazza.</w:t>
      </w:r>
    </w:p>
    <w:p w14:paraId="300C2CFD" w14:textId="77777777" w:rsidR="002246EA" w:rsidRDefault="00471F2D" w:rsidP="006C0703">
      <w:pPr>
        <w:pStyle w:val="Behzottbekezdsnmhh"/>
      </w:pPr>
      <w:r>
        <w:t>Az</w:t>
      </w:r>
      <w:r w:rsidR="009E3C77">
        <w:t xml:space="preserve"> engedélyezett megosztott spektrumhozzáférés (LSA)</w:t>
      </w:r>
      <w:r w:rsidR="00E82069">
        <w:t xml:space="preserve"> koncepcióját és feltételeit az</w:t>
      </w:r>
      <w:r>
        <w:t xml:space="preserve"> </w:t>
      </w:r>
      <w:r w:rsidR="002246EA" w:rsidRPr="00ED370A">
        <w:t>ECC 205</w:t>
      </w:r>
      <w:r w:rsidR="006D12DF">
        <w:t>. J</w:t>
      </w:r>
      <w:r w:rsidR="00A06F87" w:rsidRPr="00ED370A">
        <w:t>elentés</w:t>
      </w:r>
      <w:r w:rsidR="007926BA">
        <w:rPr>
          <w:rStyle w:val="Lbjegyzet-hivatkozs"/>
        </w:rPr>
        <w:footnoteReference w:id="19"/>
      </w:r>
      <w:r w:rsidR="00A06F87">
        <w:t xml:space="preserve"> </w:t>
      </w:r>
      <w:r w:rsidR="00E82069">
        <w:t>részletezi</w:t>
      </w:r>
      <w:r w:rsidR="00B75CB5">
        <w:t>.</w:t>
      </w:r>
    </w:p>
    <w:p w14:paraId="5E26C1EC" w14:textId="45D55F9E" w:rsidR="006C0703" w:rsidRPr="006C0703" w:rsidRDefault="00E82069" w:rsidP="006C0703">
      <w:pPr>
        <w:pStyle w:val="Behzottbekezdsnmhh"/>
      </w:pPr>
      <w:r>
        <w:t>A</w:t>
      </w:r>
      <w:r w:rsidR="00A06F87">
        <w:t xml:space="preserve">z MFCN és PMSE közötti </w:t>
      </w:r>
      <w:r>
        <w:t xml:space="preserve">megosztásra vonatkozó szabályozási keret bevezetéséhez a 2300-2400 MHz </w:t>
      </w:r>
      <w:r w:rsidR="005D6DE4">
        <w:t>frekvencia</w:t>
      </w:r>
      <w:r>
        <w:t>sávban</w:t>
      </w:r>
      <w:r w:rsidR="00A06F87">
        <w:t xml:space="preserve"> </w:t>
      </w:r>
      <w:r w:rsidR="005D6DE4">
        <w:t xml:space="preserve">az </w:t>
      </w:r>
      <w:r w:rsidR="006C0703" w:rsidRPr="006C0703">
        <w:t>ECC/REC/(15</w:t>
      </w:r>
      <w:proofErr w:type="gramStart"/>
      <w:r w:rsidR="006C0703" w:rsidRPr="006C0703">
        <w:t>)04</w:t>
      </w:r>
      <w:proofErr w:type="gramEnd"/>
      <w:r w:rsidR="0021048F">
        <w:rPr>
          <w:rStyle w:val="Lbjegyzet-hivatkozs"/>
        </w:rPr>
        <w:footnoteReference w:id="20"/>
      </w:r>
      <w:r w:rsidR="00A06F87">
        <w:t xml:space="preserve"> </w:t>
      </w:r>
      <w:r w:rsidR="007D16C6">
        <w:t>A</w:t>
      </w:r>
      <w:r>
        <w:t>jánlás</w:t>
      </w:r>
      <w:r w:rsidR="006C0703" w:rsidRPr="006C0703">
        <w:t xml:space="preserve"> nyújt </w:t>
      </w:r>
      <w:r>
        <w:t>iránymutatást</w:t>
      </w:r>
      <w:r w:rsidRPr="006C0703">
        <w:t xml:space="preserve"> </w:t>
      </w:r>
      <w:r w:rsidR="006C0703" w:rsidRPr="006C0703">
        <w:t>a</w:t>
      </w:r>
      <w:r w:rsidR="00A06F87">
        <w:t xml:space="preserve">z </w:t>
      </w:r>
      <w:r w:rsidR="007D16C6">
        <w:t>igazgatások</w:t>
      </w:r>
      <w:r w:rsidR="007D16C6" w:rsidRPr="006C0703">
        <w:t xml:space="preserve"> </w:t>
      </w:r>
      <w:r w:rsidR="006C0703" w:rsidRPr="006C0703">
        <w:t>számára</w:t>
      </w:r>
      <w:r w:rsidR="00B75CB5">
        <w:t>.</w:t>
      </w:r>
    </w:p>
    <w:p w14:paraId="0FEA56AD" w14:textId="4E280F75" w:rsidR="006C0703" w:rsidRDefault="00984CBE" w:rsidP="006C0703">
      <w:pPr>
        <w:pStyle w:val="Behzottbekezdsnmhh"/>
      </w:pPr>
      <w:r>
        <w:t>Az EU megbízására</w:t>
      </w:r>
      <w:r w:rsidR="00704CD1">
        <w:t xml:space="preserve"> </w:t>
      </w:r>
      <w:r w:rsidR="008F396A">
        <w:t>válaszul</w:t>
      </w:r>
      <w:r w:rsidR="00CB7D6D">
        <w:t xml:space="preserve"> a CEPT</w:t>
      </w:r>
      <w:r w:rsidR="008F396A">
        <w:t xml:space="preserve"> </w:t>
      </w:r>
      <w:r>
        <w:t xml:space="preserve">elkészített </w:t>
      </w:r>
      <w:r w:rsidR="0021048F">
        <w:t xml:space="preserve">három műszaki </w:t>
      </w:r>
      <w:r>
        <w:t>jelentést</w:t>
      </w:r>
      <w:r w:rsidR="008F396A">
        <w:t>,</w:t>
      </w:r>
      <w:r>
        <w:t xml:space="preserve"> amelyek a </w:t>
      </w:r>
      <w:r w:rsidR="0021048F">
        <w:t>WBB</w:t>
      </w:r>
      <w:r w:rsidR="008F396A">
        <w:t xml:space="preserve"> alkalmazások</w:t>
      </w:r>
      <w:r w:rsidR="00210B08">
        <w:t xml:space="preserve"> </w:t>
      </w:r>
      <w:r>
        <w:t>használatának műszaki feltételeit</w:t>
      </w:r>
      <w:r w:rsidR="005D6DE4">
        <w:t xml:space="preserve"> (CEPT 55</w:t>
      </w:r>
      <w:r w:rsidR="007D16C6">
        <w:t>. Jelentés</w:t>
      </w:r>
      <w:r w:rsidR="005D6DE4">
        <w:rPr>
          <w:rStyle w:val="Lbjegyzet-hivatkozs"/>
        </w:rPr>
        <w:footnoteReference w:id="21"/>
      </w:r>
      <w:r w:rsidR="005D6DE4">
        <w:t>), valamint</w:t>
      </w:r>
      <w:r>
        <w:t xml:space="preserve"> azokat a feltételeket </w:t>
      </w:r>
      <w:r w:rsidR="002A10E8">
        <w:t xml:space="preserve">és </w:t>
      </w:r>
      <w:r>
        <w:t>szabályozói lehetőségeket</w:t>
      </w:r>
      <w:r w:rsidR="002E249D">
        <w:t xml:space="preserve"> </w:t>
      </w:r>
      <w:r w:rsidR="002E249D" w:rsidRPr="006D12DF">
        <w:t>tartalmazzák</w:t>
      </w:r>
      <w:r>
        <w:t>, amelyek lehetővé tennék a</w:t>
      </w:r>
      <w:r w:rsidR="00210B08">
        <w:t xml:space="preserve"> sáv megosztott használatát a</w:t>
      </w:r>
      <w:r>
        <w:t xml:space="preserve"> WBB</w:t>
      </w:r>
      <w:r w:rsidR="00210B08">
        <w:t xml:space="preserve"> és az </w:t>
      </w:r>
      <w:proofErr w:type="spellStart"/>
      <w:r w:rsidR="00210B08">
        <w:t>inkumbens</w:t>
      </w:r>
      <w:proofErr w:type="spellEnd"/>
      <w:r w:rsidR="00210B08">
        <w:t xml:space="preserve"> alkalmazások</w:t>
      </w:r>
      <w:r w:rsidR="005D6DE4">
        <w:t xml:space="preserve"> (CEPT 56</w:t>
      </w:r>
      <w:r w:rsidR="007D16C6">
        <w:t>. Jelentés</w:t>
      </w:r>
      <w:r w:rsidR="005D6DE4">
        <w:rPr>
          <w:rStyle w:val="Lbjegyzet-hivatkozs"/>
        </w:rPr>
        <w:footnoteReference w:id="22"/>
      </w:r>
      <w:r w:rsidR="005D6DE4">
        <w:t>)</w:t>
      </w:r>
      <w:r w:rsidR="00210B08">
        <w:t xml:space="preserve">, illetve a WBB és kifejezetten a </w:t>
      </w:r>
      <w:r w:rsidR="00813B92">
        <w:t>PMSE</w:t>
      </w:r>
      <w:r w:rsidR="00BA1EA7">
        <w:t>,</w:t>
      </w:r>
      <w:r w:rsidR="00813B92">
        <w:t xml:space="preserve"> </w:t>
      </w:r>
      <w:r w:rsidR="00210B08">
        <w:t xml:space="preserve">mint </w:t>
      </w:r>
      <w:proofErr w:type="spellStart"/>
      <w:r w:rsidR="00210B08">
        <w:t>inkumbens</w:t>
      </w:r>
      <w:proofErr w:type="spellEnd"/>
      <w:r w:rsidR="00210B08">
        <w:t xml:space="preserve"> alkalmazás között</w:t>
      </w:r>
      <w:r w:rsidR="005D6DE4">
        <w:t xml:space="preserve"> (CEPT 58</w:t>
      </w:r>
      <w:r w:rsidR="007D16C6">
        <w:t>. Jelentés</w:t>
      </w:r>
      <w:r w:rsidR="005D6DE4">
        <w:rPr>
          <w:rStyle w:val="Lbjegyzet-hivatkozs"/>
        </w:rPr>
        <w:footnoteReference w:id="23"/>
      </w:r>
      <w:r w:rsidR="005D6DE4">
        <w:t>)</w:t>
      </w:r>
      <w:r w:rsidR="00210B08">
        <w:t>.</w:t>
      </w:r>
    </w:p>
    <w:p w14:paraId="2C0BD974" w14:textId="1BBD258B" w:rsidR="00FA60A1" w:rsidRDefault="00390673" w:rsidP="00390673">
      <w:pPr>
        <w:pStyle w:val="Behzottbekezdsnmhh"/>
      </w:pPr>
      <w:r>
        <w:t>202</w:t>
      </w:r>
      <w:r w:rsidR="00855891">
        <w:t>0</w:t>
      </w:r>
      <w:r>
        <w:t xml:space="preserve"> tavaszán elkezdődött a sávhasználat harmonizált feltételeit tartalmazó </w:t>
      </w:r>
      <w:r w:rsidR="00DF0860">
        <w:t>ECC</w:t>
      </w:r>
      <w:r w:rsidR="00855891">
        <w:t>/DEC/</w:t>
      </w:r>
      <w:r>
        <w:t>(14</w:t>
      </w:r>
      <w:proofErr w:type="gramStart"/>
      <w:r>
        <w:t>)02</w:t>
      </w:r>
      <w:proofErr w:type="gramEnd"/>
      <w:r>
        <w:t xml:space="preserve"> </w:t>
      </w:r>
      <w:r w:rsidR="00855891">
        <w:t>H</w:t>
      </w:r>
      <w:r>
        <w:t xml:space="preserve">atározat felülvizsgálata annak érdekében, hogy </w:t>
      </w:r>
      <w:r w:rsidRPr="00946D6C">
        <w:t xml:space="preserve">lehetővé </w:t>
      </w:r>
      <w:r>
        <w:t xml:space="preserve">váljon </w:t>
      </w:r>
      <w:r w:rsidRPr="00946D6C">
        <w:t>az 5G</w:t>
      </w:r>
      <w:r w:rsidR="00DC15D3">
        <w:t xml:space="preserve"> technológia alkalmazása is</w:t>
      </w:r>
      <w:r>
        <w:t>,</w:t>
      </w:r>
      <w:r w:rsidRPr="00946D6C">
        <w:t xml:space="preserve"> és </w:t>
      </w:r>
      <w:r>
        <w:t xml:space="preserve">ha lehetséges, </w:t>
      </w:r>
      <w:r w:rsidRPr="00946D6C">
        <w:t xml:space="preserve">az </w:t>
      </w:r>
      <w:r>
        <w:t>aktív antennarendszerek bevezetése</w:t>
      </w:r>
      <w:r w:rsidRPr="00946D6C">
        <w:t>, az egyéb szolgáltatások és</w:t>
      </w:r>
      <w:r>
        <w:t xml:space="preserve"> alkalmazások megfelelő védelme mellett</w:t>
      </w:r>
      <w:r w:rsidRPr="00946D6C">
        <w:t>.</w:t>
      </w:r>
      <w:r w:rsidR="00CC6F0A">
        <w:t xml:space="preserve"> </w:t>
      </w:r>
      <w:r w:rsidR="006D12DF">
        <w:t xml:space="preserve">A felülvizsgálat alapját képező műszaki vizsgálatok befejezésének kitűzött határideje 2022. november 4. </w:t>
      </w:r>
      <w:r w:rsidR="00CC6F0A">
        <w:t>A</w:t>
      </w:r>
      <w:r w:rsidR="009E3C77">
        <w:t>z ECC munkaterv szerint a</w:t>
      </w:r>
      <w:r w:rsidR="00CC6F0A">
        <w:t xml:space="preserve"> </w:t>
      </w:r>
      <w:r w:rsidR="009E3C77">
        <w:t>módosított határozat</w:t>
      </w:r>
      <w:r w:rsidR="006D12DF">
        <w:t xml:space="preserve"> elfogadásának</w:t>
      </w:r>
      <w:r w:rsidR="009E3C77">
        <w:t xml:space="preserve"> várható</w:t>
      </w:r>
      <w:r w:rsidR="00CC6F0A">
        <w:t xml:space="preserve"> határideje 2023. március 3. </w:t>
      </w:r>
    </w:p>
    <w:p w14:paraId="5DA2103B" w14:textId="77777777" w:rsidR="00A8001C" w:rsidRPr="00D86540" w:rsidRDefault="00A8001C" w:rsidP="004E2603">
      <w:pPr>
        <w:pStyle w:val="Cmsor3szmozottnmhh"/>
        <w:spacing w:before="360"/>
      </w:pPr>
      <w:bookmarkStart w:id="8" w:name="_Toc96075706"/>
      <w:r w:rsidRPr="00D86540">
        <w:t>EU</w:t>
      </w:r>
      <w:bookmarkEnd w:id="8"/>
    </w:p>
    <w:p w14:paraId="2D558026" w14:textId="6E719774" w:rsidR="00A8001C" w:rsidRPr="00D86540" w:rsidRDefault="00B200DF" w:rsidP="00A8001C">
      <w:pPr>
        <w:pStyle w:val="Behzottbekezdsnmhh"/>
      </w:pPr>
      <w:r w:rsidRPr="006D12DF">
        <w:t>A</w:t>
      </w:r>
      <w:r w:rsidR="009E3C77" w:rsidRPr="006D12DF">
        <w:t>z</w:t>
      </w:r>
      <w:r w:rsidR="00F207D2" w:rsidRPr="006D12DF">
        <w:t xml:space="preserve"> </w:t>
      </w:r>
      <w:r w:rsidR="00BF63EA" w:rsidRPr="006D12DF">
        <w:t xml:space="preserve">elvégzett műszaki vizsgálatok eredményei alapján </w:t>
      </w:r>
      <w:r w:rsidR="00C044B9" w:rsidRPr="006D12DF">
        <w:t>a</w:t>
      </w:r>
      <w:r w:rsidR="00A8001C" w:rsidRPr="006D12DF">
        <w:t>z EU megbíz</w:t>
      </w:r>
      <w:r w:rsidRPr="006D12DF">
        <w:t>ásra készült</w:t>
      </w:r>
      <w:r w:rsidR="00A8001C" w:rsidRPr="006D12DF">
        <w:t xml:space="preserve"> CEPT</w:t>
      </w:r>
      <w:r w:rsidRPr="006D12DF">
        <w:t xml:space="preserve"> jelentések </w:t>
      </w:r>
      <w:r w:rsidR="00BF63EA" w:rsidRPr="006D12DF">
        <w:t xml:space="preserve">elkészültek, az </w:t>
      </w:r>
      <w:r w:rsidR="005C3C52" w:rsidRPr="006D12DF">
        <w:t xml:space="preserve">elkezdődött </w:t>
      </w:r>
      <w:r w:rsidR="00BF63EA" w:rsidRPr="006D12DF">
        <w:t>EU harmonizációs eljárás</w:t>
      </w:r>
      <w:r w:rsidR="005C3C52">
        <w:t xml:space="preserve"> keretében</w:t>
      </w:r>
      <w:r w:rsidR="00BF63EA" w:rsidRPr="006D12DF">
        <w:t>, de végül ez a folyamat félbeszakadt.</w:t>
      </w:r>
      <w:r w:rsidRPr="006D12DF">
        <w:t xml:space="preserve"> </w:t>
      </w:r>
      <w:r w:rsidR="00BF63EA" w:rsidRPr="006D12DF">
        <w:t xml:space="preserve">A </w:t>
      </w:r>
      <w:r w:rsidRPr="006D12DF">
        <w:t xml:space="preserve">tagállamokban </w:t>
      </w:r>
      <w:proofErr w:type="gramStart"/>
      <w:r w:rsidRPr="006D12DF">
        <w:t>meglevő</w:t>
      </w:r>
      <w:proofErr w:type="gramEnd"/>
      <w:r w:rsidRPr="006D12DF">
        <w:t xml:space="preserve"> jelentősen eltérő </w:t>
      </w:r>
      <w:r w:rsidR="00BF63EA" w:rsidRPr="006D12DF">
        <w:t xml:space="preserve">spektrumhasználat </w:t>
      </w:r>
      <w:r w:rsidRPr="006D12DF">
        <w:t>miatt</w:t>
      </w:r>
      <w:r w:rsidR="00BF63EA" w:rsidRPr="006D12DF">
        <w:t xml:space="preserve"> végül nem született a 2300-2400 MHz sávra vonatkozóan az EU tagállamokra nézve kötelezően implementálandóharmonizált uniós szabályozás.</w:t>
      </w:r>
    </w:p>
    <w:p w14:paraId="44220E0B" w14:textId="77777777" w:rsidR="00A8001C" w:rsidRPr="00D86540" w:rsidRDefault="00A8001C" w:rsidP="00A8001C">
      <w:pPr>
        <w:pStyle w:val="Behzottbekezdsnmhh"/>
        <w:rPr>
          <w:i/>
        </w:rPr>
      </w:pPr>
      <w:r w:rsidRPr="00D86540">
        <w:t xml:space="preserve">Az RSPG foglalkozott </w:t>
      </w:r>
      <w:r>
        <w:t xml:space="preserve">2013-ban az </w:t>
      </w:r>
      <w:r w:rsidRPr="00D86540">
        <w:t>LSA kérdésével</w:t>
      </w:r>
      <w:r>
        <w:t>,</w:t>
      </w:r>
      <w:r w:rsidRPr="00D86540">
        <w:t xml:space="preserve"> </w:t>
      </w:r>
      <w:r>
        <w:t>szak</w:t>
      </w:r>
      <w:r w:rsidRPr="00D86540">
        <w:t>véleményében</w:t>
      </w:r>
      <w:r w:rsidR="00B200DF">
        <w:rPr>
          <w:rStyle w:val="Lbjegyzet-hivatkozs"/>
        </w:rPr>
        <w:footnoteReference w:id="24"/>
      </w:r>
      <w:r w:rsidRPr="00D86540">
        <w:t xml:space="preserve"> </w:t>
      </w:r>
      <w:proofErr w:type="spellStart"/>
      <w:r w:rsidRPr="00D86540">
        <w:t>körüljárva</w:t>
      </w:r>
      <w:proofErr w:type="spellEnd"/>
      <w:r w:rsidRPr="00D86540">
        <w:t xml:space="preserve"> annak előnyei</w:t>
      </w:r>
      <w:r>
        <w:t>t</w:t>
      </w:r>
      <w:r w:rsidRPr="00D86540">
        <w:t xml:space="preserve"> és hátrányait.</w:t>
      </w:r>
      <w:r>
        <w:t xml:space="preserve"> A szakvéleményben megfogalmazott ajánlások alapján a tagállamoknak aktív párbeszédet kell folytatniuk az érintettekkel a lehetséges LSA megoldások kidolgozása érdekében. Ajánlásait elsősorban arra alapozta, hogy az LSA </w:t>
      </w:r>
      <w:r w:rsidR="00BF63EA">
        <w:t>koncepció</w:t>
      </w:r>
      <w:r w:rsidR="00604804">
        <w:t xml:space="preserve">n alapulva, </w:t>
      </w:r>
      <w:r>
        <w:t xml:space="preserve">az </w:t>
      </w:r>
      <w:proofErr w:type="spellStart"/>
      <w:r>
        <w:t>inkumbens</w:t>
      </w:r>
      <w:proofErr w:type="spellEnd"/>
      <w:r w:rsidR="00604804">
        <w:t xml:space="preserve"> alkalmazások</w:t>
      </w:r>
      <w:r>
        <w:t xml:space="preserve"> </w:t>
      </w:r>
      <w:r w:rsidR="00604804">
        <w:lastRenderedPageBreak/>
        <w:t>figyelembevételével</w:t>
      </w:r>
      <w:r>
        <w:t xml:space="preserve"> </w:t>
      </w:r>
      <w:r w:rsidR="00BF63EA">
        <w:t xml:space="preserve">a </w:t>
      </w:r>
      <w:r>
        <w:t>jelenleg használt sávok új felhasználási célokra</w:t>
      </w:r>
      <w:r w:rsidR="00BF63EA">
        <w:t xml:space="preserve"> válhatnak hozzáférhetővé</w:t>
      </w:r>
      <w:r>
        <w:t>, ezzel növelve az elérhető spektrum mennyiségét és a spektrumhasználat hatékonyságát.</w:t>
      </w:r>
    </w:p>
    <w:p w14:paraId="69818679" w14:textId="77777777" w:rsidR="005D09CC" w:rsidRPr="00D86540" w:rsidRDefault="005D09CC" w:rsidP="00D04CAD">
      <w:pPr>
        <w:pStyle w:val="Cmsor3szmozottnmhh"/>
        <w:spacing w:before="360"/>
      </w:pPr>
      <w:bookmarkStart w:id="9" w:name="_Toc96075707"/>
      <w:r w:rsidRPr="00D86540">
        <w:t>Szabványok</w:t>
      </w:r>
      <w:bookmarkEnd w:id="9"/>
    </w:p>
    <w:p w14:paraId="2910BEED" w14:textId="3ACBCE07" w:rsidR="00BE07D2" w:rsidRPr="00D86540" w:rsidRDefault="00EB7E5B" w:rsidP="00BE07D2">
      <w:pPr>
        <w:pStyle w:val="Behzottbekezdsnmhh"/>
      </w:pPr>
      <w:r w:rsidRPr="00D86540">
        <w:t>A</w:t>
      </w:r>
      <w:r w:rsidR="005B2D59">
        <w:t xml:space="preserve"> sávot a</w:t>
      </w:r>
      <w:r w:rsidRPr="00D86540">
        <w:t xml:space="preserve"> 3GPP</w:t>
      </w:r>
      <w:r w:rsidR="00524013">
        <w:rPr>
          <w:rStyle w:val="Lbjegyzet-hivatkozs"/>
        </w:rPr>
        <w:footnoteReference w:id="25"/>
      </w:r>
      <w:r w:rsidRPr="00D86540">
        <w:t xml:space="preserve"> az LTE </w:t>
      </w:r>
      <w:proofErr w:type="spellStart"/>
      <w:r w:rsidR="007D16C6">
        <w:t>R</w:t>
      </w:r>
      <w:r w:rsidRPr="00D86540">
        <w:t>elease</w:t>
      </w:r>
      <w:proofErr w:type="spellEnd"/>
      <w:r w:rsidRPr="00D86540">
        <w:t xml:space="preserve"> 8 óta lehetséges TDD felhasználású sávként azonosítja</w:t>
      </w:r>
      <w:r w:rsidR="001307B1">
        <w:rPr>
          <w:rStyle w:val="Lbjegyzet-hivatkozs"/>
        </w:rPr>
        <w:footnoteReference w:id="26"/>
      </w:r>
      <w:r w:rsidR="00C05447">
        <w:t>,</w:t>
      </w:r>
      <w:r w:rsidR="00184E8C">
        <w:t xml:space="preserve"> a 38.104 V15 műszaki specifikáci</w:t>
      </w:r>
      <w:r w:rsidR="005A402B">
        <w:t>ó</w:t>
      </w:r>
      <w:r w:rsidR="00184E8C">
        <w:t xml:space="preserve">ban n40-es sávnéven 5G sávként </w:t>
      </w:r>
      <w:r w:rsidR="00C05447">
        <w:t>szerepel</w:t>
      </w:r>
      <w:r w:rsidR="004B39C4">
        <w:t>.</w:t>
      </w:r>
      <w:r w:rsidR="005A402B">
        <w:t xml:space="preserve"> Ennek hatására mostanra már a nagyobb készülékgyártók 5G-képes mobilkészülékei </w:t>
      </w:r>
      <w:r w:rsidR="00EF641E">
        <w:t>alkalmasak</w:t>
      </w:r>
      <w:r w:rsidR="005A402B">
        <w:t xml:space="preserve"> a sáv használatára.</w:t>
      </w:r>
    </w:p>
    <w:p w14:paraId="02796451" w14:textId="42FE50DC" w:rsidR="006D12DF" w:rsidRPr="00791054" w:rsidRDefault="00791054" w:rsidP="00791054">
      <w:pPr>
        <w:pStyle w:val="Behzottbekezdsnmhh"/>
        <w:ind w:firstLine="567"/>
      </w:pPr>
      <w:r w:rsidRPr="00C05447">
        <w:t xml:space="preserve">Azokban az országokban, ahol a sáv MFCN célú használata tervbe van véve, de ez az </w:t>
      </w:r>
      <w:proofErr w:type="spellStart"/>
      <w:r w:rsidRPr="00C05447">
        <w:t>inkumbens</w:t>
      </w:r>
      <w:proofErr w:type="spellEnd"/>
      <w:r w:rsidRPr="00C05447">
        <w:t xml:space="preserve"> használat miatt nem biztosítható korlátozások nélkül, megoldást nyújthat az LSA architektúra használata. Az ETSI TS 103 235, ETSI TS 103 379, ETSI TS 103 154 és ETSI TR 103 113 dokumentumok írják le a 2300 MHz</w:t>
      </w:r>
      <w:r w:rsidR="00CD6211">
        <w:t>-es</w:t>
      </w:r>
      <w:r w:rsidRPr="00C05447">
        <w:t xml:space="preserve"> sávban alkalmazható LSA </w:t>
      </w:r>
      <w:proofErr w:type="gramStart"/>
      <w:r w:rsidRPr="00C05447">
        <w:t>rendszerarchitektúrát</w:t>
      </w:r>
      <w:proofErr w:type="gramEnd"/>
      <w:r w:rsidRPr="00C05447">
        <w:t xml:space="preserve"> amelynek célja földfelszíni elektronikus hírközlő hálózatok bevezetésének lehetővé tétele ezekben az </w:t>
      </w:r>
      <w:r w:rsidR="00891BED" w:rsidRPr="00C05447">
        <w:t>esetekben</w:t>
      </w:r>
      <w:r w:rsidRPr="00C05447">
        <w:t>.</w:t>
      </w:r>
    </w:p>
    <w:p w14:paraId="060A1F37" w14:textId="77777777" w:rsidR="008A2CC7" w:rsidRDefault="005D09CC" w:rsidP="00EF7841">
      <w:pPr>
        <w:pStyle w:val="Cmsor2szmozottnmhh"/>
        <w:keepNext/>
        <w:spacing w:before="360"/>
        <w:ind w:left="567" w:hanging="578"/>
      </w:pPr>
      <w:bookmarkStart w:id="10" w:name="_Toc96075708"/>
      <w:r w:rsidRPr="00D86540">
        <w:t>Nemzeti szabályozás</w:t>
      </w:r>
      <w:bookmarkEnd w:id="10"/>
    </w:p>
    <w:p w14:paraId="4D5C45C4" w14:textId="77777777" w:rsidR="0051050A" w:rsidRDefault="0051050A" w:rsidP="00ED370A">
      <w:pPr>
        <w:pStyle w:val="Behzottbekezdsnmhh"/>
        <w:ind w:firstLine="567"/>
        <w:rPr>
          <w:rFonts w:cs="Arial"/>
          <w:sz w:val="22"/>
        </w:rPr>
      </w:pPr>
      <w:r>
        <w:t>A 2300-2400 MHz sáv</w:t>
      </w:r>
      <w:r w:rsidR="00473D30">
        <w:t xml:space="preserve"> hazai használatának szabályait </w:t>
      </w:r>
      <w:r w:rsidR="00DF0F11">
        <w:t xml:space="preserve">az </w:t>
      </w:r>
      <w:r w:rsidRPr="0051050A">
        <w:t>NFFF</w:t>
      </w:r>
      <w:r w:rsidRPr="00ED370A">
        <w:t xml:space="preserve"> </w:t>
      </w:r>
      <w:r w:rsidR="00473D30">
        <w:t>tartalmazza.</w:t>
      </w:r>
    </w:p>
    <w:p w14:paraId="67ED574B" w14:textId="4944DDA0" w:rsidR="0051050A" w:rsidRPr="00473D30" w:rsidRDefault="0051050A" w:rsidP="00791054">
      <w:pPr>
        <w:pStyle w:val="Behzottbekezdsnmhh"/>
        <w:ind w:firstLine="567"/>
      </w:pPr>
      <w:r w:rsidRPr="00791054">
        <w:t>A 2300-2400 MHz frekvenciasávon belül a 2300 – 2370 MHz részsáv polgári célra tervezett, míg a 2370 – 2400 MHz sávrész nem polgári cél</w:t>
      </w:r>
      <w:r w:rsidR="004961DF">
        <w:t>ra kijelölt a</w:t>
      </w:r>
      <w:r w:rsidRPr="00791054">
        <w:t xml:space="preserve"> földfelszíni elektronikus hírközlő hálózatok számára</w:t>
      </w:r>
      <w:r w:rsidR="004961DF">
        <w:t>.</w:t>
      </w:r>
      <w:r w:rsidRPr="00791054">
        <w:t xml:space="preserve"> Emellett a rádióamatőr szolgálat körébe tartozó rádiórendszerek működése lehetséges az egész sávban másodlagos jelleggel</w:t>
      </w:r>
      <w:r w:rsidR="001E3A86" w:rsidRPr="00791054">
        <w:t xml:space="preserve">, továbbá </w:t>
      </w:r>
      <w:r w:rsidR="00CD6211">
        <w:t>kis hatótávolságú</w:t>
      </w:r>
      <w:r w:rsidR="001E3A86" w:rsidRPr="00791054">
        <w:t xml:space="preserve"> eszközök (SRD</w:t>
      </w:r>
      <w:r w:rsidR="00473D30" w:rsidRPr="00891BED">
        <w:rPr>
          <w:vertAlign w:val="superscript"/>
        </w:rPr>
        <w:footnoteReference w:id="27"/>
      </w:r>
      <w:r w:rsidR="001E3A86" w:rsidRPr="00791054">
        <w:t>) üzemelhetnek harmadlagos jelleggel</w:t>
      </w:r>
      <w:r w:rsidR="002F63AA">
        <w:t>.</w:t>
      </w:r>
      <w:r w:rsidR="00C83679">
        <w:t xml:space="preserve"> A 2370-2400 MHz sávban katonai távmérő és távvezérlő, valamint katonai mozgó rendszerek üzemelhetnek még.</w:t>
      </w:r>
    </w:p>
    <w:p w14:paraId="173AC6C5" w14:textId="77777777" w:rsidR="00C24420" w:rsidRPr="00D86540" w:rsidRDefault="00EB4262" w:rsidP="00A65C13">
      <w:pPr>
        <w:pStyle w:val="Cmsor3szmozottnmhh"/>
      </w:pPr>
      <w:bookmarkStart w:id="11" w:name="_Toc96075709"/>
      <w:r w:rsidRPr="00D86540">
        <w:t xml:space="preserve">Az </w:t>
      </w:r>
      <w:r w:rsidR="008B343A" w:rsidRPr="00D86540">
        <w:t>NF</w:t>
      </w:r>
      <w:r w:rsidR="008B343A">
        <w:t>FF</w:t>
      </w:r>
      <w:r w:rsidR="008B343A" w:rsidRPr="00D86540">
        <w:t xml:space="preserve"> </w:t>
      </w:r>
      <w:r w:rsidR="00C24420" w:rsidRPr="00D86540">
        <w:t>rendelkezései</w:t>
      </w:r>
      <w:bookmarkEnd w:id="11"/>
    </w:p>
    <w:p w14:paraId="44E823F8" w14:textId="1785D8C3" w:rsidR="002F6B2E" w:rsidRDefault="002F6B2E" w:rsidP="00186107">
      <w:pPr>
        <w:pStyle w:val="Behzottbekezdsnmhh"/>
        <w:numPr>
          <w:ilvl w:val="0"/>
          <w:numId w:val="38"/>
        </w:numPr>
        <w:rPr>
          <w:b/>
          <w:sz w:val="24"/>
          <w:szCs w:val="24"/>
        </w:rPr>
      </w:pPr>
      <w:r w:rsidRPr="00A65C13">
        <w:rPr>
          <w:b/>
          <w:sz w:val="24"/>
          <w:szCs w:val="24"/>
        </w:rPr>
        <w:t xml:space="preserve">2300 – 2400 MHz (a teljes </w:t>
      </w:r>
      <w:r w:rsidR="005C3C52">
        <w:rPr>
          <w:b/>
          <w:sz w:val="24"/>
          <w:szCs w:val="24"/>
        </w:rPr>
        <w:t>frekvencia</w:t>
      </w:r>
      <w:r w:rsidRPr="00A65C13">
        <w:rPr>
          <w:b/>
          <w:sz w:val="24"/>
          <w:szCs w:val="24"/>
        </w:rPr>
        <w:t>sáv)</w:t>
      </w:r>
    </w:p>
    <w:p w14:paraId="18B8C7F9" w14:textId="0F8098BA" w:rsidR="00891BED" w:rsidRPr="00891BED" w:rsidRDefault="00891BED" w:rsidP="0011720D">
      <w:pPr>
        <w:pStyle w:val="Behzottbekezdsnmhh"/>
        <w:ind w:left="567" w:firstLine="567"/>
      </w:pPr>
      <w:r w:rsidRPr="003C516B">
        <w:t xml:space="preserve">A teljes 2300-2400 MHz </w:t>
      </w:r>
      <w:r w:rsidR="005C3C52">
        <w:t>frekvencia</w:t>
      </w:r>
      <w:r w:rsidRPr="003C516B">
        <w:t>sávra vonatkozó szabályokat a 3.2.1</w:t>
      </w:r>
      <w:proofErr w:type="gramStart"/>
      <w:r w:rsidR="002F63AA">
        <w:t>.</w:t>
      </w:r>
      <w:r w:rsidRPr="003C516B">
        <w:t>a</w:t>
      </w:r>
      <w:proofErr w:type="gramEnd"/>
      <w:r w:rsidRPr="003C516B">
        <w:t xml:space="preserve"> Táblázat tartalmazza:</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33"/>
        <w:gridCol w:w="1369"/>
        <w:gridCol w:w="980"/>
        <w:gridCol w:w="1400"/>
        <w:gridCol w:w="2100"/>
        <w:gridCol w:w="1448"/>
      </w:tblGrid>
      <w:tr w:rsidR="002F6B2E" w:rsidRPr="006D1BB5" w14:paraId="25EECCA2" w14:textId="77777777" w:rsidTr="00560394">
        <w:trPr>
          <w:trHeight w:val="20"/>
          <w:jc w:val="center"/>
        </w:trPr>
        <w:tc>
          <w:tcPr>
            <w:tcW w:w="86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DC5DFF"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Rádiószolgálat</w:t>
            </w:r>
          </w:p>
        </w:tc>
        <w:tc>
          <w:tcPr>
            <w:tcW w:w="7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0EBE81"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Felosztás a használat szerint</w:t>
            </w:r>
          </w:p>
        </w:tc>
        <w:tc>
          <w:tcPr>
            <w:tcW w:w="55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AF1D8D"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Alkalmazás jelleg</w:t>
            </w: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0D7706"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Használatbavételi lehetőség</w:t>
            </w:r>
          </w:p>
        </w:tc>
        <w:tc>
          <w:tcPr>
            <w:tcW w:w="11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9C01FC"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Alkalmazás</w:t>
            </w:r>
          </w:p>
        </w:tc>
        <w:tc>
          <w:tcPr>
            <w:tcW w:w="8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051475"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Dokumentum</w:t>
            </w:r>
          </w:p>
        </w:tc>
      </w:tr>
      <w:tr w:rsidR="002F6B2E" w:rsidRPr="00D86540" w14:paraId="43825476" w14:textId="77777777" w:rsidTr="00560394">
        <w:trPr>
          <w:trHeight w:val="20"/>
          <w:jc w:val="center"/>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D2D8E"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Amatőr</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97E19"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P</w:t>
            </w:r>
            <w:r w:rsidR="00C61E39">
              <w:rPr>
                <w:rFonts w:ascii="Arial" w:hAnsi="Arial" w:cs="Arial"/>
                <w:sz w:val="16"/>
                <w:szCs w:val="16"/>
              </w:rPr>
              <w:t>olgári</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752EE"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2</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56A1A"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K</w:t>
            </w:r>
            <w:r w:rsidR="00C61E39" w:rsidRPr="006D1BB5">
              <w:rPr>
                <w:rFonts w:ascii="Arial" w:hAnsi="Arial" w:cs="Arial"/>
                <w:sz w:val="16"/>
                <w:szCs w:val="16"/>
              </w:rPr>
              <w:t>ijelölt</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6421AB"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Amatőrrádiózás</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6C55C5" w14:textId="77777777" w:rsidR="002F6B2E" w:rsidRDefault="002F6B2E" w:rsidP="00560394">
            <w:pPr>
              <w:spacing w:after="0" w:line="240" w:lineRule="auto"/>
              <w:jc w:val="center"/>
              <w:rPr>
                <w:rFonts w:ascii="Arial" w:hAnsi="Arial" w:cs="Arial"/>
                <w:sz w:val="16"/>
                <w:szCs w:val="16"/>
              </w:rPr>
            </w:pPr>
            <w:r w:rsidRPr="006D1BB5">
              <w:rPr>
                <w:rFonts w:ascii="Arial" w:hAnsi="Arial" w:cs="Arial"/>
                <w:sz w:val="16"/>
                <w:szCs w:val="16"/>
              </w:rPr>
              <w:t>ECC/REC/(02</w:t>
            </w:r>
            <w:proofErr w:type="gramStart"/>
            <w:r w:rsidRPr="006D1BB5">
              <w:rPr>
                <w:rFonts w:ascii="Arial" w:hAnsi="Arial" w:cs="Arial"/>
                <w:sz w:val="16"/>
                <w:szCs w:val="16"/>
              </w:rPr>
              <w:t>)01</w:t>
            </w:r>
            <w:proofErr w:type="gramEnd"/>
          </w:p>
          <w:p w14:paraId="34232655" w14:textId="77777777" w:rsidR="002F6B2E" w:rsidRPr="006D1BB5" w:rsidRDefault="002F6B2E" w:rsidP="00560394">
            <w:pPr>
              <w:spacing w:after="0" w:line="240" w:lineRule="auto"/>
              <w:jc w:val="center"/>
              <w:rPr>
                <w:rFonts w:ascii="Arial" w:hAnsi="Arial" w:cs="Arial"/>
                <w:sz w:val="16"/>
                <w:szCs w:val="16"/>
              </w:rPr>
            </w:pPr>
            <w:r>
              <w:rPr>
                <w:rFonts w:ascii="Arial" w:hAnsi="Arial" w:cs="Arial"/>
                <w:sz w:val="16"/>
                <w:szCs w:val="16"/>
              </w:rPr>
              <w:t>MSZ EN301</w:t>
            </w:r>
            <w:r w:rsidRPr="006D1BB5">
              <w:rPr>
                <w:rFonts w:ascii="Arial" w:hAnsi="Arial" w:cs="Arial"/>
                <w:sz w:val="16"/>
                <w:szCs w:val="16"/>
              </w:rPr>
              <w:t>783</w:t>
            </w:r>
          </w:p>
        </w:tc>
      </w:tr>
      <w:tr w:rsidR="002F6B2E" w:rsidRPr="00D86540" w14:paraId="221ED122" w14:textId="77777777" w:rsidTr="00560394">
        <w:trPr>
          <w:trHeight w:val="20"/>
          <w:jc w:val="center"/>
        </w:trPr>
        <w:tc>
          <w:tcPr>
            <w:tcW w:w="8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0014"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2F341" w14:textId="77777777" w:rsidR="002F6B2E" w:rsidRPr="006D1BB5" w:rsidRDefault="002F6B2E" w:rsidP="00C61E39">
            <w:pPr>
              <w:spacing w:after="0" w:line="240" w:lineRule="auto"/>
              <w:jc w:val="center"/>
              <w:rPr>
                <w:rFonts w:ascii="Arial" w:hAnsi="Arial" w:cs="Arial"/>
                <w:sz w:val="16"/>
                <w:szCs w:val="16"/>
              </w:rPr>
            </w:pPr>
            <w:r w:rsidRPr="006D1BB5">
              <w:rPr>
                <w:rFonts w:ascii="Arial" w:hAnsi="Arial" w:cs="Arial"/>
                <w:sz w:val="16"/>
                <w:szCs w:val="16"/>
              </w:rPr>
              <w:t>P</w:t>
            </w:r>
            <w:r w:rsidR="00C61E39">
              <w:rPr>
                <w:rFonts w:ascii="Arial" w:hAnsi="Arial" w:cs="Arial"/>
                <w:sz w:val="16"/>
                <w:szCs w:val="16"/>
              </w:rPr>
              <w:t>olgári – Nem polgári</w:t>
            </w:r>
          </w:p>
        </w:tc>
        <w:tc>
          <w:tcPr>
            <w:tcW w:w="5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AE558"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3</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5D4DEA"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K</w:t>
            </w:r>
            <w:r w:rsidR="00C61E39" w:rsidRPr="006D1BB5">
              <w:rPr>
                <w:rFonts w:ascii="Arial" w:hAnsi="Arial" w:cs="Arial"/>
                <w:sz w:val="16"/>
                <w:szCs w:val="16"/>
              </w:rPr>
              <w:t>ijelölt</w:t>
            </w:r>
          </w:p>
        </w:tc>
        <w:tc>
          <w:tcPr>
            <w:tcW w:w="11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2E80B" w14:textId="77777777" w:rsidR="002F6B2E" w:rsidRPr="006D1BB5" w:rsidRDefault="002F6B2E" w:rsidP="00560394">
            <w:pPr>
              <w:spacing w:after="0" w:line="240" w:lineRule="auto"/>
              <w:jc w:val="center"/>
              <w:rPr>
                <w:rFonts w:ascii="Arial" w:hAnsi="Arial" w:cs="Arial"/>
                <w:sz w:val="16"/>
                <w:szCs w:val="16"/>
              </w:rPr>
            </w:pPr>
            <w:r w:rsidRPr="006D1BB5">
              <w:rPr>
                <w:rFonts w:ascii="Arial" w:hAnsi="Arial" w:cs="Arial"/>
                <w:sz w:val="16"/>
                <w:szCs w:val="16"/>
              </w:rPr>
              <w:t>SRD: rádiómeghatározó alkalmazások</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0CC643" w14:textId="77777777" w:rsidR="002F6B2E" w:rsidRPr="006D1BB5" w:rsidRDefault="002F6B2E" w:rsidP="00891BED">
            <w:pPr>
              <w:keepNext/>
              <w:spacing w:after="0" w:line="240" w:lineRule="auto"/>
              <w:jc w:val="center"/>
              <w:rPr>
                <w:rFonts w:ascii="Arial" w:hAnsi="Arial" w:cs="Arial"/>
                <w:sz w:val="16"/>
                <w:szCs w:val="16"/>
              </w:rPr>
            </w:pPr>
          </w:p>
        </w:tc>
      </w:tr>
    </w:tbl>
    <w:p w14:paraId="1349C232" w14:textId="536FD3A9" w:rsidR="00891BED" w:rsidRDefault="00891BED" w:rsidP="00891BED">
      <w:pPr>
        <w:pStyle w:val="Kpalrs"/>
        <w:jc w:val="center"/>
      </w:pPr>
      <w:r>
        <w:t>3.2.1</w:t>
      </w:r>
      <w:proofErr w:type="gramStart"/>
      <w:r w:rsidR="002F63AA">
        <w:t>.</w:t>
      </w:r>
      <w:r>
        <w:t>a</w:t>
      </w:r>
      <w:proofErr w:type="gramEnd"/>
      <w:r>
        <w:t xml:space="preserve"> Táblázat</w:t>
      </w:r>
    </w:p>
    <w:p w14:paraId="5C26EF3A" w14:textId="77777777" w:rsidR="00EF7841" w:rsidRDefault="00EF7841" w:rsidP="00891BED">
      <w:pPr>
        <w:pStyle w:val="Behzottbekezdsnmhh"/>
        <w:ind w:firstLine="567"/>
      </w:pPr>
    </w:p>
    <w:p w14:paraId="0FABBE86" w14:textId="0417EE2A" w:rsidR="00B972CB" w:rsidRPr="009119D6" w:rsidRDefault="00B972CB" w:rsidP="00891BED">
      <w:pPr>
        <w:pStyle w:val="Behzottbekezdsnmhh"/>
        <w:ind w:firstLine="567"/>
      </w:pPr>
      <w:r>
        <w:t>Az amatőrrádiózás, valamint az SRD rádiómeghatározó alkalmazások részletes szabályait az NFFF 3. melléklete tartalmazza.</w:t>
      </w:r>
    </w:p>
    <w:p w14:paraId="4AB8E3A9" w14:textId="5EABCF8C" w:rsidR="00D541E4" w:rsidRDefault="003315D5" w:rsidP="00186107">
      <w:pPr>
        <w:pStyle w:val="Behzottbekezdsnmhh"/>
        <w:numPr>
          <w:ilvl w:val="0"/>
          <w:numId w:val="38"/>
        </w:numPr>
        <w:rPr>
          <w:b/>
          <w:sz w:val="24"/>
          <w:szCs w:val="24"/>
        </w:rPr>
      </w:pPr>
      <w:r w:rsidRPr="00A65C13">
        <w:rPr>
          <w:b/>
          <w:sz w:val="24"/>
          <w:szCs w:val="24"/>
        </w:rPr>
        <w:t>2300</w:t>
      </w:r>
      <w:r w:rsidR="00C61E39">
        <w:rPr>
          <w:b/>
          <w:sz w:val="24"/>
          <w:szCs w:val="24"/>
        </w:rPr>
        <w:t xml:space="preserve"> – </w:t>
      </w:r>
      <w:r w:rsidRPr="00A65C13">
        <w:rPr>
          <w:b/>
          <w:sz w:val="24"/>
          <w:szCs w:val="24"/>
        </w:rPr>
        <w:t>2370</w:t>
      </w:r>
      <w:r w:rsidR="00C61E39">
        <w:rPr>
          <w:b/>
          <w:sz w:val="24"/>
          <w:szCs w:val="24"/>
        </w:rPr>
        <w:t xml:space="preserve"> </w:t>
      </w:r>
      <w:r w:rsidRPr="00A65C13">
        <w:rPr>
          <w:b/>
          <w:sz w:val="24"/>
          <w:szCs w:val="24"/>
        </w:rPr>
        <w:t>MHz</w:t>
      </w:r>
      <w:r w:rsidR="00210B08" w:rsidRPr="00A65C13">
        <w:rPr>
          <w:b/>
          <w:sz w:val="24"/>
          <w:szCs w:val="24"/>
        </w:rPr>
        <w:t xml:space="preserve"> </w:t>
      </w:r>
      <w:r w:rsidR="005C3C52">
        <w:rPr>
          <w:b/>
          <w:sz w:val="24"/>
          <w:szCs w:val="24"/>
        </w:rPr>
        <w:t>frekvencia</w:t>
      </w:r>
      <w:r w:rsidR="00210B08" w:rsidRPr="00A65C13">
        <w:rPr>
          <w:b/>
          <w:sz w:val="24"/>
          <w:szCs w:val="24"/>
        </w:rPr>
        <w:t>sáv</w:t>
      </w:r>
      <w:r w:rsidR="001848E4" w:rsidRPr="00A65C13">
        <w:rPr>
          <w:b/>
          <w:sz w:val="24"/>
          <w:szCs w:val="24"/>
        </w:rPr>
        <w:t xml:space="preserve"> polgári alkalmazásban</w:t>
      </w:r>
    </w:p>
    <w:p w14:paraId="3202A116" w14:textId="251866B9" w:rsidR="00891BED" w:rsidRPr="00891BED" w:rsidRDefault="00891BED" w:rsidP="0011720D">
      <w:pPr>
        <w:pStyle w:val="Behzottbekezdsnmhh"/>
        <w:ind w:left="567" w:firstLine="567"/>
      </w:pPr>
      <w:r w:rsidRPr="003C516B">
        <w:t>A polgári használatú 2300-2370 MHz részsávra vonatkozó szabályokat a 3.2.1</w:t>
      </w:r>
      <w:proofErr w:type="gramStart"/>
      <w:r w:rsidR="002F63AA">
        <w:t>.</w:t>
      </w:r>
      <w:r w:rsidRPr="003C516B">
        <w:t>b</w:t>
      </w:r>
      <w:proofErr w:type="gramEnd"/>
      <w:r w:rsidR="0011720D" w:rsidRPr="003C516B">
        <w:t xml:space="preserve"> Táblázat tartalmazza:</w:t>
      </w:r>
    </w:p>
    <w:tbl>
      <w:tblPr>
        <w:tblW w:w="4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28"/>
        <w:gridCol w:w="977"/>
        <w:gridCol w:w="1394"/>
        <w:gridCol w:w="2092"/>
        <w:gridCol w:w="1442"/>
      </w:tblGrid>
      <w:tr w:rsidR="00C61E39" w:rsidRPr="006D1BB5" w14:paraId="254A4B9F" w14:textId="77777777" w:rsidTr="008009F0">
        <w:trPr>
          <w:trHeight w:val="276"/>
          <w:jc w:val="center"/>
        </w:trPr>
        <w:tc>
          <w:tcPr>
            <w:tcW w:w="1028" w:type="pct"/>
            <w:shd w:val="clear" w:color="auto" w:fill="F2F2F2" w:themeFill="background1" w:themeFillShade="F2"/>
            <w:vAlign w:val="center"/>
          </w:tcPr>
          <w:p w14:paraId="29EAA8E7"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Rádiószolgálat</w:t>
            </w:r>
          </w:p>
        </w:tc>
        <w:tc>
          <w:tcPr>
            <w:tcW w:w="657" w:type="pct"/>
            <w:shd w:val="clear" w:color="auto" w:fill="F2F2F2" w:themeFill="background1" w:themeFillShade="F2"/>
            <w:vAlign w:val="center"/>
          </w:tcPr>
          <w:p w14:paraId="2A5E6C94"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Alkalmazás jelleg</w:t>
            </w:r>
          </w:p>
        </w:tc>
        <w:tc>
          <w:tcPr>
            <w:tcW w:w="938" w:type="pct"/>
            <w:shd w:val="clear" w:color="auto" w:fill="F2F2F2" w:themeFill="background1" w:themeFillShade="F2"/>
            <w:vAlign w:val="center"/>
          </w:tcPr>
          <w:p w14:paraId="03782843"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Használatbavételi lehetőség</w:t>
            </w:r>
          </w:p>
        </w:tc>
        <w:tc>
          <w:tcPr>
            <w:tcW w:w="1407" w:type="pct"/>
            <w:shd w:val="clear" w:color="auto" w:fill="F2F2F2" w:themeFill="background1" w:themeFillShade="F2"/>
            <w:vAlign w:val="center"/>
          </w:tcPr>
          <w:p w14:paraId="33AD322F"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Alkalmazás</w:t>
            </w:r>
          </w:p>
        </w:tc>
        <w:tc>
          <w:tcPr>
            <w:tcW w:w="970" w:type="pct"/>
            <w:shd w:val="clear" w:color="auto" w:fill="F2F2F2" w:themeFill="background1" w:themeFillShade="F2"/>
            <w:vAlign w:val="center"/>
          </w:tcPr>
          <w:p w14:paraId="166B167C" w14:textId="77777777" w:rsidR="00C61E39" w:rsidRPr="006D1BB5" w:rsidRDefault="00C61E39" w:rsidP="00D65314">
            <w:pPr>
              <w:spacing w:after="0" w:line="240" w:lineRule="auto"/>
              <w:ind w:left="466" w:hanging="466"/>
              <w:jc w:val="center"/>
              <w:rPr>
                <w:rFonts w:ascii="Arial" w:hAnsi="Arial" w:cs="Arial"/>
                <w:sz w:val="16"/>
                <w:szCs w:val="16"/>
              </w:rPr>
            </w:pPr>
            <w:r w:rsidRPr="006D1BB5">
              <w:rPr>
                <w:rFonts w:ascii="Arial" w:hAnsi="Arial" w:cs="Arial"/>
                <w:sz w:val="16"/>
                <w:szCs w:val="16"/>
              </w:rPr>
              <w:t>Dokumentum</w:t>
            </w:r>
          </w:p>
        </w:tc>
      </w:tr>
      <w:tr w:rsidR="00C61E39" w:rsidRPr="006D1BB5" w14:paraId="4681D5D6" w14:textId="77777777" w:rsidTr="008009F0">
        <w:trPr>
          <w:trHeight w:val="20"/>
          <w:jc w:val="center"/>
        </w:trPr>
        <w:tc>
          <w:tcPr>
            <w:tcW w:w="1028" w:type="pct"/>
            <w:shd w:val="clear" w:color="auto" w:fill="auto"/>
            <w:vAlign w:val="center"/>
            <w:hideMark/>
          </w:tcPr>
          <w:p w14:paraId="2E43CB8F"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lastRenderedPageBreak/>
              <w:t>ÁLLANDÓHELYŰ</w:t>
            </w:r>
          </w:p>
        </w:tc>
        <w:tc>
          <w:tcPr>
            <w:tcW w:w="657" w:type="pct"/>
            <w:shd w:val="clear" w:color="auto" w:fill="auto"/>
            <w:vAlign w:val="center"/>
            <w:hideMark/>
          </w:tcPr>
          <w:p w14:paraId="79E4FAA6"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1</w:t>
            </w:r>
          </w:p>
        </w:tc>
        <w:tc>
          <w:tcPr>
            <w:tcW w:w="938" w:type="pct"/>
            <w:shd w:val="clear" w:color="auto" w:fill="auto"/>
            <w:vAlign w:val="center"/>
            <w:hideMark/>
          </w:tcPr>
          <w:p w14:paraId="60709A01"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Tervezett</w:t>
            </w:r>
          </w:p>
        </w:tc>
        <w:tc>
          <w:tcPr>
            <w:tcW w:w="1407" w:type="pct"/>
            <w:shd w:val="clear" w:color="auto" w:fill="auto"/>
            <w:vAlign w:val="center"/>
            <w:hideMark/>
          </w:tcPr>
          <w:p w14:paraId="5AD10130"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 xml:space="preserve">Földfelszíni elektronikus hírközlő hálózatok (IMT, BWA, </w:t>
            </w:r>
            <w:proofErr w:type="spellStart"/>
            <w:r w:rsidRPr="006D1BB5">
              <w:rPr>
                <w:rFonts w:ascii="Arial" w:hAnsi="Arial" w:cs="Arial"/>
                <w:sz w:val="16"/>
                <w:szCs w:val="16"/>
              </w:rPr>
              <w:t>WiMAX</w:t>
            </w:r>
            <w:proofErr w:type="spellEnd"/>
            <w:r w:rsidRPr="006D1BB5">
              <w:rPr>
                <w:rFonts w:ascii="Arial" w:hAnsi="Arial" w:cs="Arial"/>
                <w:sz w:val="16"/>
                <w:szCs w:val="16"/>
              </w:rPr>
              <w:t xml:space="preserve">, </w:t>
            </w:r>
            <w:proofErr w:type="spellStart"/>
            <w:r w:rsidRPr="006D1BB5">
              <w:rPr>
                <w:rFonts w:ascii="Arial" w:hAnsi="Arial" w:cs="Arial"/>
                <w:sz w:val="16"/>
                <w:szCs w:val="16"/>
              </w:rPr>
              <w:t>WiBro</w:t>
            </w:r>
            <w:proofErr w:type="spellEnd"/>
            <w:r w:rsidRPr="006D1BB5">
              <w:rPr>
                <w:rFonts w:ascii="Arial" w:hAnsi="Arial" w:cs="Arial"/>
                <w:sz w:val="16"/>
                <w:szCs w:val="16"/>
              </w:rPr>
              <w:t>, LTE)</w:t>
            </w:r>
          </w:p>
        </w:tc>
        <w:tc>
          <w:tcPr>
            <w:tcW w:w="970" w:type="pct"/>
            <w:shd w:val="clear" w:color="auto" w:fill="auto"/>
            <w:vAlign w:val="center"/>
            <w:hideMark/>
          </w:tcPr>
          <w:p w14:paraId="1F276CB3"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ECC/DEC/(14</w:t>
            </w:r>
            <w:proofErr w:type="gramStart"/>
            <w:r w:rsidRPr="006D1BB5">
              <w:rPr>
                <w:rFonts w:ascii="Arial" w:hAnsi="Arial" w:cs="Arial"/>
                <w:sz w:val="16"/>
                <w:szCs w:val="16"/>
              </w:rPr>
              <w:t>)02</w:t>
            </w:r>
            <w:proofErr w:type="gramEnd"/>
          </w:p>
        </w:tc>
      </w:tr>
      <w:tr w:rsidR="00C61E39" w:rsidRPr="006D1BB5" w14:paraId="63C2CEE5" w14:textId="77777777" w:rsidTr="008009F0">
        <w:trPr>
          <w:trHeight w:val="20"/>
          <w:jc w:val="center"/>
        </w:trPr>
        <w:tc>
          <w:tcPr>
            <w:tcW w:w="1028" w:type="pct"/>
            <w:shd w:val="clear" w:color="auto" w:fill="auto"/>
            <w:vAlign w:val="center"/>
            <w:hideMark/>
          </w:tcPr>
          <w:p w14:paraId="7DF53F2A"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MOZGÓ (5.384A)</w:t>
            </w:r>
          </w:p>
        </w:tc>
        <w:tc>
          <w:tcPr>
            <w:tcW w:w="657" w:type="pct"/>
            <w:shd w:val="clear" w:color="auto" w:fill="auto"/>
            <w:vAlign w:val="center"/>
            <w:hideMark/>
          </w:tcPr>
          <w:p w14:paraId="448538F3"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1</w:t>
            </w:r>
          </w:p>
        </w:tc>
        <w:tc>
          <w:tcPr>
            <w:tcW w:w="938" w:type="pct"/>
            <w:shd w:val="clear" w:color="auto" w:fill="auto"/>
            <w:vAlign w:val="center"/>
            <w:hideMark/>
          </w:tcPr>
          <w:p w14:paraId="45E6A482"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Tervezett</w:t>
            </w:r>
          </w:p>
        </w:tc>
        <w:tc>
          <w:tcPr>
            <w:tcW w:w="1407" w:type="pct"/>
            <w:shd w:val="clear" w:color="auto" w:fill="auto"/>
            <w:vAlign w:val="center"/>
            <w:hideMark/>
          </w:tcPr>
          <w:p w14:paraId="3C41EE16"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 xml:space="preserve">Földfelszíni elektronikus hírközlő hálózatok (IMT, BWA, </w:t>
            </w:r>
            <w:proofErr w:type="spellStart"/>
            <w:r w:rsidRPr="006D1BB5">
              <w:rPr>
                <w:rFonts w:ascii="Arial" w:hAnsi="Arial" w:cs="Arial"/>
                <w:sz w:val="16"/>
                <w:szCs w:val="16"/>
              </w:rPr>
              <w:t>WiMAX</w:t>
            </w:r>
            <w:proofErr w:type="spellEnd"/>
            <w:r w:rsidRPr="006D1BB5">
              <w:rPr>
                <w:rFonts w:ascii="Arial" w:hAnsi="Arial" w:cs="Arial"/>
                <w:sz w:val="16"/>
                <w:szCs w:val="16"/>
              </w:rPr>
              <w:t xml:space="preserve">, </w:t>
            </w:r>
            <w:proofErr w:type="spellStart"/>
            <w:r w:rsidRPr="006D1BB5">
              <w:rPr>
                <w:rFonts w:ascii="Arial" w:hAnsi="Arial" w:cs="Arial"/>
                <w:sz w:val="16"/>
                <w:szCs w:val="16"/>
              </w:rPr>
              <w:t>WiBro</w:t>
            </w:r>
            <w:proofErr w:type="spellEnd"/>
            <w:r w:rsidRPr="006D1BB5">
              <w:rPr>
                <w:rFonts w:ascii="Arial" w:hAnsi="Arial" w:cs="Arial"/>
                <w:sz w:val="16"/>
                <w:szCs w:val="16"/>
              </w:rPr>
              <w:t>, LTE)</w:t>
            </w:r>
          </w:p>
        </w:tc>
        <w:tc>
          <w:tcPr>
            <w:tcW w:w="970" w:type="pct"/>
            <w:shd w:val="clear" w:color="auto" w:fill="auto"/>
            <w:vAlign w:val="center"/>
            <w:hideMark/>
          </w:tcPr>
          <w:p w14:paraId="48579A2F" w14:textId="77777777" w:rsidR="00C61E39" w:rsidRPr="006D1BB5" w:rsidRDefault="00C61E39" w:rsidP="00891BED">
            <w:pPr>
              <w:keepNext/>
              <w:spacing w:after="0" w:line="240" w:lineRule="auto"/>
              <w:jc w:val="center"/>
              <w:rPr>
                <w:rFonts w:ascii="Arial" w:hAnsi="Arial" w:cs="Arial"/>
                <w:sz w:val="16"/>
                <w:szCs w:val="16"/>
              </w:rPr>
            </w:pPr>
            <w:r w:rsidRPr="006D1BB5">
              <w:rPr>
                <w:rFonts w:ascii="Arial" w:hAnsi="Arial" w:cs="Arial"/>
                <w:sz w:val="16"/>
                <w:szCs w:val="16"/>
              </w:rPr>
              <w:t>ECC/DEC/(14</w:t>
            </w:r>
            <w:proofErr w:type="gramStart"/>
            <w:r w:rsidRPr="006D1BB5">
              <w:rPr>
                <w:rFonts w:ascii="Arial" w:hAnsi="Arial" w:cs="Arial"/>
                <w:sz w:val="16"/>
                <w:szCs w:val="16"/>
              </w:rPr>
              <w:t>)02</w:t>
            </w:r>
            <w:proofErr w:type="gramEnd"/>
            <w:r w:rsidRPr="006D1BB5">
              <w:rPr>
                <w:rFonts w:ascii="Arial" w:hAnsi="Arial" w:cs="Arial"/>
                <w:sz w:val="16"/>
                <w:szCs w:val="16"/>
              </w:rPr>
              <w:t xml:space="preserve"> </w:t>
            </w:r>
          </w:p>
        </w:tc>
      </w:tr>
    </w:tbl>
    <w:p w14:paraId="43880E85" w14:textId="34299A27" w:rsidR="00891BED" w:rsidRDefault="00891BED" w:rsidP="00891BED">
      <w:pPr>
        <w:pStyle w:val="Kpalrs"/>
        <w:jc w:val="center"/>
      </w:pPr>
      <w:r>
        <w:t>3.2.1</w:t>
      </w:r>
      <w:proofErr w:type="gramStart"/>
      <w:r w:rsidR="002F63AA">
        <w:t>.</w:t>
      </w:r>
      <w:r>
        <w:t>b</w:t>
      </w:r>
      <w:proofErr w:type="gramEnd"/>
      <w:r>
        <w:t xml:space="preserve"> Táblázat</w:t>
      </w:r>
    </w:p>
    <w:p w14:paraId="3ADAB87A" w14:textId="08806B15" w:rsidR="003315D5" w:rsidRDefault="003315D5" w:rsidP="00186107">
      <w:pPr>
        <w:pStyle w:val="Behzottbekezdsnmhh"/>
        <w:numPr>
          <w:ilvl w:val="0"/>
          <w:numId w:val="38"/>
        </w:numPr>
        <w:rPr>
          <w:b/>
          <w:sz w:val="24"/>
          <w:szCs w:val="24"/>
        </w:rPr>
      </w:pPr>
      <w:r w:rsidRPr="00A65C13">
        <w:rPr>
          <w:b/>
          <w:sz w:val="24"/>
          <w:szCs w:val="24"/>
        </w:rPr>
        <w:t>2370</w:t>
      </w:r>
      <w:r w:rsidR="00C61E39">
        <w:rPr>
          <w:b/>
          <w:sz w:val="24"/>
          <w:szCs w:val="24"/>
        </w:rPr>
        <w:t xml:space="preserve"> – </w:t>
      </w:r>
      <w:r w:rsidRPr="00A65C13">
        <w:rPr>
          <w:b/>
          <w:sz w:val="24"/>
          <w:szCs w:val="24"/>
        </w:rPr>
        <w:t>2400 MHz</w:t>
      </w:r>
      <w:r w:rsidR="001848E4" w:rsidRPr="00A65C13">
        <w:rPr>
          <w:b/>
          <w:sz w:val="24"/>
          <w:szCs w:val="24"/>
        </w:rPr>
        <w:t xml:space="preserve"> </w:t>
      </w:r>
      <w:r w:rsidR="005C3C52">
        <w:rPr>
          <w:b/>
          <w:sz w:val="24"/>
          <w:szCs w:val="24"/>
        </w:rPr>
        <w:t>frekvencia</w:t>
      </w:r>
      <w:r w:rsidR="001848E4" w:rsidRPr="00A65C13">
        <w:rPr>
          <w:b/>
          <w:sz w:val="24"/>
          <w:szCs w:val="24"/>
        </w:rPr>
        <w:t>sáv nem</w:t>
      </w:r>
      <w:r w:rsidR="00EB4262" w:rsidRPr="00A65C13">
        <w:rPr>
          <w:b/>
          <w:sz w:val="24"/>
          <w:szCs w:val="24"/>
        </w:rPr>
        <w:t xml:space="preserve"> </w:t>
      </w:r>
      <w:r w:rsidR="001848E4" w:rsidRPr="00A65C13">
        <w:rPr>
          <w:b/>
          <w:sz w:val="24"/>
          <w:szCs w:val="24"/>
        </w:rPr>
        <w:t>polgári alkalmazásban</w:t>
      </w:r>
    </w:p>
    <w:p w14:paraId="73E3E540" w14:textId="6F82B438" w:rsidR="0011720D" w:rsidRPr="0011720D" w:rsidRDefault="0011720D" w:rsidP="0011720D">
      <w:pPr>
        <w:pStyle w:val="Behzottbekezdsnmhh"/>
        <w:ind w:left="567" w:firstLine="567"/>
      </w:pPr>
      <w:r w:rsidRPr="003C516B">
        <w:t>A nem polgári használatú 2370-2400 MHz részsávra vonatkozó szabályokat a 3.2.1</w:t>
      </w:r>
      <w:proofErr w:type="gramStart"/>
      <w:r w:rsidR="002F63AA">
        <w:t>.</w:t>
      </w:r>
      <w:r w:rsidRPr="003C516B">
        <w:t>c</w:t>
      </w:r>
      <w:proofErr w:type="gramEnd"/>
      <w:r w:rsidRPr="003C516B">
        <w:t xml:space="preserve"> Táblázat tartalmazza:</w:t>
      </w:r>
    </w:p>
    <w:tbl>
      <w:tblPr>
        <w:tblW w:w="41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1"/>
        <w:gridCol w:w="991"/>
        <w:gridCol w:w="1414"/>
        <w:gridCol w:w="2124"/>
        <w:gridCol w:w="1463"/>
      </w:tblGrid>
      <w:tr w:rsidR="00C61E39" w:rsidRPr="006D1BB5" w14:paraId="3EA83286" w14:textId="77777777" w:rsidTr="008009F0">
        <w:trPr>
          <w:trHeight w:val="276"/>
          <w:jc w:val="center"/>
        </w:trPr>
        <w:tc>
          <w:tcPr>
            <w:tcW w:w="1028" w:type="pct"/>
            <w:shd w:val="clear" w:color="auto" w:fill="F2F2F2" w:themeFill="background1" w:themeFillShade="F2"/>
            <w:vAlign w:val="center"/>
          </w:tcPr>
          <w:p w14:paraId="08DECCA7"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Rádiószolgálat</w:t>
            </w:r>
          </w:p>
        </w:tc>
        <w:tc>
          <w:tcPr>
            <w:tcW w:w="657" w:type="pct"/>
            <w:shd w:val="clear" w:color="auto" w:fill="F2F2F2" w:themeFill="background1" w:themeFillShade="F2"/>
            <w:vAlign w:val="center"/>
          </w:tcPr>
          <w:p w14:paraId="665DD4A5"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Alkalmazás jelleg</w:t>
            </w:r>
          </w:p>
        </w:tc>
        <w:tc>
          <w:tcPr>
            <w:tcW w:w="937" w:type="pct"/>
            <w:shd w:val="clear" w:color="auto" w:fill="F2F2F2" w:themeFill="background1" w:themeFillShade="F2"/>
            <w:vAlign w:val="center"/>
          </w:tcPr>
          <w:p w14:paraId="38B39DB3"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Használatbavételi lehetőség</w:t>
            </w:r>
          </w:p>
        </w:tc>
        <w:tc>
          <w:tcPr>
            <w:tcW w:w="1408" w:type="pct"/>
            <w:shd w:val="clear" w:color="auto" w:fill="F2F2F2" w:themeFill="background1" w:themeFillShade="F2"/>
            <w:vAlign w:val="center"/>
          </w:tcPr>
          <w:p w14:paraId="5DB5BB1C"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Alkalmazás</w:t>
            </w:r>
          </w:p>
        </w:tc>
        <w:tc>
          <w:tcPr>
            <w:tcW w:w="970" w:type="pct"/>
            <w:shd w:val="clear" w:color="auto" w:fill="F2F2F2" w:themeFill="background1" w:themeFillShade="F2"/>
            <w:vAlign w:val="center"/>
          </w:tcPr>
          <w:p w14:paraId="1FD80E45" w14:textId="77777777" w:rsidR="00C61E39" w:rsidRPr="006D1BB5" w:rsidRDefault="00C61E39" w:rsidP="00D65314">
            <w:pPr>
              <w:spacing w:after="0" w:line="240" w:lineRule="auto"/>
              <w:ind w:left="466" w:hanging="466"/>
              <w:jc w:val="center"/>
              <w:rPr>
                <w:rFonts w:ascii="Arial" w:hAnsi="Arial" w:cs="Arial"/>
                <w:sz w:val="16"/>
                <w:szCs w:val="16"/>
              </w:rPr>
            </w:pPr>
            <w:r w:rsidRPr="006D1BB5">
              <w:rPr>
                <w:rFonts w:ascii="Arial" w:hAnsi="Arial" w:cs="Arial"/>
                <w:sz w:val="16"/>
                <w:szCs w:val="16"/>
              </w:rPr>
              <w:t>Dokumentum</w:t>
            </w:r>
          </w:p>
        </w:tc>
      </w:tr>
      <w:tr w:rsidR="00C61E39" w:rsidRPr="00D86540" w14:paraId="745A4AE4"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72721"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ÁLLANDÓHELYŰ</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4FEC6"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EA6FA"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Kijelölt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8B5BE"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 xml:space="preserve">Földfelszíni elektronikus hírközlő hálózatok (BWA, </w:t>
            </w:r>
            <w:proofErr w:type="spellStart"/>
            <w:r w:rsidRPr="006D1BB5">
              <w:rPr>
                <w:rFonts w:ascii="Arial" w:hAnsi="Arial" w:cs="Arial"/>
                <w:sz w:val="16"/>
                <w:szCs w:val="16"/>
              </w:rPr>
              <w:t>WiMAX</w:t>
            </w:r>
            <w:proofErr w:type="spellEnd"/>
            <w:r w:rsidRPr="006D1BB5">
              <w:rPr>
                <w:rFonts w:ascii="Arial" w:hAnsi="Arial" w:cs="Arial"/>
                <w:sz w:val="16"/>
                <w:szCs w:val="16"/>
              </w:rPr>
              <w:t xml:space="preserve">, </w:t>
            </w:r>
            <w:proofErr w:type="spellStart"/>
            <w:r w:rsidRPr="006D1BB5">
              <w:rPr>
                <w:rFonts w:ascii="Arial" w:hAnsi="Arial" w:cs="Arial"/>
                <w:sz w:val="16"/>
                <w:szCs w:val="16"/>
              </w:rPr>
              <w:t>WiBro</w:t>
            </w:r>
            <w:proofErr w:type="spellEnd"/>
            <w:r w:rsidRPr="006D1BB5">
              <w:rPr>
                <w:rFonts w:ascii="Arial" w:hAnsi="Arial" w:cs="Arial"/>
                <w:sz w:val="16"/>
                <w:szCs w:val="16"/>
              </w:rPr>
              <w:t>, LTE)</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0E33C" w14:textId="77777777" w:rsidR="00C61E39" w:rsidRPr="006D1BB5" w:rsidRDefault="00444440" w:rsidP="00D65314">
            <w:pPr>
              <w:spacing w:after="0" w:line="240" w:lineRule="auto"/>
              <w:jc w:val="center"/>
              <w:rPr>
                <w:rFonts w:ascii="Arial" w:hAnsi="Arial" w:cs="Arial"/>
                <w:sz w:val="16"/>
                <w:szCs w:val="16"/>
              </w:rPr>
            </w:pPr>
            <w:r w:rsidRPr="006D1BB5">
              <w:rPr>
                <w:rFonts w:ascii="Arial" w:hAnsi="Arial" w:cs="Arial"/>
                <w:sz w:val="16"/>
                <w:szCs w:val="16"/>
              </w:rPr>
              <w:t>ECC/DEC/(14</w:t>
            </w:r>
            <w:proofErr w:type="gramStart"/>
            <w:r w:rsidRPr="006D1BB5">
              <w:rPr>
                <w:rFonts w:ascii="Arial" w:hAnsi="Arial" w:cs="Arial"/>
                <w:sz w:val="16"/>
                <w:szCs w:val="16"/>
              </w:rPr>
              <w:t>)02</w:t>
            </w:r>
            <w:proofErr w:type="gramEnd"/>
          </w:p>
        </w:tc>
      </w:tr>
      <w:tr w:rsidR="00C61E39" w:rsidRPr="00D86540" w14:paraId="6955D9F2"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F7F25B" w14:textId="7C2F70BC" w:rsidR="00C61E39" w:rsidRPr="006D1BB5" w:rsidRDefault="00C61E39" w:rsidP="00C83679">
            <w:pPr>
              <w:spacing w:after="0" w:line="240" w:lineRule="auto"/>
              <w:jc w:val="center"/>
              <w:rPr>
                <w:rFonts w:ascii="Arial" w:hAnsi="Arial" w:cs="Arial"/>
                <w:sz w:val="16"/>
                <w:szCs w:val="16"/>
              </w:rPr>
            </w:pPr>
            <w:r w:rsidRPr="006D1BB5">
              <w:rPr>
                <w:rFonts w:ascii="Arial" w:hAnsi="Arial" w:cs="Arial"/>
                <w:sz w:val="16"/>
                <w:szCs w:val="16"/>
              </w:rPr>
              <w:t xml:space="preserve">MOZGÓ </w:t>
            </w:r>
            <w:r w:rsidR="008F396A">
              <w:rPr>
                <w:rFonts w:ascii="Arial" w:hAnsi="Arial" w:cs="Arial"/>
                <w:sz w:val="16"/>
                <w:szCs w:val="16"/>
              </w:rPr>
              <w:br/>
            </w:r>
            <w:r w:rsidRPr="006D1BB5">
              <w:rPr>
                <w:rFonts w:ascii="Arial" w:hAnsi="Arial" w:cs="Arial"/>
                <w:sz w:val="16"/>
                <w:szCs w:val="16"/>
              </w:rPr>
              <w:t>(5.384A</w:t>
            </w:r>
            <w:r w:rsidR="00AC75B1">
              <w:rPr>
                <w:rFonts w:ascii="Arial" w:hAnsi="Arial" w:cs="Arial"/>
                <w:sz w:val="16"/>
                <w:szCs w:val="16"/>
              </w:rPr>
              <w:t>, NJ</w:t>
            </w:r>
            <w:r w:rsidR="00C83679">
              <w:rPr>
                <w:rFonts w:ascii="Arial" w:hAnsi="Arial" w:cs="Arial"/>
                <w:sz w:val="16"/>
                <w:szCs w:val="16"/>
              </w:rPr>
              <w:t>E</w:t>
            </w:r>
            <w:r w:rsidRPr="006D1BB5">
              <w:rPr>
                <w:rFonts w:ascii="Arial" w:hAnsi="Arial" w:cs="Arial"/>
                <w:sz w:val="16"/>
                <w:szCs w:val="16"/>
              </w:rPr>
              <w: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196BB2"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54EF3"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Kijelölt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29E76"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Földfelszíni elektronikus hírközlő hálózatok</w:t>
            </w:r>
          </w:p>
          <w:p w14:paraId="0EB5FB13"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 xml:space="preserve">(BWA, </w:t>
            </w:r>
            <w:proofErr w:type="spellStart"/>
            <w:r w:rsidRPr="006D1BB5">
              <w:rPr>
                <w:rFonts w:ascii="Arial" w:hAnsi="Arial" w:cs="Arial"/>
                <w:sz w:val="16"/>
                <w:szCs w:val="16"/>
              </w:rPr>
              <w:t>WiMAX</w:t>
            </w:r>
            <w:proofErr w:type="spellEnd"/>
            <w:r w:rsidRPr="006D1BB5">
              <w:rPr>
                <w:rFonts w:ascii="Arial" w:hAnsi="Arial" w:cs="Arial"/>
                <w:sz w:val="16"/>
                <w:szCs w:val="16"/>
              </w:rPr>
              <w:t xml:space="preserve">, </w:t>
            </w:r>
            <w:proofErr w:type="spellStart"/>
            <w:r w:rsidRPr="006D1BB5">
              <w:rPr>
                <w:rFonts w:ascii="Arial" w:hAnsi="Arial" w:cs="Arial"/>
                <w:sz w:val="16"/>
                <w:szCs w:val="16"/>
              </w:rPr>
              <w:t>WiBro</w:t>
            </w:r>
            <w:proofErr w:type="spellEnd"/>
            <w:r w:rsidRPr="006D1BB5">
              <w:rPr>
                <w:rFonts w:ascii="Arial" w:hAnsi="Arial" w:cs="Arial"/>
                <w:sz w:val="16"/>
                <w:szCs w:val="16"/>
              </w:rPr>
              <w:t>, LTE)</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DB215" w14:textId="77777777" w:rsidR="00C61E39" w:rsidRPr="006D1BB5" w:rsidRDefault="00444440" w:rsidP="00D65314">
            <w:pPr>
              <w:spacing w:after="0" w:line="240" w:lineRule="auto"/>
              <w:jc w:val="center"/>
              <w:rPr>
                <w:rFonts w:ascii="Arial" w:hAnsi="Arial" w:cs="Arial"/>
                <w:sz w:val="16"/>
                <w:szCs w:val="16"/>
              </w:rPr>
            </w:pPr>
            <w:r w:rsidRPr="006D1BB5">
              <w:rPr>
                <w:rFonts w:ascii="Arial" w:hAnsi="Arial" w:cs="Arial"/>
                <w:sz w:val="16"/>
                <w:szCs w:val="16"/>
              </w:rPr>
              <w:t>ECC/DEC/(14</w:t>
            </w:r>
            <w:proofErr w:type="gramStart"/>
            <w:r w:rsidRPr="006D1BB5">
              <w:rPr>
                <w:rFonts w:ascii="Arial" w:hAnsi="Arial" w:cs="Arial"/>
                <w:sz w:val="16"/>
                <w:szCs w:val="16"/>
              </w:rPr>
              <w:t>)02</w:t>
            </w:r>
            <w:proofErr w:type="gramEnd"/>
          </w:p>
        </w:tc>
      </w:tr>
      <w:tr w:rsidR="00AC75B1" w:rsidRPr="00D86540" w14:paraId="5C783EB6"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1D96FEBE" w14:textId="4304D1B6" w:rsidR="00AC75B1" w:rsidRPr="006D1BB5" w:rsidRDefault="00AC75B1" w:rsidP="00C83679">
            <w:pPr>
              <w:spacing w:after="0" w:line="240" w:lineRule="auto"/>
              <w:jc w:val="center"/>
              <w:rPr>
                <w:rFonts w:ascii="Arial" w:hAnsi="Arial" w:cs="Arial"/>
                <w:sz w:val="16"/>
                <w:szCs w:val="16"/>
              </w:rPr>
            </w:pPr>
            <w:r w:rsidRPr="006D1BB5">
              <w:rPr>
                <w:rFonts w:ascii="Arial" w:hAnsi="Arial" w:cs="Arial"/>
                <w:sz w:val="16"/>
                <w:szCs w:val="16"/>
              </w:rPr>
              <w:t xml:space="preserve">MOZGÓ </w:t>
            </w:r>
            <w:r w:rsidR="008F396A">
              <w:rPr>
                <w:rFonts w:ascii="Arial" w:hAnsi="Arial" w:cs="Arial"/>
                <w:sz w:val="16"/>
                <w:szCs w:val="16"/>
              </w:rPr>
              <w:br/>
            </w:r>
            <w:r w:rsidRPr="006D1BB5">
              <w:rPr>
                <w:rFonts w:ascii="Arial" w:hAnsi="Arial" w:cs="Arial"/>
                <w:sz w:val="16"/>
                <w:szCs w:val="16"/>
              </w:rPr>
              <w:t>(5.384A</w:t>
            </w:r>
            <w:r>
              <w:rPr>
                <w:rFonts w:ascii="Arial" w:hAnsi="Arial" w:cs="Arial"/>
                <w:sz w:val="16"/>
                <w:szCs w:val="16"/>
              </w:rPr>
              <w:t>, NJ</w:t>
            </w:r>
            <w:r w:rsidR="00C83679">
              <w:rPr>
                <w:rFonts w:ascii="Arial" w:hAnsi="Arial" w:cs="Arial"/>
                <w:sz w:val="16"/>
                <w:szCs w:val="16"/>
              </w:rPr>
              <w:t>E</w:t>
            </w:r>
            <w:r w:rsidRPr="006D1BB5">
              <w:rPr>
                <w:rFonts w:ascii="Arial" w:hAnsi="Arial" w:cs="Arial"/>
                <w:sz w:val="16"/>
                <w:szCs w:val="16"/>
              </w:rPr>
              <w: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44B79318"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5192D1EA"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rPr>
              <w:t>Kijelölt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088BE1D1"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rPr>
              <w:t>Katonai távmérő és távvezérlő rendszerek</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7962C04D"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rPr>
              <w:t>ERC/REC 62-02</w:t>
            </w:r>
          </w:p>
        </w:tc>
      </w:tr>
      <w:tr w:rsidR="00AC75B1" w:rsidRPr="00D86540" w14:paraId="569D84D2"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tcPr>
          <w:p w14:paraId="0C0AA5F6" w14:textId="2AEDFEDF" w:rsidR="00AC75B1" w:rsidRPr="006D1BB5" w:rsidRDefault="00AC75B1" w:rsidP="00C83679">
            <w:pPr>
              <w:spacing w:after="0" w:line="240" w:lineRule="auto"/>
              <w:jc w:val="center"/>
              <w:rPr>
                <w:rFonts w:ascii="Arial" w:hAnsi="Arial" w:cs="Arial"/>
                <w:sz w:val="16"/>
                <w:szCs w:val="16"/>
              </w:rPr>
            </w:pPr>
            <w:r w:rsidRPr="006D1BB5">
              <w:rPr>
                <w:rFonts w:ascii="Arial" w:hAnsi="Arial" w:cs="Arial"/>
                <w:sz w:val="16"/>
                <w:szCs w:val="16"/>
              </w:rPr>
              <w:t xml:space="preserve">MOZGÓ </w:t>
            </w:r>
            <w:r w:rsidR="008F396A">
              <w:rPr>
                <w:rFonts w:ascii="Arial" w:hAnsi="Arial" w:cs="Arial"/>
                <w:sz w:val="16"/>
                <w:szCs w:val="16"/>
              </w:rPr>
              <w:br/>
            </w:r>
            <w:r w:rsidRPr="006D1BB5">
              <w:rPr>
                <w:rFonts w:ascii="Arial" w:hAnsi="Arial" w:cs="Arial"/>
                <w:sz w:val="16"/>
                <w:szCs w:val="16"/>
              </w:rPr>
              <w:t>(5.384A</w:t>
            </w:r>
            <w:r>
              <w:rPr>
                <w:rFonts w:ascii="Arial" w:hAnsi="Arial" w:cs="Arial"/>
                <w:sz w:val="16"/>
                <w:szCs w:val="16"/>
              </w:rPr>
              <w:t>, NJ</w:t>
            </w:r>
            <w:r w:rsidR="00C83679">
              <w:rPr>
                <w:rFonts w:ascii="Arial" w:hAnsi="Arial" w:cs="Arial"/>
                <w:sz w:val="16"/>
                <w:szCs w:val="16"/>
              </w:rPr>
              <w:t>E</w:t>
            </w:r>
            <w:r w:rsidRPr="006D1BB5">
              <w:rPr>
                <w:rFonts w:ascii="Arial" w:hAnsi="Arial" w:cs="Arial"/>
                <w:sz w:val="16"/>
                <w:szCs w:val="16"/>
              </w:rPr>
              <w: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tcPr>
          <w:p w14:paraId="0F8D79AE"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rPr>
              <w:t>1</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tcPr>
          <w:p w14:paraId="4181BB3D"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rPr>
              <w:t>Kijelölt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tcPr>
          <w:p w14:paraId="28F8E163" w14:textId="77777777" w:rsidR="00AC75B1" w:rsidRPr="006D1BB5" w:rsidRDefault="00AC75B1" w:rsidP="00D65314">
            <w:pPr>
              <w:spacing w:after="0" w:line="240" w:lineRule="auto"/>
              <w:jc w:val="center"/>
              <w:rPr>
                <w:rFonts w:ascii="Arial" w:hAnsi="Arial" w:cs="Arial"/>
                <w:sz w:val="16"/>
                <w:szCs w:val="16"/>
              </w:rPr>
            </w:pPr>
            <w:r>
              <w:rPr>
                <w:rFonts w:ascii="Arial" w:hAnsi="Arial" w:cs="Arial"/>
                <w:sz w:val="16"/>
                <w:szCs w:val="16"/>
              </w:rPr>
              <w:t>Katonai mozgó rendszerek</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6EEB5EB7" w14:textId="77777777" w:rsidR="00AC75B1" w:rsidRPr="006D1BB5" w:rsidRDefault="00AC75B1" w:rsidP="00D65314">
            <w:pPr>
              <w:spacing w:after="0" w:line="240" w:lineRule="auto"/>
              <w:jc w:val="center"/>
              <w:rPr>
                <w:rFonts w:ascii="Arial" w:hAnsi="Arial" w:cs="Arial"/>
                <w:sz w:val="16"/>
                <w:szCs w:val="16"/>
              </w:rPr>
            </w:pPr>
          </w:p>
        </w:tc>
      </w:tr>
      <w:tr w:rsidR="00C61E39" w:rsidRPr="00D86540" w14:paraId="76B5D4FA" w14:textId="77777777" w:rsidTr="008009F0">
        <w:trPr>
          <w:trHeight w:val="20"/>
          <w:jc w:val="center"/>
        </w:trPr>
        <w:tc>
          <w:tcPr>
            <w:tcW w:w="10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D4D51"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w:t>
            </w:r>
          </w:p>
        </w:tc>
        <w:tc>
          <w:tcPr>
            <w:tcW w:w="6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C253E"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3</w:t>
            </w:r>
          </w:p>
        </w:tc>
        <w:tc>
          <w:tcPr>
            <w:tcW w:w="9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7DAF70"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Kijelölt</w:t>
            </w:r>
          </w:p>
        </w:tc>
        <w:tc>
          <w:tcPr>
            <w:tcW w:w="1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C03574" w14:textId="77777777" w:rsidR="00C61E39" w:rsidRPr="006D1BB5" w:rsidRDefault="00C61E39" w:rsidP="00D65314">
            <w:pPr>
              <w:spacing w:after="0" w:line="240" w:lineRule="auto"/>
              <w:jc w:val="center"/>
              <w:rPr>
                <w:rFonts w:ascii="Arial" w:hAnsi="Arial" w:cs="Arial"/>
                <w:sz w:val="16"/>
                <w:szCs w:val="16"/>
              </w:rPr>
            </w:pPr>
            <w:r w:rsidRPr="006D1BB5">
              <w:rPr>
                <w:rFonts w:ascii="Arial" w:hAnsi="Arial" w:cs="Arial"/>
                <w:sz w:val="16"/>
                <w:szCs w:val="16"/>
              </w:rPr>
              <w:t>Kis teljesítményű, vezetéknélküli szélessávú adatátvitel</w:t>
            </w: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CF6DD7" w14:textId="77777777" w:rsidR="00C61E39" w:rsidRPr="006D1BB5" w:rsidRDefault="00C61E39" w:rsidP="00891BED">
            <w:pPr>
              <w:keepNext/>
              <w:spacing w:after="0" w:line="240" w:lineRule="auto"/>
              <w:jc w:val="center"/>
              <w:rPr>
                <w:rFonts w:ascii="Arial" w:hAnsi="Arial" w:cs="Arial"/>
                <w:sz w:val="16"/>
                <w:szCs w:val="16"/>
              </w:rPr>
            </w:pPr>
          </w:p>
        </w:tc>
      </w:tr>
    </w:tbl>
    <w:p w14:paraId="38B86F09" w14:textId="07577CFE" w:rsidR="00891BED" w:rsidRDefault="00891BED" w:rsidP="00891BED">
      <w:pPr>
        <w:pStyle w:val="Kpalrs"/>
        <w:jc w:val="center"/>
      </w:pPr>
      <w:r>
        <w:t>3.2.1</w:t>
      </w:r>
      <w:proofErr w:type="gramStart"/>
      <w:r w:rsidR="002F63AA">
        <w:t>.</w:t>
      </w:r>
      <w:r>
        <w:t>c</w:t>
      </w:r>
      <w:proofErr w:type="gramEnd"/>
      <w:r>
        <w:t xml:space="preserve"> Táblázat</w:t>
      </w:r>
    </w:p>
    <w:p w14:paraId="16887B9F" w14:textId="77777777" w:rsidR="002745C4" w:rsidRPr="00CB7D6D" w:rsidRDefault="001B78F5" w:rsidP="00D04CAD">
      <w:pPr>
        <w:pStyle w:val="Behzottbekezdsnmhh"/>
        <w:spacing w:before="240" w:after="0"/>
        <w:ind w:firstLine="0"/>
      </w:pPr>
      <w:r w:rsidRPr="00CB7D6D">
        <w:t>A további szabályok a „Kis teljesítményű, vezetéknélküli szélessávú adatátvitel” alkalmazáshoz:</w:t>
      </w:r>
    </w:p>
    <w:p w14:paraId="0CFB43F4" w14:textId="77777777" w:rsidR="001B78F5" w:rsidRPr="001B78F5" w:rsidRDefault="00A65C13" w:rsidP="00D04CAD">
      <w:pPr>
        <w:pStyle w:val="Behzottbekezdsnmhh"/>
        <w:spacing w:after="0"/>
        <w:ind w:firstLine="0"/>
      </w:pPr>
      <w:r w:rsidRPr="00A65C13">
        <w:t>-</w:t>
      </w:r>
      <w:r>
        <w:t xml:space="preserve"> </w:t>
      </w:r>
      <w:r w:rsidR="001B78F5" w:rsidRPr="001B78F5">
        <w:t xml:space="preserve">Teljesítmény: </w:t>
      </w:r>
      <w:proofErr w:type="spellStart"/>
      <w:r w:rsidR="001B78F5" w:rsidRPr="001B78F5">
        <w:t>max</w:t>
      </w:r>
      <w:proofErr w:type="spellEnd"/>
      <w:r w:rsidR="001B78F5" w:rsidRPr="001B78F5">
        <w:t xml:space="preserve">. 100 </w:t>
      </w:r>
      <w:proofErr w:type="spellStart"/>
      <w:r w:rsidR="001B78F5" w:rsidRPr="001B78F5">
        <w:t>mW</w:t>
      </w:r>
      <w:proofErr w:type="spellEnd"/>
      <w:r w:rsidR="001B78F5" w:rsidRPr="001B78F5">
        <w:t xml:space="preserve"> EIRP</w:t>
      </w:r>
    </w:p>
    <w:p w14:paraId="1E6A9C2B" w14:textId="77777777" w:rsidR="001B78F5" w:rsidRPr="001B78F5" w:rsidRDefault="00A65C13" w:rsidP="00D04CAD">
      <w:pPr>
        <w:pStyle w:val="Behzottbekezdsnmhh"/>
        <w:spacing w:after="0"/>
        <w:ind w:firstLine="0"/>
      </w:pPr>
      <w:r>
        <w:t xml:space="preserve">- </w:t>
      </w:r>
      <w:r w:rsidR="001B78F5" w:rsidRPr="001B78F5">
        <w:t>Kitöltési tényező: ≤ 100%</w:t>
      </w:r>
    </w:p>
    <w:p w14:paraId="7AF5DDC2" w14:textId="5AA88BF8" w:rsidR="001848E4" w:rsidRDefault="0051050A" w:rsidP="00D04CAD">
      <w:pPr>
        <w:pStyle w:val="Cmsor3szmozottnmhh"/>
        <w:spacing w:before="360"/>
      </w:pPr>
      <w:bookmarkStart w:id="12" w:name="_Toc96075710"/>
      <w:r>
        <w:t>A</w:t>
      </w:r>
      <w:r w:rsidR="000641A7">
        <w:t xml:space="preserve"> </w:t>
      </w:r>
      <w:r w:rsidR="000641A7" w:rsidRPr="0065666F">
        <w:t>nem</w:t>
      </w:r>
      <w:r w:rsidR="00C83679">
        <w:t xml:space="preserve"> </w:t>
      </w:r>
      <w:r w:rsidR="000641A7" w:rsidRPr="0065666F">
        <w:t>polgári</w:t>
      </w:r>
      <w:r w:rsidR="00C804F6">
        <w:t xml:space="preserve"> </w:t>
      </w:r>
      <w:r w:rsidR="008F396A">
        <w:rPr>
          <w:bCs/>
        </w:rPr>
        <w:t>f</w:t>
      </w:r>
      <w:r w:rsidR="008F396A" w:rsidRPr="00EE312E">
        <w:rPr>
          <w:bCs/>
        </w:rPr>
        <w:t xml:space="preserve">öldfelszíni </w:t>
      </w:r>
      <w:r w:rsidR="00EE312E" w:rsidRPr="00EE312E">
        <w:rPr>
          <w:bCs/>
        </w:rPr>
        <w:t>elektronikus hírközlő hálózatok</w:t>
      </w:r>
      <w:r>
        <w:rPr>
          <w:bCs/>
        </w:rPr>
        <w:t xml:space="preserve"> használati feltételei</w:t>
      </w:r>
      <w:r w:rsidR="00EE312E">
        <w:rPr>
          <w:bCs/>
        </w:rPr>
        <w:t xml:space="preserve"> a</w:t>
      </w:r>
      <w:r w:rsidR="00EE312E" w:rsidRPr="00EE312E">
        <w:t xml:space="preserve"> </w:t>
      </w:r>
      <w:r w:rsidR="00C804F6">
        <w:t xml:space="preserve">2370-2400 MHz </w:t>
      </w:r>
      <w:r w:rsidR="005C3C52">
        <w:t>frekvencia</w:t>
      </w:r>
      <w:r w:rsidR="00C804F6">
        <w:t>sáv</w:t>
      </w:r>
      <w:r w:rsidR="00EE312E">
        <w:t>ban</w:t>
      </w:r>
      <w:bookmarkEnd w:id="12"/>
      <w:r w:rsidR="00C804F6">
        <w:t xml:space="preserve"> </w:t>
      </w:r>
    </w:p>
    <w:p w14:paraId="454947E6" w14:textId="77777777" w:rsidR="008F396A" w:rsidRPr="0011720D" w:rsidRDefault="008F396A" w:rsidP="0011720D">
      <w:pPr>
        <w:pStyle w:val="Behzottbekezdsnmhh"/>
        <w:ind w:firstLine="567"/>
      </w:pPr>
      <w:r w:rsidRPr="0011720D">
        <w:t xml:space="preserve">A részletes szabályokat az NFFF 3. melléklete tartalmazza. </w:t>
      </w:r>
      <w:r w:rsidR="0051050A" w:rsidRPr="0011720D">
        <w:t xml:space="preserve">Ennek megfelelően a 2370-2400 MHz sáv TDD üzemmódú elektronikus </w:t>
      </w:r>
      <w:r w:rsidR="001E3A86" w:rsidRPr="0011720D">
        <w:t>hírközlő hálózatok számára kijelölt.</w:t>
      </w:r>
    </w:p>
    <w:p w14:paraId="2758161A" w14:textId="77777777" w:rsidR="003E7D2F" w:rsidRPr="0011720D" w:rsidRDefault="003E7D2F" w:rsidP="0011720D">
      <w:pPr>
        <w:pStyle w:val="Behzottbekezdsnmhh"/>
        <w:ind w:firstLine="567"/>
      </w:pPr>
      <w:r w:rsidRPr="0011720D">
        <w:t xml:space="preserve">A sáv </w:t>
      </w:r>
      <w:r w:rsidRPr="00CB7D6D">
        <w:t>TDD</w:t>
      </w:r>
      <w:r w:rsidR="0011720D" w:rsidRPr="0011720D">
        <w:t xml:space="preserve"> alapblokkokra osztását a 3.2.2 a Táblázat tartalmazza</w:t>
      </w:r>
      <w:r w:rsidRPr="0011720D">
        <w:t>:</w:t>
      </w:r>
    </w:p>
    <w:tbl>
      <w:tblPr>
        <w:tblW w:w="1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0"/>
        <w:gridCol w:w="1670"/>
      </w:tblGrid>
      <w:tr w:rsidR="00CB7D6D" w14:paraId="7F49609D" w14:textId="77777777" w:rsidTr="00CB7D6D">
        <w:trPr>
          <w:jc w:val="center"/>
        </w:trPr>
        <w:tc>
          <w:tcPr>
            <w:tcW w:w="1666" w:type="dxa"/>
            <w:tcMar>
              <w:top w:w="0" w:type="dxa"/>
              <w:left w:w="30" w:type="dxa"/>
              <w:bottom w:w="0" w:type="dxa"/>
              <w:right w:w="30" w:type="dxa"/>
            </w:tcMar>
            <w:vAlign w:val="center"/>
            <w:hideMark/>
          </w:tcPr>
          <w:p w14:paraId="7954AB39"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rPr>
              <w:t>Alapblokk</w:t>
            </w:r>
          </w:p>
        </w:tc>
        <w:tc>
          <w:tcPr>
            <w:tcW w:w="1666" w:type="dxa"/>
            <w:tcMar>
              <w:top w:w="0" w:type="dxa"/>
              <w:left w:w="30" w:type="dxa"/>
              <w:bottom w:w="0" w:type="dxa"/>
              <w:right w:w="30" w:type="dxa"/>
            </w:tcMar>
            <w:vAlign w:val="center"/>
            <w:hideMark/>
          </w:tcPr>
          <w:p w14:paraId="4039AA5C"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rPr>
              <w:t>Blokksáv [MHz]</w:t>
            </w:r>
          </w:p>
        </w:tc>
      </w:tr>
      <w:tr w:rsidR="00CB7D6D" w14:paraId="77762156" w14:textId="77777777" w:rsidTr="00CB7D6D">
        <w:trPr>
          <w:jc w:val="center"/>
        </w:trPr>
        <w:tc>
          <w:tcPr>
            <w:tcW w:w="1666" w:type="dxa"/>
            <w:tcMar>
              <w:top w:w="0" w:type="dxa"/>
              <w:left w:w="30" w:type="dxa"/>
              <w:bottom w:w="0" w:type="dxa"/>
              <w:right w:w="30" w:type="dxa"/>
            </w:tcMar>
            <w:vAlign w:val="center"/>
            <w:hideMark/>
          </w:tcPr>
          <w:p w14:paraId="3D0C5508" w14:textId="77777777" w:rsidR="00CB7D6D" w:rsidRDefault="00CB7D6D" w:rsidP="00E11A39">
            <w:pPr>
              <w:pStyle w:val="NormlWeb"/>
              <w:jc w:val="center"/>
              <w:rPr>
                <w:rFonts w:ascii="Arial" w:hAnsi="Arial" w:cs="Arial"/>
                <w:sz w:val="18"/>
                <w:szCs w:val="18"/>
              </w:rPr>
            </w:pPr>
            <w:r>
              <w:rPr>
                <w:rFonts w:ascii="Arial" w:hAnsi="Arial" w:cs="Arial"/>
                <w:sz w:val="18"/>
                <w:szCs w:val="18"/>
              </w:rPr>
              <w:t>1</w:t>
            </w:r>
          </w:p>
        </w:tc>
        <w:tc>
          <w:tcPr>
            <w:tcW w:w="1666" w:type="dxa"/>
            <w:tcMar>
              <w:top w:w="0" w:type="dxa"/>
              <w:left w:w="30" w:type="dxa"/>
              <w:bottom w:w="0" w:type="dxa"/>
              <w:right w:w="30" w:type="dxa"/>
            </w:tcMar>
            <w:vAlign w:val="center"/>
            <w:hideMark/>
          </w:tcPr>
          <w:p w14:paraId="1D26E043" w14:textId="77777777" w:rsidR="00CB7D6D" w:rsidRDefault="00CB7D6D" w:rsidP="00E11A39">
            <w:pPr>
              <w:pStyle w:val="NormlWeb"/>
              <w:jc w:val="center"/>
              <w:rPr>
                <w:rFonts w:ascii="Arial" w:hAnsi="Arial" w:cs="Arial"/>
                <w:sz w:val="18"/>
                <w:szCs w:val="18"/>
              </w:rPr>
            </w:pPr>
            <w:r>
              <w:rPr>
                <w:rFonts w:ascii="Arial" w:hAnsi="Arial" w:cs="Arial"/>
                <w:sz w:val="18"/>
                <w:szCs w:val="18"/>
              </w:rPr>
              <w:t>2370–2375</w:t>
            </w:r>
          </w:p>
        </w:tc>
      </w:tr>
      <w:tr w:rsidR="00CB7D6D" w14:paraId="6D0FB215" w14:textId="77777777" w:rsidTr="00CB7D6D">
        <w:trPr>
          <w:jc w:val="center"/>
        </w:trPr>
        <w:tc>
          <w:tcPr>
            <w:tcW w:w="1666" w:type="dxa"/>
            <w:tcMar>
              <w:top w:w="0" w:type="dxa"/>
              <w:left w:w="30" w:type="dxa"/>
              <w:bottom w:w="0" w:type="dxa"/>
              <w:right w:w="30" w:type="dxa"/>
            </w:tcMar>
            <w:vAlign w:val="center"/>
            <w:hideMark/>
          </w:tcPr>
          <w:p w14:paraId="09E9C686" w14:textId="77777777" w:rsidR="00CB7D6D" w:rsidRDefault="00CB7D6D" w:rsidP="00E11A39">
            <w:pPr>
              <w:pStyle w:val="NormlWeb"/>
              <w:jc w:val="center"/>
              <w:rPr>
                <w:rFonts w:ascii="Arial" w:hAnsi="Arial" w:cs="Arial"/>
                <w:sz w:val="18"/>
                <w:szCs w:val="18"/>
              </w:rPr>
            </w:pPr>
            <w:r>
              <w:rPr>
                <w:rFonts w:ascii="Arial" w:hAnsi="Arial" w:cs="Arial"/>
                <w:sz w:val="18"/>
                <w:szCs w:val="18"/>
              </w:rPr>
              <w:t>2</w:t>
            </w:r>
          </w:p>
        </w:tc>
        <w:tc>
          <w:tcPr>
            <w:tcW w:w="1666" w:type="dxa"/>
            <w:tcMar>
              <w:top w:w="0" w:type="dxa"/>
              <w:left w:w="30" w:type="dxa"/>
              <w:bottom w:w="0" w:type="dxa"/>
              <w:right w:w="30" w:type="dxa"/>
            </w:tcMar>
            <w:vAlign w:val="center"/>
            <w:hideMark/>
          </w:tcPr>
          <w:p w14:paraId="6871B3E8" w14:textId="77777777" w:rsidR="00CB7D6D" w:rsidRDefault="00CB7D6D" w:rsidP="00E11A39">
            <w:pPr>
              <w:pStyle w:val="NormlWeb"/>
              <w:jc w:val="center"/>
              <w:rPr>
                <w:rFonts w:ascii="Arial" w:hAnsi="Arial" w:cs="Arial"/>
                <w:sz w:val="18"/>
                <w:szCs w:val="18"/>
              </w:rPr>
            </w:pPr>
            <w:r>
              <w:rPr>
                <w:rFonts w:ascii="Arial" w:hAnsi="Arial" w:cs="Arial"/>
                <w:sz w:val="18"/>
                <w:szCs w:val="18"/>
              </w:rPr>
              <w:t>2375–2380</w:t>
            </w:r>
          </w:p>
        </w:tc>
      </w:tr>
      <w:tr w:rsidR="00CB7D6D" w14:paraId="779DC027" w14:textId="77777777" w:rsidTr="00CB7D6D">
        <w:trPr>
          <w:jc w:val="center"/>
        </w:trPr>
        <w:tc>
          <w:tcPr>
            <w:tcW w:w="1666" w:type="dxa"/>
            <w:tcMar>
              <w:top w:w="0" w:type="dxa"/>
              <w:left w:w="30" w:type="dxa"/>
              <w:bottom w:w="0" w:type="dxa"/>
              <w:right w:w="30" w:type="dxa"/>
            </w:tcMar>
            <w:vAlign w:val="center"/>
            <w:hideMark/>
          </w:tcPr>
          <w:p w14:paraId="0E2FB190" w14:textId="77777777" w:rsidR="00CB7D6D" w:rsidRDefault="00CB7D6D" w:rsidP="00E11A39">
            <w:pPr>
              <w:pStyle w:val="NormlWeb"/>
              <w:jc w:val="center"/>
              <w:rPr>
                <w:rFonts w:ascii="Arial" w:hAnsi="Arial" w:cs="Arial"/>
                <w:sz w:val="18"/>
                <w:szCs w:val="18"/>
              </w:rPr>
            </w:pPr>
            <w:r>
              <w:rPr>
                <w:rFonts w:ascii="Arial" w:hAnsi="Arial" w:cs="Arial"/>
                <w:sz w:val="18"/>
                <w:szCs w:val="18"/>
              </w:rPr>
              <w:t>3</w:t>
            </w:r>
          </w:p>
        </w:tc>
        <w:tc>
          <w:tcPr>
            <w:tcW w:w="1666" w:type="dxa"/>
            <w:tcMar>
              <w:top w:w="0" w:type="dxa"/>
              <w:left w:w="30" w:type="dxa"/>
              <w:bottom w:w="0" w:type="dxa"/>
              <w:right w:w="30" w:type="dxa"/>
            </w:tcMar>
            <w:vAlign w:val="center"/>
            <w:hideMark/>
          </w:tcPr>
          <w:p w14:paraId="56BBA45F" w14:textId="77777777" w:rsidR="00CB7D6D" w:rsidRDefault="00CB7D6D" w:rsidP="00E11A39">
            <w:pPr>
              <w:pStyle w:val="NormlWeb"/>
              <w:jc w:val="center"/>
              <w:rPr>
                <w:rFonts w:ascii="Arial" w:hAnsi="Arial" w:cs="Arial"/>
                <w:sz w:val="18"/>
                <w:szCs w:val="18"/>
              </w:rPr>
            </w:pPr>
            <w:r>
              <w:rPr>
                <w:rFonts w:ascii="Arial" w:hAnsi="Arial" w:cs="Arial"/>
                <w:sz w:val="18"/>
                <w:szCs w:val="18"/>
              </w:rPr>
              <w:t>2380–2385</w:t>
            </w:r>
          </w:p>
        </w:tc>
      </w:tr>
      <w:tr w:rsidR="00CB7D6D" w14:paraId="3947EA4F" w14:textId="77777777" w:rsidTr="00CB7D6D">
        <w:trPr>
          <w:jc w:val="center"/>
        </w:trPr>
        <w:tc>
          <w:tcPr>
            <w:tcW w:w="1666" w:type="dxa"/>
            <w:tcMar>
              <w:top w:w="0" w:type="dxa"/>
              <w:left w:w="30" w:type="dxa"/>
              <w:bottom w:w="0" w:type="dxa"/>
              <w:right w:w="30" w:type="dxa"/>
            </w:tcMar>
            <w:vAlign w:val="center"/>
            <w:hideMark/>
          </w:tcPr>
          <w:p w14:paraId="79E18ABB" w14:textId="77777777" w:rsidR="00CB7D6D" w:rsidRDefault="00CB7D6D" w:rsidP="00E11A39">
            <w:pPr>
              <w:pStyle w:val="NormlWeb"/>
              <w:jc w:val="center"/>
              <w:rPr>
                <w:rFonts w:ascii="Arial" w:hAnsi="Arial" w:cs="Arial"/>
                <w:sz w:val="18"/>
                <w:szCs w:val="18"/>
              </w:rPr>
            </w:pPr>
            <w:r>
              <w:rPr>
                <w:rFonts w:ascii="Arial" w:hAnsi="Arial" w:cs="Arial"/>
                <w:sz w:val="18"/>
                <w:szCs w:val="18"/>
              </w:rPr>
              <w:t>4</w:t>
            </w:r>
          </w:p>
        </w:tc>
        <w:tc>
          <w:tcPr>
            <w:tcW w:w="1666" w:type="dxa"/>
            <w:tcMar>
              <w:top w:w="0" w:type="dxa"/>
              <w:left w:w="30" w:type="dxa"/>
              <w:bottom w:w="0" w:type="dxa"/>
              <w:right w:w="30" w:type="dxa"/>
            </w:tcMar>
            <w:vAlign w:val="center"/>
            <w:hideMark/>
          </w:tcPr>
          <w:p w14:paraId="5C941DCB" w14:textId="77777777" w:rsidR="00CB7D6D" w:rsidRDefault="00CB7D6D" w:rsidP="00E11A39">
            <w:pPr>
              <w:pStyle w:val="NormlWeb"/>
              <w:jc w:val="center"/>
              <w:rPr>
                <w:rFonts w:ascii="Arial" w:hAnsi="Arial" w:cs="Arial"/>
                <w:sz w:val="18"/>
                <w:szCs w:val="18"/>
              </w:rPr>
            </w:pPr>
            <w:r>
              <w:rPr>
                <w:rFonts w:ascii="Arial" w:hAnsi="Arial" w:cs="Arial"/>
                <w:sz w:val="18"/>
                <w:szCs w:val="18"/>
              </w:rPr>
              <w:t>2385–2390</w:t>
            </w:r>
          </w:p>
        </w:tc>
      </w:tr>
      <w:tr w:rsidR="00CB7D6D" w14:paraId="1FE75F8E" w14:textId="77777777" w:rsidTr="00CB7D6D">
        <w:trPr>
          <w:jc w:val="center"/>
        </w:trPr>
        <w:tc>
          <w:tcPr>
            <w:tcW w:w="1666" w:type="dxa"/>
            <w:tcMar>
              <w:top w:w="0" w:type="dxa"/>
              <w:left w:w="30" w:type="dxa"/>
              <w:bottom w:w="0" w:type="dxa"/>
              <w:right w:w="30" w:type="dxa"/>
            </w:tcMar>
            <w:vAlign w:val="center"/>
            <w:hideMark/>
          </w:tcPr>
          <w:p w14:paraId="16F4B251" w14:textId="77777777" w:rsidR="00CB7D6D" w:rsidRDefault="00CB7D6D" w:rsidP="00E11A39">
            <w:pPr>
              <w:pStyle w:val="NormlWeb"/>
              <w:jc w:val="center"/>
              <w:rPr>
                <w:rFonts w:ascii="Arial" w:hAnsi="Arial" w:cs="Arial"/>
                <w:sz w:val="18"/>
                <w:szCs w:val="18"/>
              </w:rPr>
            </w:pPr>
            <w:r>
              <w:rPr>
                <w:rFonts w:ascii="Arial" w:hAnsi="Arial" w:cs="Arial"/>
                <w:sz w:val="18"/>
                <w:szCs w:val="18"/>
              </w:rPr>
              <w:t>5</w:t>
            </w:r>
          </w:p>
        </w:tc>
        <w:tc>
          <w:tcPr>
            <w:tcW w:w="1666" w:type="dxa"/>
            <w:tcMar>
              <w:top w:w="0" w:type="dxa"/>
              <w:left w:w="30" w:type="dxa"/>
              <w:bottom w:w="0" w:type="dxa"/>
              <w:right w:w="30" w:type="dxa"/>
            </w:tcMar>
            <w:vAlign w:val="center"/>
            <w:hideMark/>
          </w:tcPr>
          <w:p w14:paraId="44698A31" w14:textId="77777777" w:rsidR="00CB7D6D" w:rsidRDefault="00CB7D6D" w:rsidP="00E11A39">
            <w:pPr>
              <w:pStyle w:val="NormlWeb"/>
              <w:jc w:val="center"/>
              <w:rPr>
                <w:rFonts w:ascii="Arial" w:hAnsi="Arial" w:cs="Arial"/>
                <w:sz w:val="18"/>
                <w:szCs w:val="18"/>
              </w:rPr>
            </w:pPr>
            <w:r>
              <w:rPr>
                <w:rFonts w:ascii="Arial" w:hAnsi="Arial" w:cs="Arial"/>
                <w:sz w:val="18"/>
                <w:szCs w:val="18"/>
              </w:rPr>
              <w:t>2390–2395</w:t>
            </w:r>
          </w:p>
        </w:tc>
      </w:tr>
      <w:tr w:rsidR="00CB7D6D" w14:paraId="5B9BCE0B" w14:textId="77777777" w:rsidTr="00CB7D6D">
        <w:trPr>
          <w:jc w:val="center"/>
        </w:trPr>
        <w:tc>
          <w:tcPr>
            <w:tcW w:w="1666" w:type="dxa"/>
            <w:tcMar>
              <w:top w:w="0" w:type="dxa"/>
              <w:left w:w="30" w:type="dxa"/>
              <w:bottom w:w="0" w:type="dxa"/>
              <w:right w:w="30" w:type="dxa"/>
            </w:tcMar>
            <w:vAlign w:val="center"/>
            <w:hideMark/>
          </w:tcPr>
          <w:p w14:paraId="0A4997B1" w14:textId="77777777" w:rsidR="00CB7D6D" w:rsidRDefault="00CB7D6D" w:rsidP="00E11A39">
            <w:pPr>
              <w:pStyle w:val="NormlWeb"/>
              <w:jc w:val="center"/>
              <w:rPr>
                <w:rFonts w:ascii="Arial" w:hAnsi="Arial" w:cs="Arial"/>
                <w:sz w:val="18"/>
                <w:szCs w:val="18"/>
              </w:rPr>
            </w:pPr>
            <w:r>
              <w:rPr>
                <w:rFonts w:ascii="Arial" w:hAnsi="Arial" w:cs="Arial"/>
                <w:sz w:val="18"/>
                <w:szCs w:val="18"/>
              </w:rPr>
              <w:t>6</w:t>
            </w:r>
          </w:p>
        </w:tc>
        <w:tc>
          <w:tcPr>
            <w:tcW w:w="1666" w:type="dxa"/>
            <w:tcMar>
              <w:top w:w="0" w:type="dxa"/>
              <w:left w:w="30" w:type="dxa"/>
              <w:bottom w:w="0" w:type="dxa"/>
              <w:right w:w="30" w:type="dxa"/>
            </w:tcMar>
            <w:vAlign w:val="center"/>
            <w:hideMark/>
          </w:tcPr>
          <w:p w14:paraId="444D1141" w14:textId="77777777" w:rsidR="00CB7D6D" w:rsidRDefault="00CB7D6D" w:rsidP="0011720D">
            <w:pPr>
              <w:pStyle w:val="NormlWeb"/>
              <w:keepNext/>
              <w:jc w:val="center"/>
              <w:rPr>
                <w:rFonts w:ascii="Arial" w:hAnsi="Arial" w:cs="Arial"/>
                <w:sz w:val="18"/>
                <w:szCs w:val="18"/>
              </w:rPr>
            </w:pPr>
            <w:r>
              <w:rPr>
                <w:rFonts w:ascii="Arial" w:hAnsi="Arial" w:cs="Arial"/>
                <w:sz w:val="18"/>
                <w:szCs w:val="18"/>
              </w:rPr>
              <w:t>2395–2400</w:t>
            </w:r>
          </w:p>
        </w:tc>
      </w:tr>
    </w:tbl>
    <w:p w14:paraId="033C5743" w14:textId="77777777" w:rsidR="0011720D" w:rsidRDefault="0011720D" w:rsidP="0011720D">
      <w:pPr>
        <w:pStyle w:val="Kpalrs"/>
        <w:jc w:val="center"/>
      </w:pPr>
      <w:r>
        <w:t>3.2.2 a Táblázat</w:t>
      </w:r>
    </w:p>
    <w:p w14:paraId="3CEC61F5" w14:textId="4DA69785" w:rsidR="003E7D2F" w:rsidRDefault="003E7D2F" w:rsidP="0011720D">
      <w:pPr>
        <w:pStyle w:val="Behzottbekezdsnmhh"/>
        <w:ind w:firstLine="567"/>
      </w:pPr>
      <w:r w:rsidRPr="0011720D">
        <w:t xml:space="preserve">A </w:t>
      </w:r>
      <w:r w:rsidR="00FA60A1" w:rsidRPr="0011720D">
        <w:t>rádióspektrum-használati</w:t>
      </w:r>
      <w:r w:rsidR="00FA60A1" w:rsidRPr="0011720D" w:rsidDel="00FA60A1">
        <w:t xml:space="preserve"> </w:t>
      </w:r>
      <w:r w:rsidRPr="0011720D">
        <w:t>jog</w:t>
      </w:r>
      <w:r w:rsidR="005C3C52">
        <w:t>osultság, jog</w:t>
      </w:r>
      <w:r w:rsidRPr="0011720D">
        <w:t xml:space="preserve"> szerzésének és a sávhasználat feltételei</w:t>
      </w:r>
      <w:r w:rsidR="0011720D" w:rsidRPr="0011720D">
        <w:t>t a 3.2.2 b Táblázat tartalmazza</w:t>
      </w:r>
      <w:r w:rsidRPr="0011720D">
        <w:t>:</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4"/>
        <w:gridCol w:w="6236"/>
      </w:tblGrid>
      <w:tr w:rsidR="00CB7D6D" w:rsidRPr="000641A7" w14:paraId="4241F0B8" w14:textId="77777777" w:rsidTr="00FA60A1">
        <w:tc>
          <w:tcPr>
            <w:tcW w:w="2674" w:type="dxa"/>
            <w:tcMar>
              <w:top w:w="0" w:type="dxa"/>
              <w:left w:w="30" w:type="dxa"/>
              <w:bottom w:w="0" w:type="dxa"/>
              <w:right w:w="30" w:type="dxa"/>
            </w:tcMar>
            <w:vAlign w:val="center"/>
            <w:hideMark/>
          </w:tcPr>
          <w:p w14:paraId="5376CBD2" w14:textId="77777777" w:rsidR="00CB7D6D" w:rsidRPr="000641A7" w:rsidRDefault="00CB7D6D" w:rsidP="00E11A39">
            <w:pPr>
              <w:pStyle w:val="NormlWeb"/>
              <w:jc w:val="center"/>
              <w:rPr>
                <w:rFonts w:asciiTheme="minorHAnsi" w:hAnsiTheme="minorHAnsi" w:cstheme="minorHAnsi"/>
                <w:sz w:val="18"/>
                <w:szCs w:val="18"/>
              </w:rPr>
            </w:pPr>
            <w:r w:rsidRPr="000641A7">
              <w:rPr>
                <w:rStyle w:val="Kiemels2"/>
                <w:rFonts w:asciiTheme="minorHAnsi" w:hAnsiTheme="minorHAnsi" w:cstheme="minorHAnsi"/>
                <w:sz w:val="18"/>
                <w:szCs w:val="18"/>
              </w:rPr>
              <w:t>Feltétel tárgya</w:t>
            </w:r>
          </w:p>
        </w:tc>
        <w:tc>
          <w:tcPr>
            <w:tcW w:w="6236" w:type="dxa"/>
            <w:tcMar>
              <w:top w:w="0" w:type="dxa"/>
              <w:left w:w="30" w:type="dxa"/>
              <w:bottom w:w="0" w:type="dxa"/>
              <w:right w:w="30" w:type="dxa"/>
            </w:tcMar>
            <w:vAlign w:val="center"/>
            <w:hideMark/>
          </w:tcPr>
          <w:p w14:paraId="0F7623A3" w14:textId="77777777" w:rsidR="00CB7D6D" w:rsidRPr="000641A7" w:rsidRDefault="00CB7D6D" w:rsidP="00E11A39">
            <w:pPr>
              <w:pStyle w:val="NormlWeb"/>
              <w:jc w:val="center"/>
              <w:rPr>
                <w:rFonts w:asciiTheme="minorHAnsi" w:hAnsiTheme="minorHAnsi" w:cstheme="minorHAnsi"/>
                <w:sz w:val="18"/>
                <w:szCs w:val="18"/>
              </w:rPr>
            </w:pPr>
            <w:r w:rsidRPr="000641A7">
              <w:rPr>
                <w:rStyle w:val="Kiemels2"/>
                <w:rFonts w:asciiTheme="minorHAnsi" w:hAnsiTheme="minorHAnsi" w:cstheme="minorHAnsi"/>
                <w:sz w:val="18"/>
                <w:szCs w:val="18"/>
              </w:rPr>
              <w:t>Előírás</w:t>
            </w:r>
          </w:p>
        </w:tc>
      </w:tr>
      <w:tr w:rsidR="00CB7D6D" w:rsidRPr="000641A7" w14:paraId="726C5DDA" w14:textId="77777777" w:rsidTr="00FA60A1">
        <w:tc>
          <w:tcPr>
            <w:tcW w:w="2674" w:type="dxa"/>
            <w:tcMar>
              <w:top w:w="0" w:type="dxa"/>
              <w:left w:w="30" w:type="dxa"/>
              <w:bottom w:w="0" w:type="dxa"/>
              <w:right w:w="30" w:type="dxa"/>
            </w:tcMar>
            <w:vAlign w:val="center"/>
            <w:hideMark/>
          </w:tcPr>
          <w:p w14:paraId="76BC87C6" w14:textId="77777777" w:rsidR="00CB7D6D" w:rsidRPr="000641A7" w:rsidRDefault="00CB7D6D" w:rsidP="00E11A39">
            <w:pPr>
              <w:pStyle w:val="NormlWeb"/>
              <w:rPr>
                <w:rFonts w:asciiTheme="minorHAnsi" w:hAnsiTheme="minorHAnsi" w:cstheme="minorHAnsi"/>
                <w:sz w:val="18"/>
                <w:szCs w:val="18"/>
              </w:rPr>
            </w:pPr>
            <w:r w:rsidRPr="000641A7">
              <w:rPr>
                <w:rFonts w:asciiTheme="minorHAnsi" w:hAnsiTheme="minorHAnsi" w:cstheme="minorHAnsi"/>
                <w:sz w:val="18"/>
                <w:szCs w:val="18"/>
              </w:rPr>
              <w:t>Felhasználás célja</w:t>
            </w:r>
          </w:p>
        </w:tc>
        <w:tc>
          <w:tcPr>
            <w:tcW w:w="6236" w:type="dxa"/>
            <w:tcMar>
              <w:top w:w="0" w:type="dxa"/>
              <w:left w:w="30" w:type="dxa"/>
              <w:bottom w:w="0" w:type="dxa"/>
              <w:right w:w="30" w:type="dxa"/>
            </w:tcMar>
            <w:vAlign w:val="center"/>
            <w:hideMark/>
          </w:tcPr>
          <w:p w14:paraId="39B1BB54" w14:textId="77777777" w:rsidR="00CB7D6D" w:rsidRPr="000641A7" w:rsidRDefault="00CB7D6D" w:rsidP="00E11A39">
            <w:pPr>
              <w:pStyle w:val="NormlWeb"/>
              <w:rPr>
                <w:rFonts w:asciiTheme="minorHAnsi" w:hAnsiTheme="minorHAnsi" w:cstheme="minorHAnsi"/>
                <w:sz w:val="18"/>
                <w:szCs w:val="18"/>
              </w:rPr>
            </w:pPr>
            <w:r w:rsidRPr="000641A7">
              <w:rPr>
                <w:rFonts w:asciiTheme="minorHAnsi" w:hAnsiTheme="minorHAnsi" w:cstheme="minorHAnsi"/>
                <w:sz w:val="18"/>
                <w:szCs w:val="18"/>
              </w:rPr>
              <w:t>beszéd- és adatátvitel</w:t>
            </w:r>
          </w:p>
        </w:tc>
      </w:tr>
      <w:tr w:rsidR="00CB7D6D" w:rsidRPr="000641A7" w14:paraId="56DAAC10" w14:textId="77777777" w:rsidTr="00FA60A1">
        <w:tc>
          <w:tcPr>
            <w:tcW w:w="2674" w:type="dxa"/>
            <w:tcMar>
              <w:top w:w="0" w:type="dxa"/>
              <w:left w:w="30" w:type="dxa"/>
              <w:bottom w:w="0" w:type="dxa"/>
              <w:right w:w="30" w:type="dxa"/>
            </w:tcMar>
            <w:vAlign w:val="center"/>
            <w:hideMark/>
          </w:tcPr>
          <w:p w14:paraId="42597A51" w14:textId="77777777" w:rsidR="00CB7D6D" w:rsidRPr="000641A7" w:rsidRDefault="00CB7D6D" w:rsidP="00E11A39">
            <w:pPr>
              <w:pStyle w:val="NormlWeb"/>
              <w:rPr>
                <w:rFonts w:asciiTheme="minorHAnsi" w:hAnsiTheme="minorHAnsi" w:cstheme="minorHAnsi"/>
                <w:sz w:val="18"/>
                <w:szCs w:val="18"/>
              </w:rPr>
            </w:pPr>
            <w:r w:rsidRPr="000641A7">
              <w:rPr>
                <w:rFonts w:asciiTheme="minorHAnsi" w:hAnsiTheme="minorHAnsi" w:cstheme="minorHAnsi"/>
                <w:sz w:val="18"/>
                <w:szCs w:val="18"/>
              </w:rPr>
              <w:t>Használható rendszerek</w:t>
            </w:r>
          </w:p>
        </w:tc>
        <w:tc>
          <w:tcPr>
            <w:tcW w:w="6236" w:type="dxa"/>
            <w:tcMar>
              <w:top w:w="0" w:type="dxa"/>
              <w:left w:w="30" w:type="dxa"/>
              <w:bottom w:w="0" w:type="dxa"/>
              <w:right w:w="30" w:type="dxa"/>
            </w:tcMar>
            <w:vAlign w:val="center"/>
            <w:hideMark/>
          </w:tcPr>
          <w:p w14:paraId="7DB654A8" w14:textId="77777777" w:rsidR="00CB7D6D" w:rsidRPr="000641A7" w:rsidRDefault="00CB7D6D" w:rsidP="00E11A39">
            <w:pPr>
              <w:pStyle w:val="NormlWeb"/>
              <w:rPr>
                <w:rFonts w:asciiTheme="minorHAnsi" w:hAnsiTheme="minorHAnsi" w:cstheme="minorHAnsi"/>
                <w:sz w:val="18"/>
                <w:szCs w:val="18"/>
              </w:rPr>
            </w:pPr>
            <w:r w:rsidRPr="000641A7">
              <w:rPr>
                <w:rFonts w:asciiTheme="minorHAnsi" w:hAnsiTheme="minorHAnsi" w:cstheme="minorHAnsi"/>
                <w:sz w:val="18"/>
                <w:szCs w:val="18"/>
              </w:rPr>
              <w:t xml:space="preserve">BWA, </w:t>
            </w:r>
            <w:proofErr w:type="spellStart"/>
            <w:r w:rsidRPr="000641A7">
              <w:rPr>
                <w:rFonts w:asciiTheme="minorHAnsi" w:hAnsiTheme="minorHAnsi" w:cstheme="minorHAnsi"/>
                <w:sz w:val="18"/>
                <w:szCs w:val="18"/>
              </w:rPr>
              <w:t>WiMAX</w:t>
            </w:r>
            <w:proofErr w:type="spellEnd"/>
            <w:r w:rsidRPr="000641A7">
              <w:rPr>
                <w:rFonts w:asciiTheme="minorHAnsi" w:hAnsiTheme="minorHAnsi" w:cstheme="minorHAnsi"/>
                <w:sz w:val="18"/>
                <w:szCs w:val="18"/>
              </w:rPr>
              <w:t xml:space="preserve">, </w:t>
            </w:r>
            <w:proofErr w:type="spellStart"/>
            <w:r w:rsidRPr="000641A7">
              <w:rPr>
                <w:rFonts w:asciiTheme="minorHAnsi" w:hAnsiTheme="minorHAnsi" w:cstheme="minorHAnsi"/>
                <w:sz w:val="18"/>
                <w:szCs w:val="18"/>
              </w:rPr>
              <w:t>WiBro</w:t>
            </w:r>
            <w:proofErr w:type="spellEnd"/>
            <w:r w:rsidRPr="000641A7">
              <w:rPr>
                <w:rFonts w:asciiTheme="minorHAnsi" w:hAnsiTheme="minorHAnsi" w:cstheme="minorHAnsi"/>
                <w:sz w:val="18"/>
                <w:szCs w:val="18"/>
              </w:rPr>
              <w:t>, LTE</w:t>
            </w:r>
          </w:p>
        </w:tc>
      </w:tr>
      <w:tr w:rsidR="00CB7D6D" w:rsidRPr="000641A7" w14:paraId="4058C790" w14:textId="77777777" w:rsidTr="00FA60A1">
        <w:tc>
          <w:tcPr>
            <w:tcW w:w="2674" w:type="dxa"/>
            <w:tcMar>
              <w:top w:w="0" w:type="dxa"/>
              <w:left w:w="30" w:type="dxa"/>
              <w:bottom w:w="0" w:type="dxa"/>
              <w:right w:w="30" w:type="dxa"/>
            </w:tcMar>
            <w:vAlign w:val="center"/>
            <w:hideMark/>
          </w:tcPr>
          <w:p w14:paraId="1E07C58B" w14:textId="77777777" w:rsidR="00CB7D6D" w:rsidRPr="000641A7" w:rsidRDefault="00FA60A1" w:rsidP="00E11A39">
            <w:pPr>
              <w:pStyle w:val="NormlWeb"/>
              <w:rPr>
                <w:rFonts w:asciiTheme="minorHAnsi" w:hAnsiTheme="minorHAnsi" w:cstheme="minorHAnsi"/>
                <w:sz w:val="18"/>
                <w:szCs w:val="18"/>
              </w:rPr>
            </w:pPr>
            <w:r w:rsidRPr="00FA60A1">
              <w:rPr>
                <w:rFonts w:asciiTheme="minorHAnsi" w:hAnsiTheme="minorHAnsi" w:cstheme="minorHAnsi"/>
                <w:sz w:val="18"/>
                <w:szCs w:val="18"/>
              </w:rPr>
              <w:t>Rádióspektrum-használati</w:t>
            </w:r>
            <w:r w:rsidR="00CB7D6D" w:rsidRPr="000641A7">
              <w:rPr>
                <w:rFonts w:asciiTheme="minorHAnsi" w:hAnsiTheme="minorHAnsi" w:cstheme="minorHAnsi"/>
                <w:sz w:val="18"/>
                <w:szCs w:val="18"/>
              </w:rPr>
              <w:t xml:space="preserve"> jogosultság területi kiterjedése</w:t>
            </w:r>
          </w:p>
        </w:tc>
        <w:tc>
          <w:tcPr>
            <w:tcW w:w="6236" w:type="dxa"/>
            <w:tcMar>
              <w:top w:w="0" w:type="dxa"/>
              <w:left w:w="30" w:type="dxa"/>
              <w:bottom w:w="0" w:type="dxa"/>
              <w:right w:w="30" w:type="dxa"/>
            </w:tcMar>
            <w:vAlign w:val="center"/>
            <w:hideMark/>
          </w:tcPr>
          <w:p w14:paraId="2B323645" w14:textId="77777777" w:rsidR="00CB7D6D" w:rsidRPr="000641A7" w:rsidRDefault="00CB7D6D" w:rsidP="0011720D">
            <w:pPr>
              <w:pStyle w:val="NormlWeb"/>
              <w:keepNext/>
              <w:rPr>
                <w:rFonts w:asciiTheme="minorHAnsi" w:hAnsiTheme="minorHAnsi" w:cstheme="minorHAnsi"/>
                <w:sz w:val="18"/>
                <w:szCs w:val="18"/>
              </w:rPr>
            </w:pPr>
            <w:r w:rsidRPr="000641A7">
              <w:rPr>
                <w:rFonts w:asciiTheme="minorHAnsi" w:hAnsiTheme="minorHAnsi" w:cstheme="minorHAnsi"/>
                <w:sz w:val="18"/>
                <w:szCs w:val="18"/>
              </w:rPr>
              <w:t>országos</w:t>
            </w:r>
          </w:p>
        </w:tc>
      </w:tr>
    </w:tbl>
    <w:p w14:paraId="28ECB8A1" w14:textId="77777777" w:rsidR="0011720D" w:rsidRDefault="0011720D" w:rsidP="0011720D">
      <w:pPr>
        <w:pStyle w:val="Kpalrs"/>
        <w:jc w:val="center"/>
      </w:pPr>
      <w:r>
        <w:t>3.2.2 b Táblázat</w:t>
      </w:r>
    </w:p>
    <w:p w14:paraId="1C73BFBF" w14:textId="77777777" w:rsidR="002A0FEA" w:rsidRDefault="002A0FEA">
      <w:pPr>
        <w:spacing w:after="200"/>
        <w:jc w:val="left"/>
        <w:rPr>
          <w:sz w:val="20"/>
          <w:szCs w:val="20"/>
        </w:rPr>
      </w:pPr>
      <w:r>
        <w:br w:type="page"/>
      </w:r>
    </w:p>
    <w:p w14:paraId="1F8FD243" w14:textId="77777777" w:rsidR="003E7D2F" w:rsidRDefault="00FA60A1" w:rsidP="0011720D">
      <w:pPr>
        <w:pStyle w:val="Behzottbekezdsnmhh"/>
        <w:ind w:firstLine="567"/>
      </w:pPr>
      <w:r w:rsidRPr="0011720D">
        <w:lastRenderedPageBreak/>
        <w:t>Rádióspektrum-gazdálkodási</w:t>
      </w:r>
      <w:r w:rsidR="003E7D2F" w:rsidRPr="0011720D">
        <w:t xml:space="preserve"> követelmények</w:t>
      </w:r>
      <w:r w:rsidR="0011720D">
        <w:t>et a 3.2.2 c Táblázat tartalmazza</w:t>
      </w:r>
      <w:r w:rsidR="003E7D2F" w:rsidRPr="0011720D">
        <w:t>:</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74"/>
        <w:gridCol w:w="6236"/>
      </w:tblGrid>
      <w:tr w:rsidR="00CB7D6D" w14:paraId="5D322DC3" w14:textId="77777777" w:rsidTr="00CB7D6D">
        <w:tc>
          <w:tcPr>
            <w:tcW w:w="2668" w:type="dxa"/>
            <w:tcMar>
              <w:top w:w="0" w:type="dxa"/>
              <w:left w:w="30" w:type="dxa"/>
              <w:bottom w:w="0" w:type="dxa"/>
              <w:right w:w="30" w:type="dxa"/>
            </w:tcMar>
            <w:vAlign w:val="center"/>
            <w:hideMark/>
          </w:tcPr>
          <w:p w14:paraId="6B821FF1"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rPr>
              <w:t>Követelmény tárgya</w:t>
            </w:r>
          </w:p>
        </w:tc>
        <w:tc>
          <w:tcPr>
            <w:tcW w:w="6222" w:type="dxa"/>
            <w:tcMar>
              <w:top w:w="0" w:type="dxa"/>
              <w:left w:w="30" w:type="dxa"/>
              <w:bottom w:w="0" w:type="dxa"/>
              <w:right w:w="30" w:type="dxa"/>
            </w:tcMar>
            <w:vAlign w:val="center"/>
            <w:hideMark/>
          </w:tcPr>
          <w:p w14:paraId="7A1044F4" w14:textId="77777777" w:rsidR="00CB7D6D" w:rsidRDefault="00CB7D6D" w:rsidP="00E11A39">
            <w:pPr>
              <w:pStyle w:val="NormlWeb"/>
              <w:jc w:val="center"/>
              <w:rPr>
                <w:rFonts w:ascii="Arial" w:hAnsi="Arial" w:cs="Arial"/>
                <w:sz w:val="18"/>
                <w:szCs w:val="18"/>
              </w:rPr>
            </w:pPr>
            <w:r>
              <w:rPr>
                <w:rStyle w:val="Kiemels2"/>
                <w:rFonts w:ascii="Arial" w:hAnsi="Arial" w:cs="Arial"/>
                <w:sz w:val="18"/>
                <w:szCs w:val="18"/>
              </w:rPr>
              <w:t>Előírás</w:t>
            </w:r>
          </w:p>
        </w:tc>
      </w:tr>
      <w:tr w:rsidR="00CB7D6D" w14:paraId="426F3F42" w14:textId="77777777" w:rsidTr="00CB7D6D">
        <w:tc>
          <w:tcPr>
            <w:tcW w:w="2668" w:type="dxa"/>
            <w:tcMar>
              <w:top w:w="0" w:type="dxa"/>
              <w:left w:w="30" w:type="dxa"/>
              <w:bottom w:w="0" w:type="dxa"/>
              <w:right w:w="30" w:type="dxa"/>
            </w:tcMar>
            <w:vAlign w:val="center"/>
            <w:hideMark/>
          </w:tcPr>
          <w:p w14:paraId="69128C0C" w14:textId="77777777" w:rsidR="00CB7D6D" w:rsidRDefault="00CB7D6D" w:rsidP="00E11A39">
            <w:pPr>
              <w:pStyle w:val="NormlWeb"/>
              <w:rPr>
                <w:rFonts w:ascii="Arial" w:hAnsi="Arial" w:cs="Arial"/>
                <w:sz w:val="18"/>
                <w:szCs w:val="18"/>
              </w:rPr>
            </w:pPr>
            <w:r>
              <w:rPr>
                <w:rFonts w:ascii="Arial" w:hAnsi="Arial" w:cs="Arial"/>
                <w:sz w:val="18"/>
                <w:szCs w:val="18"/>
              </w:rPr>
              <w:t>Duplex távolság</w:t>
            </w:r>
          </w:p>
        </w:tc>
        <w:tc>
          <w:tcPr>
            <w:tcW w:w="6222" w:type="dxa"/>
            <w:tcMar>
              <w:top w:w="0" w:type="dxa"/>
              <w:left w:w="30" w:type="dxa"/>
              <w:bottom w:w="0" w:type="dxa"/>
              <w:right w:w="30" w:type="dxa"/>
            </w:tcMar>
            <w:vAlign w:val="center"/>
            <w:hideMark/>
          </w:tcPr>
          <w:p w14:paraId="07938C05" w14:textId="77777777" w:rsidR="00CB7D6D" w:rsidRPr="000641A7" w:rsidRDefault="00CB7D6D" w:rsidP="00E11A39">
            <w:pPr>
              <w:pStyle w:val="NormlWeb"/>
              <w:rPr>
                <w:rFonts w:asciiTheme="minorHAnsi" w:hAnsiTheme="minorHAnsi" w:cstheme="minorHAnsi"/>
                <w:sz w:val="18"/>
                <w:szCs w:val="18"/>
              </w:rPr>
            </w:pPr>
            <w:r w:rsidRPr="000641A7">
              <w:rPr>
                <w:rFonts w:asciiTheme="minorHAnsi" w:hAnsiTheme="minorHAnsi" w:cstheme="minorHAnsi"/>
                <w:sz w:val="18"/>
                <w:szCs w:val="18"/>
              </w:rPr>
              <w:t>–</w:t>
            </w:r>
          </w:p>
        </w:tc>
      </w:tr>
      <w:tr w:rsidR="00CB7D6D" w14:paraId="355254AD" w14:textId="77777777" w:rsidTr="00CB7D6D">
        <w:tc>
          <w:tcPr>
            <w:tcW w:w="2668" w:type="dxa"/>
            <w:vMerge w:val="restart"/>
            <w:hideMark/>
          </w:tcPr>
          <w:p w14:paraId="40DA9D98" w14:textId="77777777" w:rsidR="00CB7D6D" w:rsidRDefault="00CB7D6D" w:rsidP="00E11A39">
            <w:pPr>
              <w:pStyle w:val="NormlWeb"/>
              <w:rPr>
                <w:rFonts w:ascii="Arial" w:hAnsi="Arial" w:cs="Arial"/>
                <w:sz w:val="18"/>
                <w:szCs w:val="18"/>
              </w:rPr>
            </w:pPr>
            <w:r>
              <w:rPr>
                <w:rFonts w:ascii="Arial" w:hAnsi="Arial" w:cs="Arial"/>
                <w:sz w:val="18"/>
                <w:szCs w:val="18"/>
              </w:rPr>
              <w:t>Névleges csatornaosztás</w:t>
            </w:r>
          </w:p>
        </w:tc>
        <w:tc>
          <w:tcPr>
            <w:tcW w:w="6222" w:type="dxa"/>
            <w:tcMar>
              <w:top w:w="0" w:type="dxa"/>
              <w:left w:w="30" w:type="dxa"/>
              <w:bottom w:w="0" w:type="dxa"/>
              <w:right w:w="30" w:type="dxa"/>
            </w:tcMar>
            <w:vAlign w:val="center"/>
            <w:hideMark/>
          </w:tcPr>
          <w:p w14:paraId="1DDCA929" w14:textId="77777777" w:rsidR="00CB7D6D" w:rsidRPr="000641A7" w:rsidRDefault="00CB7D6D" w:rsidP="00E11A39">
            <w:pPr>
              <w:pStyle w:val="NormlWeb"/>
              <w:rPr>
                <w:rFonts w:asciiTheme="minorHAnsi" w:hAnsiTheme="minorHAnsi" w:cstheme="minorHAnsi"/>
                <w:sz w:val="18"/>
                <w:szCs w:val="18"/>
              </w:rPr>
            </w:pPr>
            <w:proofErr w:type="spellStart"/>
            <w:r w:rsidRPr="000641A7">
              <w:rPr>
                <w:rFonts w:asciiTheme="minorHAnsi" w:hAnsiTheme="minorHAnsi" w:cstheme="minorHAnsi"/>
                <w:sz w:val="18"/>
                <w:szCs w:val="18"/>
              </w:rPr>
              <w:t>WiMAX</w:t>
            </w:r>
            <w:proofErr w:type="spellEnd"/>
            <w:r w:rsidRPr="000641A7">
              <w:rPr>
                <w:rFonts w:asciiTheme="minorHAnsi" w:hAnsiTheme="minorHAnsi" w:cstheme="minorHAnsi"/>
                <w:sz w:val="18"/>
                <w:szCs w:val="18"/>
              </w:rPr>
              <w:t>: 5 MHz</w:t>
            </w:r>
          </w:p>
        </w:tc>
      </w:tr>
      <w:tr w:rsidR="00CB7D6D" w14:paraId="2BBD1584" w14:textId="77777777" w:rsidTr="00CB7D6D">
        <w:tc>
          <w:tcPr>
            <w:tcW w:w="2668" w:type="dxa"/>
            <w:vMerge/>
            <w:vAlign w:val="center"/>
            <w:hideMark/>
          </w:tcPr>
          <w:p w14:paraId="32872EF7"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07218377" w14:textId="77777777" w:rsidR="00CB7D6D" w:rsidRPr="000641A7" w:rsidRDefault="00CB7D6D" w:rsidP="00E11A39">
            <w:pPr>
              <w:pStyle w:val="NormlWeb"/>
              <w:rPr>
                <w:rFonts w:asciiTheme="minorHAnsi" w:hAnsiTheme="minorHAnsi" w:cstheme="minorHAnsi"/>
                <w:sz w:val="18"/>
                <w:szCs w:val="18"/>
              </w:rPr>
            </w:pPr>
            <w:r w:rsidRPr="000641A7">
              <w:rPr>
                <w:rFonts w:asciiTheme="minorHAnsi" w:hAnsiTheme="minorHAnsi" w:cstheme="minorHAnsi"/>
                <w:sz w:val="18"/>
                <w:szCs w:val="18"/>
              </w:rPr>
              <w:t>LTE: 5 MHz, 10 MHz, 15 MHz, 20 MHz</w:t>
            </w:r>
          </w:p>
        </w:tc>
      </w:tr>
      <w:tr w:rsidR="00CB7D6D" w14:paraId="4F48A68F" w14:textId="77777777" w:rsidTr="00CB7D6D">
        <w:tc>
          <w:tcPr>
            <w:tcW w:w="2668" w:type="dxa"/>
            <w:tcMar>
              <w:top w:w="0" w:type="dxa"/>
              <w:left w:w="30" w:type="dxa"/>
              <w:bottom w:w="0" w:type="dxa"/>
              <w:right w:w="30" w:type="dxa"/>
            </w:tcMar>
            <w:vAlign w:val="center"/>
            <w:hideMark/>
          </w:tcPr>
          <w:p w14:paraId="0FEF4604" w14:textId="77777777" w:rsidR="00CB7D6D" w:rsidRDefault="00CB7D6D" w:rsidP="00E11A39">
            <w:pPr>
              <w:pStyle w:val="NormlWeb"/>
              <w:rPr>
                <w:rFonts w:ascii="Arial" w:hAnsi="Arial" w:cs="Arial"/>
                <w:sz w:val="18"/>
                <w:szCs w:val="18"/>
              </w:rPr>
            </w:pPr>
            <w:r>
              <w:rPr>
                <w:rFonts w:ascii="Arial" w:hAnsi="Arial" w:cs="Arial"/>
                <w:sz w:val="18"/>
                <w:szCs w:val="18"/>
              </w:rPr>
              <w:t>Hozzáférés módja</w:t>
            </w:r>
          </w:p>
        </w:tc>
        <w:tc>
          <w:tcPr>
            <w:tcW w:w="6222" w:type="dxa"/>
            <w:tcMar>
              <w:top w:w="0" w:type="dxa"/>
              <w:left w:w="30" w:type="dxa"/>
              <w:bottom w:w="0" w:type="dxa"/>
              <w:right w:w="30" w:type="dxa"/>
            </w:tcMar>
            <w:vAlign w:val="center"/>
            <w:hideMark/>
          </w:tcPr>
          <w:p w14:paraId="695DD1DB" w14:textId="77777777" w:rsidR="00CB7D6D" w:rsidRPr="000641A7" w:rsidRDefault="00CB7D6D" w:rsidP="00E11A39">
            <w:pPr>
              <w:pStyle w:val="NormlWeb"/>
              <w:rPr>
                <w:rFonts w:asciiTheme="minorHAnsi" w:hAnsiTheme="minorHAnsi" w:cstheme="minorHAnsi"/>
                <w:sz w:val="18"/>
                <w:szCs w:val="18"/>
              </w:rPr>
            </w:pPr>
            <w:r w:rsidRPr="000641A7">
              <w:rPr>
                <w:rFonts w:asciiTheme="minorHAnsi" w:hAnsiTheme="minorHAnsi" w:cstheme="minorHAnsi"/>
                <w:sz w:val="18"/>
                <w:szCs w:val="18"/>
              </w:rPr>
              <w:t>kizárólag TDD</w:t>
            </w:r>
          </w:p>
        </w:tc>
      </w:tr>
      <w:tr w:rsidR="00CB7D6D" w14:paraId="6D111BEA" w14:textId="77777777" w:rsidTr="00CB7D6D">
        <w:tc>
          <w:tcPr>
            <w:tcW w:w="2668" w:type="dxa"/>
            <w:vMerge w:val="restart"/>
            <w:tcMar>
              <w:top w:w="0" w:type="dxa"/>
              <w:left w:w="30" w:type="dxa"/>
              <w:bottom w:w="0" w:type="dxa"/>
              <w:right w:w="30" w:type="dxa"/>
            </w:tcMar>
            <w:hideMark/>
          </w:tcPr>
          <w:p w14:paraId="312A9A49" w14:textId="77777777" w:rsidR="00CB7D6D" w:rsidRDefault="00CB7D6D" w:rsidP="00E11A39">
            <w:pPr>
              <w:pStyle w:val="NormlWeb"/>
              <w:rPr>
                <w:rFonts w:ascii="Arial" w:hAnsi="Arial" w:cs="Arial"/>
                <w:sz w:val="18"/>
                <w:szCs w:val="18"/>
              </w:rPr>
            </w:pPr>
            <w:r>
              <w:rPr>
                <w:rFonts w:ascii="Arial" w:hAnsi="Arial" w:cs="Arial"/>
                <w:sz w:val="18"/>
                <w:szCs w:val="18"/>
              </w:rPr>
              <w:t>Teljesítménysűrűség</w:t>
            </w:r>
          </w:p>
        </w:tc>
        <w:tc>
          <w:tcPr>
            <w:tcW w:w="6222" w:type="dxa"/>
            <w:tcMar>
              <w:top w:w="0" w:type="dxa"/>
              <w:left w:w="30" w:type="dxa"/>
              <w:bottom w:w="0" w:type="dxa"/>
              <w:right w:w="30" w:type="dxa"/>
            </w:tcMar>
            <w:vAlign w:val="center"/>
            <w:hideMark/>
          </w:tcPr>
          <w:p w14:paraId="4A6DB04B" w14:textId="77777777" w:rsidR="00CB7D6D" w:rsidRPr="000641A7" w:rsidRDefault="00CB7D6D" w:rsidP="00E11A39">
            <w:pPr>
              <w:pStyle w:val="NormlWeb"/>
              <w:rPr>
                <w:rFonts w:asciiTheme="minorHAnsi" w:hAnsiTheme="minorHAnsi" w:cstheme="minorHAnsi"/>
                <w:sz w:val="18"/>
                <w:szCs w:val="18"/>
              </w:rPr>
            </w:pPr>
            <w:proofErr w:type="spellStart"/>
            <w:r w:rsidRPr="000641A7">
              <w:rPr>
                <w:rFonts w:asciiTheme="minorHAnsi" w:hAnsiTheme="minorHAnsi" w:cstheme="minorHAnsi"/>
                <w:sz w:val="18"/>
                <w:szCs w:val="18"/>
              </w:rPr>
              <w:t>max</w:t>
            </w:r>
            <w:proofErr w:type="spellEnd"/>
            <w:r w:rsidRPr="000641A7">
              <w:rPr>
                <w:rFonts w:asciiTheme="minorHAnsi" w:hAnsiTheme="minorHAnsi" w:cstheme="minorHAnsi"/>
                <w:sz w:val="18"/>
                <w:szCs w:val="18"/>
              </w:rPr>
              <w:t xml:space="preserve">. 31 </w:t>
            </w:r>
            <w:proofErr w:type="spellStart"/>
            <w:r w:rsidRPr="000641A7">
              <w:rPr>
                <w:rFonts w:asciiTheme="minorHAnsi" w:hAnsiTheme="minorHAnsi" w:cstheme="minorHAnsi"/>
                <w:sz w:val="18"/>
                <w:szCs w:val="18"/>
              </w:rPr>
              <w:t>dBW</w:t>
            </w:r>
            <w:proofErr w:type="spellEnd"/>
            <w:r w:rsidRPr="000641A7">
              <w:rPr>
                <w:rFonts w:asciiTheme="minorHAnsi" w:hAnsiTheme="minorHAnsi" w:cstheme="minorHAnsi"/>
                <w:sz w:val="18"/>
                <w:szCs w:val="18"/>
              </w:rPr>
              <w:t>/5 MHz csúcs EIRP, központi állomásnál, valamint átjátszóállomás – felhasználói állomás irányú összeköttetésnél</w:t>
            </w:r>
          </w:p>
        </w:tc>
      </w:tr>
      <w:tr w:rsidR="00CB7D6D" w14:paraId="390CA766" w14:textId="77777777" w:rsidTr="00CB7D6D">
        <w:tc>
          <w:tcPr>
            <w:tcW w:w="2668" w:type="dxa"/>
            <w:vMerge/>
            <w:vAlign w:val="center"/>
            <w:hideMark/>
          </w:tcPr>
          <w:p w14:paraId="4468C4B6"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024F58C1" w14:textId="77777777" w:rsidR="00CB7D6D" w:rsidRPr="000641A7" w:rsidRDefault="00CB7D6D" w:rsidP="00E11A39">
            <w:pPr>
              <w:pStyle w:val="NormlWeb"/>
              <w:rPr>
                <w:rFonts w:asciiTheme="minorHAnsi" w:hAnsiTheme="minorHAnsi" w:cstheme="minorHAnsi"/>
                <w:sz w:val="18"/>
                <w:szCs w:val="18"/>
              </w:rPr>
            </w:pPr>
            <w:proofErr w:type="spellStart"/>
            <w:r w:rsidRPr="000641A7">
              <w:rPr>
                <w:rFonts w:asciiTheme="minorHAnsi" w:hAnsiTheme="minorHAnsi" w:cstheme="minorHAnsi"/>
                <w:sz w:val="18"/>
                <w:szCs w:val="18"/>
              </w:rPr>
              <w:t>max</w:t>
            </w:r>
            <w:proofErr w:type="spellEnd"/>
            <w:r w:rsidRPr="000641A7">
              <w:rPr>
                <w:rFonts w:asciiTheme="minorHAnsi" w:hAnsiTheme="minorHAnsi" w:cstheme="minorHAnsi"/>
                <w:sz w:val="18"/>
                <w:szCs w:val="18"/>
              </w:rPr>
              <w:t xml:space="preserve">. 5 </w:t>
            </w:r>
            <w:proofErr w:type="spellStart"/>
            <w:r w:rsidRPr="000641A7">
              <w:rPr>
                <w:rFonts w:asciiTheme="minorHAnsi" w:hAnsiTheme="minorHAnsi" w:cstheme="minorHAnsi"/>
                <w:sz w:val="18"/>
                <w:szCs w:val="18"/>
              </w:rPr>
              <w:t>dBW</w:t>
            </w:r>
            <w:proofErr w:type="spellEnd"/>
            <w:r w:rsidRPr="000641A7">
              <w:rPr>
                <w:rFonts w:asciiTheme="minorHAnsi" w:hAnsiTheme="minorHAnsi" w:cstheme="minorHAnsi"/>
                <w:sz w:val="18"/>
                <w:szCs w:val="18"/>
              </w:rPr>
              <w:t>/5 MHz csúcs EIRP, állandó telephelyű felhasználói állomásnál</w:t>
            </w:r>
          </w:p>
        </w:tc>
      </w:tr>
      <w:tr w:rsidR="00CB7D6D" w14:paraId="0AA7BCA2" w14:textId="77777777" w:rsidTr="00CB7D6D">
        <w:tc>
          <w:tcPr>
            <w:tcW w:w="2668" w:type="dxa"/>
            <w:vMerge/>
            <w:vAlign w:val="center"/>
            <w:hideMark/>
          </w:tcPr>
          <w:p w14:paraId="357ED23E"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5D546B5D" w14:textId="77777777" w:rsidR="00CB7D6D" w:rsidRPr="000641A7" w:rsidRDefault="00CB7D6D" w:rsidP="00E11A39">
            <w:pPr>
              <w:pStyle w:val="NormlWeb"/>
              <w:rPr>
                <w:rFonts w:asciiTheme="minorHAnsi" w:hAnsiTheme="minorHAnsi" w:cstheme="minorHAnsi"/>
                <w:sz w:val="18"/>
                <w:szCs w:val="18"/>
              </w:rPr>
            </w:pPr>
            <w:proofErr w:type="spellStart"/>
            <w:r w:rsidRPr="000641A7">
              <w:rPr>
                <w:rFonts w:asciiTheme="minorHAnsi" w:hAnsiTheme="minorHAnsi" w:cstheme="minorHAnsi"/>
                <w:sz w:val="18"/>
                <w:szCs w:val="18"/>
              </w:rPr>
              <w:t>max</w:t>
            </w:r>
            <w:proofErr w:type="spellEnd"/>
            <w:r w:rsidRPr="000641A7">
              <w:rPr>
                <w:rFonts w:asciiTheme="minorHAnsi" w:hAnsiTheme="minorHAnsi" w:cstheme="minorHAnsi"/>
                <w:sz w:val="18"/>
                <w:szCs w:val="18"/>
              </w:rPr>
              <w:t xml:space="preserve">. 1 </w:t>
            </w:r>
            <w:proofErr w:type="spellStart"/>
            <w:r w:rsidRPr="000641A7">
              <w:rPr>
                <w:rFonts w:asciiTheme="minorHAnsi" w:hAnsiTheme="minorHAnsi" w:cstheme="minorHAnsi"/>
                <w:sz w:val="18"/>
                <w:szCs w:val="18"/>
              </w:rPr>
              <w:t>dBW</w:t>
            </w:r>
            <w:proofErr w:type="spellEnd"/>
            <w:r w:rsidRPr="000641A7">
              <w:rPr>
                <w:rFonts w:asciiTheme="minorHAnsi" w:hAnsiTheme="minorHAnsi" w:cstheme="minorHAnsi"/>
                <w:sz w:val="18"/>
                <w:szCs w:val="18"/>
              </w:rPr>
              <w:t>/5 MHz csúcs EIRP, változó telephelyű felhasználói állomásnál</w:t>
            </w:r>
          </w:p>
        </w:tc>
      </w:tr>
      <w:tr w:rsidR="00CB7D6D" w14:paraId="73A82CDC" w14:textId="77777777" w:rsidTr="00CB7D6D">
        <w:tc>
          <w:tcPr>
            <w:tcW w:w="2668" w:type="dxa"/>
            <w:vMerge/>
            <w:vAlign w:val="center"/>
            <w:hideMark/>
          </w:tcPr>
          <w:p w14:paraId="5FFC5144" w14:textId="77777777" w:rsidR="00CB7D6D" w:rsidRDefault="00CB7D6D" w:rsidP="00E11A39">
            <w:pPr>
              <w:rPr>
                <w:rFonts w:ascii="Arial" w:hAnsi="Arial" w:cs="Arial"/>
                <w:sz w:val="18"/>
                <w:szCs w:val="18"/>
              </w:rPr>
            </w:pPr>
          </w:p>
        </w:tc>
        <w:tc>
          <w:tcPr>
            <w:tcW w:w="6222" w:type="dxa"/>
            <w:tcMar>
              <w:top w:w="0" w:type="dxa"/>
              <w:left w:w="30" w:type="dxa"/>
              <w:bottom w:w="0" w:type="dxa"/>
              <w:right w:w="30" w:type="dxa"/>
            </w:tcMar>
            <w:vAlign w:val="center"/>
            <w:hideMark/>
          </w:tcPr>
          <w:p w14:paraId="6DC6834E" w14:textId="77777777" w:rsidR="00CB7D6D" w:rsidRPr="000641A7" w:rsidRDefault="00CB7D6D" w:rsidP="0011720D">
            <w:pPr>
              <w:pStyle w:val="NormlWeb"/>
              <w:keepNext/>
              <w:rPr>
                <w:rFonts w:asciiTheme="minorHAnsi" w:hAnsiTheme="minorHAnsi" w:cstheme="minorHAnsi"/>
                <w:sz w:val="18"/>
                <w:szCs w:val="18"/>
              </w:rPr>
            </w:pPr>
            <w:proofErr w:type="spellStart"/>
            <w:r w:rsidRPr="000641A7">
              <w:rPr>
                <w:rFonts w:asciiTheme="minorHAnsi" w:hAnsiTheme="minorHAnsi" w:cstheme="minorHAnsi"/>
                <w:sz w:val="18"/>
                <w:szCs w:val="18"/>
              </w:rPr>
              <w:t>max</w:t>
            </w:r>
            <w:proofErr w:type="spellEnd"/>
            <w:r w:rsidRPr="000641A7">
              <w:rPr>
                <w:rFonts w:asciiTheme="minorHAnsi" w:hAnsiTheme="minorHAnsi" w:cstheme="minorHAnsi"/>
                <w:sz w:val="18"/>
                <w:szCs w:val="18"/>
              </w:rPr>
              <w:t xml:space="preserve">. 5 </w:t>
            </w:r>
            <w:proofErr w:type="spellStart"/>
            <w:r w:rsidRPr="000641A7">
              <w:rPr>
                <w:rFonts w:asciiTheme="minorHAnsi" w:hAnsiTheme="minorHAnsi" w:cstheme="minorHAnsi"/>
                <w:sz w:val="18"/>
                <w:szCs w:val="18"/>
              </w:rPr>
              <w:t>dBW</w:t>
            </w:r>
            <w:proofErr w:type="spellEnd"/>
            <w:r w:rsidRPr="000641A7">
              <w:rPr>
                <w:rFonts w:asciiTheme="minorHAnsi" w:hAnsiTheme="minorHAnsi" w:cstheme="minorHAnsi"/>
                <w:sz w:val="18"/>
                <w:szCs w:val="18"/>
              </w:rPr>
              <w:t>/5 MHz csúcs EIRP, átjátszóállomás – központi állomás irányú összeköttetésnél</w:t>
            </w:r>
          </w:p>
        </w:tc>
      </w:tr>
    </w:tbl>
    <w:p w14:paraId="15CDF8EC" w14:textId="70575679" w:rsidR="00496E03" w:rsidRPr="006C380C" w:rsidRDefault="0011720D" w:rsidP="0011720D">
      <w:pPr>
        <w:pStyle w:val="Kpalrs"/>
        <w:jc w:val="center"/>
      </w:pPr>
      <w:r>
        <w:t>3.2.2</w:t>
      </w:r>
      <w:proofErr w:type="gramStart"/>
      <w:r w:rsidR="002F63AA">
        <w:t>.</w:t>
      </w:r>
      <w:r>
        <w:t>c</w:t>
      </w:r>
      <w:proofErr w:type="gramEnd"/>
      <w:r>
        <w:t xml:space="preserve"> Táblázat</w:t>
      </w:r>
    </w:p>
    <w:p w14:paraId="19D33919" w14:textId="33E9DC77" w:rsidR="00C24420" w:rsidRDefault="001E3A86" w:rsidP="00A65C13">
      <w:pPr>
        <w:pStyle w:val="Cmsor3szmozottnmhh"/>
      </w:pPr>
      <w:bookmarkStart w:id="13" w:name="_Toc96075711"/>
      <w:r>
        <w:t xml:space="preserve">Egyéb alkalmazások a 2300-2400 MHz </w:t>
      </w:r>
      <w:r w:rsidR="005C3C52">
        <w:t>frekvencia</w:t>
      </w:r>
      <w:r>
        <w:t>sávban</w:t>
      </w:r>
      <w:bookmarkEnd w:id="13"/>
      <w:r>
        <w:t xml:space="preserve"> </w:t>
      </w:r>
    </w:p>
    <w:p w14:paraId="574232DF" w14:textId="293C8254" w:rsidR="004B5CE2" w:rsidRPr="00A65C13" w:rsidRDefault="004B5CE2" w:rsidP="00A65C13">
      <w:pPr>
        <w:pStyle w:val="Behzottbekezdsnmhh"/>
      </w:pPr>
      <w:r w:rsidRPr="005C1B7B">
        <w:t>A 2300</w:t>
      </w:r>
      <w:r w:rsidR="000E3EBF">
        <w:t>–</w:t>
      </w:r>
      <w:r w:rsidRPr="005C1B7B">
        <w:t>2400</w:t>
      </w:r>
      <w:r w:rsidR="000E3EBF" w:rsidRPr="00CE5170">
        <w:t> </w:t>
      </w:r>
      <w:r w:rsidRPr="005C1B7B">
        <w:t xml:space="preserve">MHz </w:t>
      </w:r>
      <w:r w:rsidR="005C3C52">
        <w:t>frekvencia</w:t>
      </w:r>
      <w:r w:rsidRPr="005C1B7B">
        <w:t>sáv több UWB</w:t>
      </w:r>
      <w:r w:rsidR="00E20B55">
        <w:rPr>
          <w:rStyle w:val="Lbjegyzet-hivatkozs"/>
        </w:rPr>
        <w:footnoteReference w:id="28"/>
      </w:r>
      <w:r w:rsidRPr="005C1B7B">
        <w:t xml:space="preserve"> típusú SRD alkalmazás sávjával átfedésben van</w:t>
      </w:r>
      <w:r w:rsidR="001E3A86">
        <w:t>, az alábbiak szerint</w:t>
      </w:r>
      <w:r w:rsidRPr="005C1B7B">
        <w:t>:</w:t>
      </w:r>
    </w:p>
    <w:p w14:paraId="21A67718" w14:textId="3112FF5C" w:rsidR="004B5CE2" w:rsidRPr="00CE5170" w:rsidRDefault="004B5CE2" w:rsidP="00CE5170">
      <w:pPr>
        <w:pStyle w:val="ECCParBulleted"/>
        <w:rPr>
          <w:lang w:val="hu-HU"/>
        </w:rPr>
      </w:pPr>
      <w:r w:rsidRPr="00CE5170">
        <w:rPr>
          <w:lang w:val="hu-HU"/>
        </w:rPr>
        <w:t>30 MHz–12,4 </w:t>
      </w:r>
      <w:proofErr w:type="spellStart"/>
      <w:r w:rsidRPr="00CE5170">
        <w:rPr>
          <w:lang w:val="hu-HU"/>
        </w:rPr>
        <w:t>GHz</w:t>
      </w:r>
      <w:proofErr w:type="spellEnd"/>
      <w:r w:rsidRPr="00CE5170">
        <w:rPr>
          <w:lang w:val="hu-HU"/>
        </w:rPr>
        <w:t xml:space="preserve"> - GPR/WPR</w:t>
      </w:r>
      <w:r w:rsidR="00E20B55">
        <w:rPr>
          <w:rStyle w:val="Lbjegyzet-hivatkozs"/>
          <w:lang w:val="hu-HU"/>
        </w:rPr>
        <w:footnoteReference w:id="29"/>
      </w:r>
      <w:r w:rsidR="006C380C" w:rsidRPr="00CE5170">
        <w:rPr>
          <w:lang w:val="hu-HU"/>
        </w:rPr>
        <w:t xml:space="preserve"> (</w:t>
      </w:r>
      <w:r w:rsidR="00E825C5">
        <w:rPr>
          <w:lang w:val="hu-HU"/>
        </w:rPr>
        <w:t xml:space="preserve">nem </w:t>
      </w:r>
      <w:r w:rsidR="006C380C" w:rsidRPr="00CE5170">
        <w:rPr>
          <w:lang w:val="hu-HU"/>
        </w:rPr>
        <w:t>harmonizált)</w:t>
      </w:r>
      <w:r w:rsidR="000E3EBF">
        <w:rPr>
          <w:lang w:val="hu-HU"/>
        </w:rPr>
        <w:t>;</w:t>
      </w:r>
    </w:p>
    <w:p w14:paraId="0A33A4A5" w14:textId="5A89DDF8" w:rsidR="008D695D" w:rsidRDefault="006C380C" w:rsidP="000F0F7B">
      <w:pPr>
        <w:pStyle w:val="ECCParBulleted"/>
        <w:rPr>
          <w:lang w:val="hu-HU"/>
        </w:rPr>
      </w:pPr>
      <w:r w:rsidRPr="00CE5170">
        <w:rPr>
          <w:lang w:val="hu-HU"/>
        </w:rPr>
        <w:t>2200–8000 MHz - Anyagérzékelő eszközök (harmonizált)</w:t>
      </w:r>
      <w:r w:rsidR="000E3EBF">
        <w:rPr>
          <w:lang w:val="hu-HU"/>
        </w:rPr>
        <w:t>.</w:t>
      </w:r>
    </w:p>
    <w:p w14:paraId="7A400802" w14:textId="77777777" w:rsidR="005D09CC" w:rsidRPr="00D86540" w:rsidRDefault="003C516B" w:rsidP="00BA647C">
      <w:pPr>
        <w:pStyle w:val="Cmsor1szmozottnmhh"/>
        <w:spacing w:before="360"/>
        <w:ind w:left="431" w:hanging="431"/>
      </w:pPr>
      <w:bookmarkStart w:id="14" w:name="_Toc96075712"/>
      <w:r>
        <w:t>J</w:t>
      </w:r>
      <w:r w:rsidR="005D09CC" w:rsidRPr="00D86540">
        <w:t>elenlegi használat</w:t>
      </w:r>
      <w:bookmarkEnd w:id="14"/>
    </w:p>
    <w:p w14:paraId="212B0F6A" w14:textId="5D5EF12B" w:rsidR="00E021CA" w:rsidRPr="00D86540" w:rsidRDefault="00E021CA" w:rsidP="00746A1A">
      <w:pPr>
        <w:pStyle w:val="Behzottbekezdsnmhh"/>
      </w:pPr>
      <w:r w:rsidRPr="00CB7D6D">
        <w:t xml:space="preserve">A </w:t>
      </w:r>
      <w:r w:rsidR="003C516B">
        <w:t xml:space="preserve">2300-2370 MHz </w:t>
      </w:r>
      <w:r w:rsidR="002F63AA">
        <w:t>sávrészben</w:t>
      </w:r>
      <w:r w:rsidR="002F63AA" w:rsidRPr="00CB7D6D">
        <w:t xml:space="preserve"> </w:t>
      </w:r>
      <w:r w:rsidR="001307B1" w:rsidRPr="00CB7D6D">
        <w:t xml:space="preserve">a rövid idejű engedélyeken kívül </w:t>
      </w:r>
      <w:r w:rsidR="00453D10" w:rsidRPr="00CB7D6D">
        <w:t xml:space="preserve">polgári célú használatra </w:t>
      </w:r>
      <w:r w:rsidR="002E71A9" w:rsidRPr="00CB7D6D">
        <w:t>nincs kiadott engedély</w:t>
      </w:r>
      <w:r w:rsidRPr="00CB7D6D">
        <w:t>.</w:t>
      </w:r>
      <w:r w:rsidR="002F63AA">
        <w:t xml:space="preserve"> A</w:t>
      </w:r>
      <w:r w:rsidRPr="00D86540">
        <w:t xml:space="preserve"> rövid időtartamú eseményekre </w:t>
      </w:r>
      <w:r w:rsidR="002E71A9">
        <w:t xml:space="preserve">vonatkozó engedélyekre </w:t>
      </w:r>
      <w:r w:rsidRPr="004E2603">
        <w:t>(polgári célokra)</w:t>
      </w:r>
      <w:r w:rsidR="005B2D59" w:rsidRPr="004E2603">
        <w:t>,</w:t>
      </w:r>
      <w:r w:rsidRPr="004E2603">
        <w:t xml:space="preserve"> például koncertek vagy sportesemények</w:t>
      </w:r>
      <w:r w:rsidR="004E2603" w:rsidRPr="004E2603">
        <w:t xml:space="preserve"> (mint például a Forma 1)</w:t>
      </w:r>
      <w:r w:rsidR="002E71A9" w:rsidRPr="004E2603">
        <w:t xml:space="preserve"> esetén van igény</w:t>
      </w:r>
      <w:r w:rsidRPr="004E2603">
        <w:t>,</w:t>
      </w:r>
      <w:r w:rsidRPr="00D86540">
        <w:t xml:space="preserve"> </w:t>
      </w:r>
      <w:r w:rsidR="002E71A9">
        <w:t xml:space="preserve">általában </w:t>
      </w:r>
      <w:r w:rsidRPr="00D86540">
        <w:t>video-PMSE alkalmazásokra.</w:t>
      </w:r>
    </w:p>
    <w:p w14:paraId="0BFB2C47" w14:textId="1D8C7C91" w:rsidR="00E021CA" w:rsidRDefault="00F04D9B" w:rsidP="001C0D17">
      <w:pPr>
        <w:pStyle w:val="Behzottbekezdsnmhh"/>
      </w:pPr>
      <w:r>
        <w:t>A</w:t>
      </w:r>
      <w:r w:rsidR="003A3BC0" w:rsidRPr="00D86540">
        <w:t xml:space="preserve"> rádióamatőrök </w:t>
      </w:r>
      <w:r w:rsidR="005A402B">
        <w:t>rádióspektrum-</w:t>
      </w:r>
      <w:r w:rsidR="005A402B" w:rsidRPr="00D86540">
        <w:t>használata</w:t>
      </w:r>
      <w:r w:rsidR="005A402B">
        <w:t xml:space="preserve"> </w:t>
      </w:r>
      <w:r>
        <w:t xml:space="preserve">nem </w:t>
      </w:r>
      <w:proofErr w:type="spellStart"/>
      <w:r>
        <w:t>alkalmankénti</w:t>
      </w:r>
      <w:proofErr w:type="spellEnd"/>
      <w:r>
        <w:t xml:space="preserve"> vagy összeköttetések</w:t>
      </w:r>
      <w:r w:rsidR="000E3EBF">
        <w:t>re vonatkozó</w:t>
      </w:r>
      <w:r>
        <w:t xml:space="preserve"> engedély</w:t>
      </w:r>
      <w:r w:rsidR="000E3EBF">
        <w:t>ekhez</w:t>
      </w:r>
      <w:r w:rsidR="000E3EBF" w:rsidRPr="000E3EBF">
        <w:t xml:space="preserve"> </w:t>
      </w:r>
      <w:r w:rsidR="000E3EBF">
        <w:t>kötött</w:t>
      </w:r>
      <w:r w:rsidR="003A3BC0" w:rsidRPr="00D86540">
        <w:t>,</w:t>
      </w:r>
      <w:r w:rsidR="00453D10">
        <w:t xml:space="preserve"> </w:t>
      </w:r>
      <w:r>
        <w:t>hanem</w:t>
      </w:r>
      <w:r w:rsidR="003A3BC0" w:rsidRPr="00D86540">
        <w:t xml:space="preserve"> a </w:t>
      </w:r>
      <w:r w:rsidR="005C3C52">
        <w:t>frekvencia</w:t>
      </w:r>
      <w:r w:rsidR="003A3BC0" w:rsidRPr="00D86540">
        <w:t>sáv használatára jogalapot adó</w:t>
      </w:r>
      <w:r>
        <w:t>, személyekhez kötődő</w:t>
      </w:r>
      <w:r w:rsidR="003A3BC0" w:rsidRPr="00D86540">
        <w:t xml:space="preserve"> amatőr engedélyek </w:t>
      </w:r>
      <w:r>
        <w:t>rendszerét használjuk, hasonlóan a CEPT többi tagországához</w:t>
      </w:r>
      <w:r w:rsidR="005B2D59">
        <w:t>,</w:t>
      </w:r>
      <w:r w:rsidR="003A3BC0" w:rsidRPr="00D86540">
        <w:t xml:space="preserve"> így a </w:t>
      </w:r>
      <w:r w:rsidR="005C3C52">
        <w:t>frekvencia</w:t>
      </w:r>
      <w:r w:rsidR="00210B08">
        <w:t xml:space="preserve">sáv amatőrök általi használata </w:t>
      </w:r>
      <w:r>
        <w:t>lehetséges</w:t>
      </w:r>
      <w:r w:rsidR="005058AB">
        <w:t xml:space="preserve"> hazánk területén</w:t>
      </w:r>
      <w:r w:rsidR="003A3BC0" w:rsidRPr="00D86540">
        <w:t>.</w:t>
      </w:r>
    </w:p>
    <w:p w14:paraId="3DDE604F" w14:textId="6FEA65AF" w:rsidR="005E0B0A" w:rsidRDefault="005E0B0A" w:rsidP="000641A7">
      <w:pPr>
        <w:pStyle w:val="Behzottbekezdsnmhh"/>
      </w:pPr>
      <w:r>
        <w:t xml:space="preserve">A </w:t>
      </w:r>
      <w:r w:rsidR="000641A7">
        <w:t>2370</w:t>
      </w:r>
      <w:r w:rsidR="003C516B">
        <w:t>-2400</w:t>
      </w:r>
      <w:r w:rsidR="000641A7">
        <w:t xml:space="preserve"> MHz </w:t>
      </w:r>
      <w:r w:rsidR="003C516B">
        <w:t>sávrészben</w:t>
      </w:r>
      <w:r w:rsidR="000641A7">
        <w:t xml:space="preserve"> a nem</w:t>
      </w:r>
      <w:r w:rsidR="001307B1">
        <w:t xml:space="preserve"> </w:t>
      </w:r>
      <w:r w:rsidR="000641A7">
        <w:t xml:space="preserve">polgári </w:t>
      </w:r>
      <w:r w:rsidR="005A402B">
        <w:t>rádióspektrum-</w:t>
      </w:r>
      <w:r w:rsidR="005A402B" w:rsidRPr="00D86540">
        <w:t>használat</w:t>
      </w:r>
      <w:r w:rsidR="000641A7">
        <w:t xml:space="preserve"> </w:t>
      </w:r>
      <w:r w:rsidR="003C516B">
        <w:t xml:space="preserve">keretében hosszabb távra kiadott rádióengedélyek kerültek kiadásra és a frekvenciasáv használatának intenzitása várhatóan még </w:t>
      </w:r>
      <w:r w:rsidR="003C516B" w:rsidRPr="00EF7841">
        <w:t>tovább fog növekedni.</w:t>
      </w:r>
      <w:r w:rsidR="000641A7" w:rsidRPr="00EF7841">
        <w:t xml:space="preserve"> </w:t>
      </w:r>
      <w:r w:rsidR="00EF7841" w:rsidRPr="00EF7841">
        <w:t>A nem polgári használatú sávrészben kiadott rádióengedélyek alapján üzemelő rendszerek esetleges zavarkeltésének lehetőségét a 2370 MHz alatti sávrészben is figyelembe kell venni.</w:t>
      </w:r>
    </w:p>
    <w:p w14:paraId="1721793D" w14:textId="77777777" w:rsidR="005D09CC" w:rsidRPr="00D86540" w:rsidRDefault="0021048F" w:rsidP="004E2603">
      <w:pPr>
        <w:pStyle w:val="Cmsor1szmozottnmhh"/>
        <w:spacing w:before="360"/>
        <w:ind w:left="431" w:hanging="431"/>
      </w:pPr>
      <w:bookmarkStart w:id="15" w:name="_Toc96075713"/>
      <w:r w:rsidRPr="00D86540">
        <w:t>Nemzeti szabályozási tervek</w:t>
      </w:r>
      <w:bookmarkEnd w:id="15"/>
    </w:p>
    <w:p w14:paraId="0908048C" w14:textId="0A40B8AD" w:rsidR="006E5A77" w:rsidRDefault="00E720B8" w:rsidP="006E5A77">
      <w:pPr>
        <w:pStyle w:val="Behzottbekezdsnmhh"/>
        <w:rPr>
          <w:rFonts w:cs="Arial"/>
        </w:rPr>
      </w:pPr>
      <w:r w:rsidRPr="002E71A9">
        <w:t>A nemzetközi törekvésekkel összhangban, a mobil szélessávú szolgáltatások további fejlődéséhez szükséges rádióspektrum biztosítása és igény szerinti használatba adása</w:t>
      </w:r>
      <w:r w:rsidR="006E5A77" w:rsidRPr="006E5A77">
        <w:rPr>
          <w:rFonts w:cs="Arial"/>
        </w:rPr>
        <w:t>, valamint a rádióspektrum hatékony használatának biztosítása és az innovatív megoldások támogatása</w:t>
      </w:r>
      <w:r w:rsidRPr="002E71A9">
        <w:t xml:space="preserve"> az NMHH 20</w:t>
      </w:r>
      <w:r w:rsidR="00811D96">
        <w:t>21</w:t>
      </w:r>
      <w:r w:rsidRPr="002E71A9">
        <w:t>-202</w:t>
      </w:r>
      <w:r w:rsidR="00811D96">
        <w:t>5</w:t>
      </w:r>
      <w:r w:rsidRPr="002E71A9">
        <w:t xml:space="preserve"> közötti időszakra vonatkozó kiemelt stratégiai célterületei közé tartozik.</w:t>
      </w:r>
      <w:r w:rsidR="006E5A77" w:rsidRPr="006E5A77">
        <w:rPr>
          <w:rFonts w:cs="Arial"/>
        </w:rPr>
        <w:t xml:space="preserve"> </w:t>
      </w:r>
    </w:p>
    <w:p w14:paraId="5850473A" w14:textId="77777777" w:rsidR="00D9298B" w:rsidRDefault="00E720B8" w:rsidP="005D2D7B">
      <w:pPr>
        <w:pStyle w:val="Behzottbekezdsnmhh"/>
      </w:pPr>
      <w:r w:rsidRPr="002E71A9">
        <w:t xml:space="preserve">Az NMHH </w:t>
      </w:r>
      <w:r w:rsidR="00CD4DFB">
        <w:t>r</w:t>
      </w:r>
      <w:r w:rsidRPr="002E71A9">
        <w:t>ádióspektrum</w:t>
      </w:r>
      <w:r w:rsidR="00CD4DFB">
        <w:t>-</w:t>
      </w:r>
      <w:r w:rsidRPr="002E71A9">
        <w:t>stratégiája a PMSE igények kielégítését, valamint a megosztott használat lehetőségeinek</w:t>
      </w:r>
      <w:r w:rsidR="00811D96">
        <w:t xml:space="preserve"> (mint a hatékony spek</w:t>
      </w:r>
      <w:r w:rsidR="00AB7042">
        <w:t>trumhaszn</w:t>
      </w:r>
      <w:r w:rsidR="00587830">
        <w:t>á</w:t>
      </w:r>
      <w:r w:rsidR="00AB7042">
        <w:t>lat lehetséges eszközének</w:t>
      </w:r>
      <w:r w:rsidR="00811D96">
        <w:t>)</w:t>
      </w:r>
      <w:r w:rsidRPr="002E71A9">
        <w:t xml:space="preserve"> vizsgálatát is célul tűzte ki.</w:t>
      </w:r>
      <w:r>
        <w:t xml:space="preserve"> A</w:t>
      </w:r>
      <w:r w:rsidR="00992D46" w:rsidRPr="00992D46">
        <w:t xml:space="preserve"> 2300-2400 MHz sáv</w:t>
      </w:r>
      <w:r>
        <w:t>ban ezek a célok összeérnek</w:t>
      </w:r>
      <w:r w:rsidR="00B972CB">
        <w:t>.</w:t>
      </w:r>
    </w:p>
    <w:p w14:paraId="36692742" w14:textId="1DE11C76" w:rsidR="00083CE5" w:rsidRDefault="00D9298B" w:rsidP="005D2D7B">
      <w:pPr>
        <w:pStyle w:val="Behzottbekezdsnmhh"/>
      </w:pPr>
      <w:r>
        <w:lastRenderedPageBreak/>
        <w:t>Mivel a sáv alkalmas az 5G bevez</w:t>
      </w:r>
      <w:r w:rsidR="00587830">
        <w:t xml:space="preserve">etésére, </w:t>
      </w:r>
      <w:r w:rsidR="00F1172B">
        <w:t>vizsgálni kell a</w:t>
      </w:r>
      <w:r w:rsidR="007778C1">
        <w:t>z 5G célú</w:t>
      </w:r>
      <w:r w:rsidR="00F1172B">
        <w:t xml:space="preserve"> </w:t>
      </w:r>
      <w:r w:rsidR="007778C1">
        <w:t>hasznosítás lehetőségeit.</w:t>
      </w:r>
      <w:r w:rsidR="000A1FC0">
        <w:t xml:space="preserve"> A hatékony</w:t>
      </w:r>
      <w:r>
        <w:t xml:space="preserve"> </w:t>
      </w:r>
      <w:r w:rsidR="007778C1">
        <w:t>spektrumhasználat szem előtt tartásával</w:t>
      </w:r>
      <w:r>
        <w:t xml:space="preserve"> előtérbe kerül a nemzetközi szinten is egyre több helyen használt megoldás, a rádióspektru</w:t>
      </w:r>
      <w:r w:rsidR="000A1FC0">
        <w:t>m-</w:t>
      </w:r>
      <w:r>
        <w:t>használat</w:t>
      </w:r>
      <w:r w:rsidR="000D0F70">
        <w:t xml:space="preserve"> </w:t>
      </w:r>
      <w:r>
        <w:t>regionális/helyi alapon történő</w:t>
      </w:r>
      <w:r w:rsidRPr="00D9298B">
        <w:t xml:space="preserve"> </w:t>
      </w:r>
      <w:r w:rsidR="000D0F70">
        <w:t>hasznosítása</w:t>
      </w:r>
      <w:r w:rsidR="00F1172B">
        <w:t xml:space="preserve"> is</w:t>
      </w:r>
      <w:r w:rsidR="00083CE5">
        <w:t>, így</w:t>
      </w:r>
      <w:r w:rsidR="00083CE5" w:rsidRPr="00083CE5">
        <w:t xml:space="preserve"> </w:t>
      </w:r>
      <w:r w:rsidR="00083CE5">
        <w:t>a frekvenciasáv magánhálózati igények kielégítésére is alkalmas lehet</w:t>
      </w:r>
      <w:r>
        <w:t>.</w:t>
      </w:r>
      <w:r w:rsidR="00083CE5">
        <w:t xml:space="preserve"> </w:t>
      </w:r>
    </w:p>
    <w:p w14:paraId="3CC2F159" w14:textId="0F410004" w:rsidR="00992D46" w:rsidRDefault="00E720B8" w:rsidP="005D2D7B">
      <w:pPr>
        <w:pStyle w:val="Behzottbekezdsnmhh"/>
      </w:pPr>
      <w:r>
        <w:t>Tekintettel arra, hogy jelenleg a</w:t>
      </w:r>
      <w:r w:rsidR="003E1D0C">
        <w:t xml:space="preserve"> 2300-2370 MHz</w:t>
      </w:r>
      <w:r>
        <w:t xml:space="preserve"> </w:t>
      </w:r>
      <w:r w:rsidR="003E1D0C">
        <w:t>rész</w:t>
      </w:r>
      <w:r>
        <w:t>sávban nem számolhatunk be jelentős használ</w:t>
      </w:r>
      <w:r w:rsidR="00602A90">
        <w:t>at</w:t>
      </w:r>
      <w:r>
        <w:t>ról, a</w:t>
      </w:r>
      <w:r w:rsidR="00C07B06">
        <w:t xml:space="preserve"> frekvenciasáv</w:t>
      </w:r>
      <w:r w:rsidR="00992D46" w:rsidRPr="00992D46">
        <w:t xml:space="preserve"> </w:t>
      </w:r>
      <w:r w:rsidR="00602A90">
        <w:t>iránti</w:t>
      </w:r>
      <w:r w:rsidR="00992D46" w:rsidRPr="00992D46">
        <w:t xml:space="preserve"> igény</w:t>
      </w:r>
      <w:r w:rsidR="00B972CB">
        <w:t>ek</w:t>
      </w:r>
      <w:r w:rsidR="00992D46" w:rsidRPr="00992D46">
        <w:t xml:space="preserve"> </w:t>
      </w:r>
      <w:r>
        <w:t>megismerése szükséges a jövőbeli lépések meghatározásához</w:t>
      </w:r>
      <w:r w:rsidR="00992D46" w:rsidRPr="00992D46">
        <w:t>.</w:t>
      </w:r>
      <w:r w:rsidR="003E1D0C">
        <w:t xml:space="preserve"> </w:t>
      </w:r>
      <w:r w:rsidR="00992D46" w:rsidRPr="00992D46">
        <w:t xml:space="preserve">Ennek a felmérésnek a függvényében </w:t>
      </w:r>
      <w:r w:rsidR="00992D46">
        <w:t>lehet dönteni többek köz</w:t>
      </w:r>
      <w:r w:rsidR="00233AE1">
        <w:t xml:space="preserve">ött </w:t>
      </w:r>
      <w:r w:rsidR="00B972CB">
        <w:t>a</w:t>
      </w:r>
      <w:r w:rsidR="00B972CB" w:rsidRPr="003341D7">
        <w:t xml:space="preserve"> sáv mobil célú hasznosításával kapcsolatos részletes szabályozás</w:t>
      </w:r>
      <w:r w:rsidR="00B972CB">
        <w:t>i feltételekről és az</w:t>
      </w:r>
      <w:r w:rsidR="00B972CB" w:rsidRPr="003341D7">
        <w:t xml:space="preserve"> NFFF</w:t>
      </w:r>
      <w:r w:rsidR="00B972CB">
        <w:rPr>
          <w:rFonts w:eastAsia="Calibri"/>
        </w:rPr>
        <w:t xml:space="preserve"> szükség szerinti módosításáról. </w:t>
      </w:r>
      <w:r w:rsidR="00D14C44">
        <w:t>Amennyiben nemcsak egy rádiószolgálat alkalmazásai</w:t>
      </w:r>
      <w:r w:rsidR="00696FDE">
        <w:t>ra</w:t>
      </w:r>
      <w:r w:rsidR="00D14C44">
        <w:t xml:space="preserve"> jelentkezik</w:t>
      </w:r>
      <w:r w:rsidR="00696FDE">
        <w:t xml:space="preserve"> igény</w:t>
      </w:r>
      <w:r w:rsidR="00D14C44">
        <w:t>,</w:t>
      </w:r>
      <w:r w:rsidR="00696FDE">
        <w:t xml:space="preserve"> akkor</w:t>
      </w:r>
      <w:r w:rsidR="00D14C44">
        <w:t xml:space="preserve"> meg kell </w:t>
      </w:r>
      <w:r w:rsidR="00B972CB">
        <w:t xml:space="preserve">vizsgálni </w:t>
      </w:r>
      <w:r w:rsidR="00D14C44">
        <w:t xml:space="preserve">a megosztott használat lehetőségeit, lehetséges feltételeit, akár az </w:t>
      </w:r>
      <w:r w:rsidR="00233AE1">
        <w:t>LSA</w:t>
      </w:r>
      <w:r w:rsidR="00D14C44">
        <w:t xml:space="preserve"> </w:t>
      </w:r>
      <w:r w:rsidR="00B972CB">
        <w:t xml:space="preserve">alapú használat </w:t>
      </w:r>
      <w:r w:rsidR="00D14C44">
        <w:t>bevezethetőségét</w:t>
      </w:r>
      <w:r w:rsidR="00587830">
        <w:t xml:space="preserve"> is</w:t>
      </w:r>
      <w:r w:rsidR="00992D46">
        <w:t>.</w:t>
      </w:r>
      <w:r w:rsidR="003E1D0C" w:rsidRPr="003E1D0C">
        <w:t xml:space="preserve"> </w:t>
      </w:r>
      <w:r w:rsidR="003E1D0C">
        <w:t>A 2370-2400 MHz részsáv</w:t>
      </w:r>
      <w:r w:rsidR="000D0922">
        <w:t xml:space="preserve"> nem</w:t>
      </w:r>
      <w:r w:rsidR="00467120">
        <w:t xml:space="preserve"> </w:t>
      </w:r>
      <w:r w:rsidR="000D0922">
        <w:t>polgári</w:t>
      </w:r>
      <w:r w:rsidR="00467120">
        <w:t>, elsősorban katonai</w:t>
      </w:r>
      <w:r w:rsidR="000D0922">
        <w:t xml:space="preserve"> célú </w:t>
      </w:r>
      <w:r w:rsidR="003E1D0C">
        <w:t>haszn</w:t>
      </w:r>
      <w:r w:rsidR="000D0922">
        <w:t>álatára</w:t>
      </w:r>
      <w:r w:rsidR="003E1D0C">
        <w:t xml:space="preserve"> </w:t>
      </w:r>
      <w:r w:rsidR="000D0922">
        <w:t>hosszú távon igény van</w:t>
      </w:r>
      <w:r w:rsidR="00B972CB">
        <w:t>, a nem</w:t>
      </w:r>
      <w:r w:rsidR="00467120">
        <w:t xml:space="preserve"> </w:t>
      </w:r>
      <w:r w:rsidR="00B972CB">
        <w:t>polgári használat részletes műszaki előírásait már tartalmazza az NFFF.</w:t>
      </w:r>
    </w:p>
    <w:p w14:paraId="1DB1A8A5" w14:textId="75442811" w:rsidR="005D09CC" w:rsidRPr="00D86540" w:rsidRDefault="009F637B" w:rsidP="00BA647C">
      <w:pPr>
        <w:pStyle w:val="Cmsor2szmozottnmhh"/>
        <w:spacing w:before="360"/>
        <w:ind w:left="992" w:hanging="567"/>
      </w:pPr>
      <w:bookmarkStart w:id="16" w:name="_Toc96075714"/>
      <w:r w:rsidRPr="00D86540">
        <w:t xml:space="preserve">A </w:t>
      </w:r>
      <w:r w:rsidR="009A52FF" w:rsidRPr="00D86540">
        <w:t>jövőbe</w:t>
      </w:r>
      <w:r w:rsidR="009A52FF">
        <w:t>n</w:t>
      </w:r>
      <w:r w:rsidR="009A52FF" w:rsidRPr="00D86540">
        <w:t xml:space="preserve">i </w:t>
      </w:r>
      <w:r w:rsidRPr="00D86540">
        <w:t>használat</w:t>
      </w:r>
      <w:r w:rsidR="005D09CC" w:rsidRPr="00D86540">
        <w:t xml:space="preserve"> </w:t>
      </w:r>
      <w:r w:rsidR="007778C1">
        <w:t>lehetőségei</w:t>
      </w:r>
      <w:bookmarkEnd w:id="16"/>
    </w:p>
    <w:p w14:paraId="439F7617" w14:textId="5EA8A00F" w:rsidR="004E2E7F" w:rsidRDefault="00337337" w:rsidP="00E7319A">
      <w:pPr>
        <w:pStyle w:val="Behzottbekezdsnmhh"/>
      </w:pPr>
      <w:r>
        <w:t>A</w:t>
      </w:r>
      <w:r w:rsidR="000A1FC0">
        <w:t xml:space="preserve"> </w:t>
      </w:r>
      <w:r w:rsidR="007778C1">
        <w:t>jelenlegi és jövőbeni használat</w:t>
      </w:r>
      <w:r w:rsidR="00B972CB">
        <w:t xml:space="preserve"> összeférhetőség</w:t>
      </w:r>
      <w:r w:rsidR="007778C1">
        <w:t>ének</w:t>
      </w:r>
      <w:r w:rsidR="00B972CB">
        <w:t xml:space="preserve"> biztosítása szempontjából a</w:t>
      </w:r>
      <w:r>
        <w:t xml:space="preserve"> leginkább kézenfekvő megoldás a </w:t>
      </w:r>
      <w:r w:rsidR="00602A90">
        <w:t>frekvencia</w:t>
      </w:r>
      <w:r>
        <w:t>sáv megfelelő méretű részsávokra való felosztása</w:t>
      </w:r>
      <w:r w:rsidR="0071014E">
        <w:t>, ezáltal az alkalmazások elkülönítése</w:t>
      </w:r>
      <w:r w:rsidR="00DF0F11">
        <w:t>. Az ilyen használat</w:t>
      </w:r>
      <w:r w:rsidR="0071014E">
        <w:t xml:space="preserve"> előnye, hogy a</w:t>
      </w:r>
      <w:r w:rsidR="00640565">
        <w:t>z egyes rész</w:t>
      </w:r>
      <w:r w:rsidR="0071014E">
        <w:t>sávok dedikáltan „társbérlő” nélkül használhatóak, hátránya a</w:t>
      </w:r>
      <w:r w:rsidR="008602E0">
        <w:t xml:space="preserve">z elérhető </w:t>
      </w:r>
      <w:r w:rsidR="00602A90">
        <w:t>rádió</w:t>
      </w:r>
      <w:r w:rsidR="008602E0">
        <w:t>spektrum</w:t>
      </w:r>
      <w:r w:rsidR="002A67F6">
        <w:t>-</w:t>
      </w:r>
      <w:r w:rsidR="008602E0">
        <w:t xml:space="preserve">mennyiség </w:t>
      </w:r>
      <w:r w:rsidR="0071014E">
        <w:t>csökken</w:t>
      </w:r>
      <w:r w:rsidR="00640565">
        <w:t xml:space="preserve">ése. </w:t>
      </w:r>
      <w:r w:rsidR="005224DF">
        <w:t xml:space="preserve">Az </w:t>
      </w:r>
      <w:proofErr w:type="spellStart"/>
      <w:r w:rsidR="00640565">
        <w:t>inkumbens</w:t>
      </w:r>
      <w:proofErr w:type="spellEnd"/>
      <w:r w:rsidR="00640565">
        <w:t xml:space="preserve"> alkalmazásokkal való </w:t>
      </w:r>
      <w:r w:rsidR="005224DF">
        <w:t>összeférhetőség más módszerek alkalmazásával is elérhető, a</w:t>
      </w:r>
      <w:r w:rsidR="0083338A">
        <w:t xml:space="preserve"> megoldás azonban függ attól, hogy milyen igények jelentkeznek és milyen rendszerek között kell biztosítani az összeférhetőséget</w:t>
      </w:r>
      <w:r w:rsidR="00640565">
        <w:t xml:space="preserve">. </w:t>
      </w:r>
      <w:r w:rsidR="00D06EA8">
        <w:t>E</w:t>
      </w:r>
      <w:r w:rsidR="0083338A">
        <w:t>rről az igények megismerését követően tud az NMHH dönteni.</w:t>
      </w:r>
    </w:p>
    <w:p w14:paraId="57823A61" w14:textId="7CAA5B03" w:rsidR="008C1BA0" w:rsidRDefault="001307B1" w:rsidP="008C1BA0">
      <w:pPr>
        <w:pStyle w:val="Behzottbekezdsnmhh"/>
      </w:pPr>
      <w:r>
        <w:t xml:space="preserve">A </w:t>
      </w:r>
      <w:r w:rsidR="008C1BA0" w:rsidRPr="00D86540">
        <w:t xml:space="preserve">meglévő </w:t>
      </w:r>
      <w:r w:rsidR="002A67F6">
        <w:t>használat</w:t>
      </w:r>
      <w:r w:rsidR="002A67F6" w:rsidRPr="00D86540">
        <w:t xml:space="preserve"> </w:t>
      </w:r>
      <w:r w:rsidR="00640565">
        <w:t>figyelembevétele</w:t>
      </w:r>
      <w:r w:rsidR="00640565" w:rsidRPr="00D86540">
        <w:t xml:space="preserve"> </w:t>
      </w:r>
      <w:r w:rsidR="0065666F">
        <w:t>fontos</w:t>
      </w:r>
      <w:r w:rsidR="008C1BA0" w:rsidRPr="00D86540">
        <w:t xml:space="preserve"> </w:t>
      </w:r>
      <w:r w:rsidR="00496E03">
        <w:t xml:space="preserve">a </w:t>
      </w:r>
      <w:r w:rsidR="00640565">
        <w:t>2300 MHz</w:t>
      </w:r>
      <w:r w:rsidR="002A67F6">
        <w:t>-es</w:t>
      </w:r>
      <w:r w:rsidR="00640565">
        <w:t xml:space="preserve"> </w:t>
      </w:r>
      <w:r w:rsidR="00602A90">
        <w:t>frekvencia</w:t>
      </w:r>
      <w:r w:rsidR="00640565">
        <w:t xml:space="preserve">sáv használatára vonatkozó részletes műszaki </w:t>
      </w:r>
      <w:r>
        <w:t>szabály</w:t>
      </w:r>
      <w:r w:rsidR="00496E03">
        <w:t xml:space="preserve">ok </w:t>
      </w:r>
      <w:r w:rsidR="00640565">
        <w:t xml:space="preserve">kialakítása szempontjából. </w:t>
      </w:r>
      <w:r w:rsidR="008C1BA0" w:rsidRPr="00D86540">
        <w:t xml:space="preserve">A </w:t>
      </w:r>
      <w:r w:rsidR="00602A90">
        <w:t>frekvencia</w:t>
      </w:r>
      <w:r w:rsidR="008C1BA0" w:rsidRPr="00D86540">
        <w:t>sáv rádióamatőr használatra kijelölt, katonai használat által érintett, valamint video-PMSE célra történő használat</w:t>
      </w:r>
      <w:r w:rsidR="00496E03">
        <w:t>tal is számolni kell.</w:t>
      </w:r>
    </w:p>
    <w:p w14:paraId="3A0675E7" w14:textId="768AD09E" w:rsidR="00E73965" w:rsidRDefault="003349CC" w:rsidP="008C1BA0">
      <w:pPr>
        <w:pStyle w:val="Behzottbekezdsnmhh"/>
      </w:pPr>
      <w:r>
        <w:t xml:space="preserve">PMSE alkalmazások számára nem kijelölt a sáv, </w:t>
      </w:r>
      <w:r w:rsidR="00640565">
        <w:t>jellemzően</w:t>
      </w:r>
      <w:r w:rsidR="00E73965">
        <w:t xml:space="preserve"> alkalmi</w:t>
      </w:r>
      <w:r>
        <w:t xml:space="preserve"> video-PMSE</w:t>
      </w:r>
      <w:r w:rsidR="00E73965">
        <w:t xml:space="preserve"> engedélye</w:t>
      </w:r>
      <w:r>
        <w:t>k</w:t>
      </w:r>
      <w:r w:rsidR="002D48D3">
        <w:t>et adnak ki</w:t>
      </w:r>
      <w:r>
        <w:t xml:space="preserve"> időnként a sávban</w:t>
      </w:r>
      <w:r w:rsidR="00F116BB">
        <w:t>,</w:t>
      </w:r>
      <w:r>
        <w:t xml:space="preserve"> így </w:t>
      </w:r>
      <w:r w:rsidR="00AE7707">
        <w:t>rádióspektrum-használat</w:t>
      </w:r>
      <w:r>
        <w:t xml:space="preserve">i jog nem sérülne PMSE oldalról. Amennyiben </w:t>
      </w:r>
      <w:r w:rsidR="0083338A">
        <w:t xml:space="preserve">a </w:t>
      </w:r>
      <w:r w:rsidR="00640565">
        <w:t>2300 MHz</w:t>
      </w:r>
      <w:r w:rsidR="002A67F6">
        <w:t>-es</w:t>
      </w:r>
      <w:r w:rsidR="00640565">
        <w:t xml:space="preserve"> frekvencia</w:t>
      </w:r>
      <w:r w:rsidR="0083338A">
        <w:t>sávot</w:t>
      </w:r>
      <w:r w:rsidR="002A2127">
        <w:t xml:space="preserve"> (vagy annak egy részét)</w:t>
      </w:r>
      <w:r w:rsidR="001C65CF">
        <w:t xml:space="preserve">, </w:t>
      </w:r>
      <w:r>
        <w:t xml:space="preserve">video-PMSE </w:t>
      </w:r>
      <w:r w:rsidR="001C65CF">
        <w:t>alkalmazások</w:t>
      </w:r>
      <w:r w:rsidR="00F1172B">
        <w:t xml:space="preserve">ra nem lehet használni a jövőben, akkor ezeket </w:t>
      </w:r>
      <w:r w:rsidR="001C65CF">
        <w:t xml:space="preserve">más </w:t>
      </w:r>
      <w:r w:rsidR="00CA3119">
        <w:t xml:space="preserve">alkalmas </w:t>
      </w:r>
      <w:r w:rsidR="001C65CF">
        <w:t xml:space="preserve">sávokban </w:t>
      </w:r>
      <w:r w:rsidR="00707BB2">
        <w:t>kell</w:t>
      </w:r>
      <w:r w:rsidR="001C65CF">
        <w:t xml:space="preserve"> üzemel</w:t>
      </w:r>
      <w:r w:rsidR="00707BB2">
        <w:t>tetni.</w:t>
      </w:r>
      <w:r w:rsidR="001C65CF">
        <w:t xml:space="preserve"> </w:t>
      </w:r>
      <w:r w:rsidR="00306755">
        <w:t>A v</w:t>
      </w:r>
      <w:r w:rsidR="00CA3119">
        <w:t>ideo-PMSE sávokkal kapcsolat</w:t>
      </w:r>
      <w:r w:rsidR="00306755">
        <w:t xml:space="preserve">os </w:t>
      </w:r>
      <w:proofErr w:type="spellStart"/>
      <w:r w:rsidR="00306755">
        <w:t>kapacitásbeli</w:t>
      </w:r>
      <w:proofErr w:type="spellEnd"/>
      <w:r w:rsidR="00306755">
        <w:t xml:space="preserve"> problémák hazánkban nem jellemzőek</w:t>
      </w:r>
      <w:r w:rsidR="0083338A">
        <w:t>, viszont kiemelt eseményeknél a kommunikációt szolgáló eszközök szűkössé tették a rendelkezésre álló frekvenciakészletet</w:t>
      </w:r>
      <w:r w:rsidR="00640565">
        <w:t>, így a 2300 MHz</w:t>
      </w:r>
      <w:r w:rsidR="002A67F6">
        <w:t>-es</w:t>
      </w:r>
      <w:r w:rsidR="00640565">
        <w:t xml:space="preserve"> </w:t>
      </w:r>
      <w:r w:rsidR="002A67F6">
        <w:t>frekvencia</w:t>
      </w:r>
      <w:r w:rsidR="00640565">
        <w:t xml:space="preserve">sáv használata PMSE céljára </w:t>
      </w:r>
      <w:r w:rsidR="00707BB2">
        <w:t>jó megoldást jelentett</w:t>
      </w:r>
      <w:r w:rsidR="0083338A">
        <w:t>.</w:t>
      </w:r>
    </w:p>
    <w:p w14:paraId="24E5F084" w14:textId="278130F8" w:rsidR="00707BB2" w:rsidRDefault="00D9298B" w:rsidP="008C1BA0">
      <w:pPr>
        <w:pStyle w:val="Behzottbekezdsnmhh"/>
      </w:pPr>
      <w:r>
        <w:t>A</w:t>
      </w:r>
      <w:r w:rsidR="00707BB2">
        <w:t xml:space="preserve"> mobil szélessávú alkalmazások</w:t>
      </w:r>
      <w:r>
        <w:t xml:space="preserve"> </w:t>
      </w:r>
      <w:r w:rsidR="00707BB2">
        <w:t>(4G, 5G) bevezetésére a 2300 MHz</w:t>
      </w:r>
      <w:r w:rsidR="002A67F6">
        <w:t>-es</w:t>
      </w:r>
      <w:r w:rsidR="00707BB2">
        <w:t xml:space="preserve"> </w:t>
      </w:r>
      <w:r w:rsidR="00602A90">
        <w:t>frekvencia</w:t>
      </w:r>
      <w:r w:rsidR="00707BB2">
        <w:t xml:space="preserve">sávban több </w:t>
      </w:r>
      <w:r w:rsidR="002A67F6">
        <w:t xml:space="preserve">lehetőség </w:t>
      </w:r>
      <w:r w:rsidR="00707BB2">
        <w:t>is felmerülhet:</w:t>
      </w:r>
    </w:p>
    <w:p w14:paraId="2448CA60" w14:textId="1C7B7349" w:rsidR="00707BB2" w:rsidRDefault="00707BB2" w:rsidP="00ED370A">
      <w:pPr>
        <w:pStyle w:val="Behzottbekezdsnmhh"/>
        <w:numPr>
          <w:ilvl w:val="0"/>
          <w:numId w:val="49"/>
        </w:numPr>
      </w:pPr>
      <w:r>
        <w:t>országos hálózatok lehetősége a teljes sávban, vagy adott részsávokban</w:t>
      </w:r>
      <w:r w:rsidR="00602A90">
        <w:t>,</w:t>
      </w:r>
    </w:p>
    <w:p w14:paraId="17889739" w14:textId="49E7DF17" w:rsidR="00707BB2" w:rsidRDefault="00707BB2" w:rsidP="00ED370A">
      <w:pPr>
        <w:pStyle w:val="Behzottbekezdsnmhh"/>
        <w:numPr>
          <w:ilvl w:val="0"/>
          <w:numId w:val="49"/>
        </w:numPr>
      </w:pPr>
      <w:r>
        <w:t>helyi/regio</w:t>
      </w:r>
      <w:r w:rsidR="009C5B63">
        <w:t>n</w:t>
      </w:r>
      <w:r>
        <w:t>ális hálózatok lehetősége</w:t>
      </w:r>
      <w:r w:rsidR="00602A90">
        <w:t>,</w:t>
      </w:r>
    </w:p>
    <w:p w14:paraId="6E1E3115" w14:textId="7C4C9B1C" w:rsidR="00707BB2" w:rsidRDefault="00602A90" w:rsidP="00ED370A">
      <w:pPr>
        <w:pStyle w:val="Behzottbekezdsnmhh"/>
        <w:numPr>
          <w:ilvl w:val="0"/>
          <w:numId w:val="49"/>
        </w:numPr>
      </w:pPr>
      <w:r>
        <w:t xml:space="preserve">amibe akár alesetként bele is tartozik a </w:t>
      </w:r>
      <w:r w:rsidR="00707BB2">
        <w:t>4G/5G alapú magánhálózati megoldások lehetősége</w:t>
      </w:r>
      <w:r>
        <w:t xml:space="preserve">, </w:t>
      </w:r>
    </w:p>
    <w:p w14:paraId="174DE87E" w14:textId="0B905F2D" w:rsidR="00EA475C" w:rsidRDefault="00602A90" w:rsidP="00ED370A">
      <w:pPr>
        <w:pStyle w:val="Behzottbekezdsnmhh"/>
        <w:numPr>
          <w:ilvl w:val="0"/>
          <w:numId w:val="49"/>
        </w:numPr>
      </w:pPr>
      <w:proofErr w:type="spellStart"/>
      <w:r>
        <w:t>mindezek</w:t>
      </w:r>
      <w:proofErr w:type="spellEnd"/>
      <w:r>
        <w:t xml:space="preserve"> esetében külön-külön, de összességében is </w:t>
      </w:r>
      <w:r w:rsidR="00707BB2">
        <w:t xml:space="preserve">különböző engedélyezési opciók </w:t>
      </w:r>
      <w:r w:rsidR="00EA475C">
        <w:t>mérlegelése (pl. versenyeztetés, „</w:t>
      </w:r>
      <w:proofErr w:type="spellStart"/>
      <w:r w:rsidR="00EA475C">
        <w:t>first</w:t>
      </w:r>
      <w:proofErr w:type="spellEnd"/>
      <w:r w:rsidR="00EA475C">
        <w:t xml:space="preserve"> </w:t>
      </w:r>
      <w:proofErr w:type="spellStart"/>
      <w:r w:rsidR="00EA475C">
        <w:t>come</w:t>
      </w:r>
      <w:proofErr w:type="spellEnd"/>
      <w:r w:rsidR="00EA475C">
        <w:t xml:space="preserve"> </w:t>
      </w:r>
      <w:proofErr w:type="spellStart"/>
      <w:r w:rsidR="00EA475C">
        <w:t>first</w:t>
      </w:r>
      <w:proofErr w:type="spellEnd"/>
      <w:r w:rsidR="00EA475C">
        <w:t xml:space="preserve"> </w:t>
      </w:r>
      <w:proofErr w:type="spellStart"/>
      <w:r w:rsidR="00EA475C">
        <w:t>served</w:t>
      </w:r>
      <w:proofErr w:type="spellEnd"/>
      <w:r w:rsidR="00EA475C">
        <w:t>”)</w:t>
      </w:r>
      <w:r w:rsidR="00D9298B">
        <w:t xml:space="preserve"> </w:t>
      </w:r>
      <w:r>
        <w:t>szükséges.</w:t>
      </w:r>
    </w:p>
    <w:p w14:paraId="22DCF8FA" w14:textId="22405464" w:rsidR="00EA475C" w:rsidRDefault="00EA475C" w:rsidP="0058383C">
      <w:pPr>
        <w:pStyle w:val="Behzottbekezdsnmhh"/>
      </w:pPr>
      <w:r>
        <w:t xml:space="preserve">A megfelelő </w:t>
      </w:r>
      <w:r w:rsidR="002A67F6">
        <w:t xml:space="preserve">lehetőségek </w:t>
      </w:r>
      <w:r>
        <w:t xml:space="preserve">kiválasztása szempontjából kiemelt fontosságú a spektrumhasználati igények megismerése, beleértve a polgári és a nem polgári </w:t>
      </w:r>
      <w:r w:rsidR="002A67F6">
        <w:t xml:space="preserve">célú </w:t>
      </w:r>
      <w:r>
        <w:t>spektrumhasználatot is.</w:t>
      </w:r>
    </w:p>
    <w:p w14:paraId="12484213" w14:textId="208BE28F" w:rsidR="00D9298B" w:rsidRDefault="00EA475C" w:rsidP="008D695D">
      <w:pPr>
        <w:pStyle w:val="Behzottbekezdsnmhh"/>
      </w:pPr>
      <w:r>
        <w:t xml:space="preserve">Figyelembe véve, hogy a nemzetközi szabályozás alapján ebben a sávban csak TDD </w:t>
      </w:r>
      <w:proofErr w:type="spellStart"/>
      <w:r>
        <w:t>hozzáférésű</w:t>
      </w:r>
      <w:proofErr w:type="spellEnd"/>
      <w:r>
        <w:t xml:space="preserve"> MFCN hálózatok üzemeltethetők, fontos a hálózatok közötti szinkronizáció kérdése is, hiszen ennek hiányában </w:t>
      </w:r>
      <w:r w:rsidR="000D0F70">
        <w:t xml:space="preserve">megfelelő védősávokat kell alkalmazni a szomszédos frekvenciatartományokban üzemelő rendszerek közötti zavarok elkerülése érdekében. </w:t>
      </w:r>
      <w:r>
        <w:t xml:space="preserve">A </w:t>
      </w:r>
      <w:r w:rsidR="00D9298B">
        <w:t>regionális/helyi szinten történő elosztás</w:t>
      </w:r>
      <w:r w:rsidR="00707BB2">
        <w:t xml:space="preserve"> </w:t>
      </w:r>
      <w:r w:rsidR="00D9298B">
        <w:t xml:space="preserve">a meglévő </w:t>
      </w:r>
      <w:r w:rsidR="00D9298B">
        <w:lastRenderedPageBreak/>
        <w:t xml:space="preserve">alkalmazásokkal való </w:t>
      </w:r>
      <w:r w:rsidR="00B16CD2">
        <w:t xml:space="preserve">összeférhetőség </w:t>
      </w:r>
      <w:r w:rsidR="00D9298B">
        <w:t xml:space="preserve">megteremtése szempontjából is </w:t>
      </w:r>
      <w:r w:rsidR="00DF0F11">
        <w:t>jó</w:t>
      </w:r>
      <w:r w:rsidR="00D9298B">
        <w:t xml:space="preserve"> eszközt adhat azáltal, hogy az egymással párhuzamosan üzemelő, </w:t>
      </w:r>
      <w:r w:rsidR="000D0F70">
        <w:t xml:space="preserve">különböző </w:t>
      </w:r>
      <w:r w:rsidR="00D9298B">
        <w:t>alkalmazások</w:t>
      </w:r>
      <w:r w:rsidR="000D0F70">
        <w:t>, vagy azonos alkalmazások különböző rendszerei</w:t>
      </w:r>
      <w:r w:rsidR="00D9298B">
        <w:t xml:space="preserve"> köz</w:t>
      </w:r>
      <w:r w:rsidR="000D0F70">
        <w:t>ött</w:t>
      </w:r>
      <w:r w:rsidR="00D9298B">
        <w:t xml:space="preserve">i </w:t>
      </w:r>
      <w:r w:rsidR="00916A31">
        <w:t>területi elhatárolódást</w:t>
      </w:r>
      <w:r w:rsidR="000D0F70">
        <w:t>, így a zavarmentességet</w:t>
      </w:r>
      <w:r w:rsidR="00916A31">
        <w:t xml:space="preserve"> megoldhatóvá teszi.</w:t>
      </w:r>
    </w:p>
    <w:p w14:paraId="5020F6A0" w14:textId="2FF2D849" w:rsidR="005D09CC" w:rsidRDefault="008602E0" w:rsidP="00BA647C">
      <w:pPr>
        <w:pStyle w:val="Cmsor1szmozottnmhh"/>
        <w:spacing w:before="360"/>
        <w:ind w:left="431" w:hanging="431"/>
      </w:pPr>
      <w:bookmarkStart w:id="17" w:name="_Toc96075715"/>
      <w:r w:rsidRPr="00D86540">
        <w:t>Határ</w:t>
      </w:r>
      <w:r>
        <w:t>övezeti</w:t>
      </w:r>
      <w:r w:rsidR="002329EB" w:rsidRPr="00D86540">
        <w:t xml:space="preserve"> </w:t>
      </w:r>
      <w:r w:rsidR="00AE7707">
        <w:t>rádióspektrum-használat</w:t>
      </w:r>
      <w:bookmarkEnd w:id="17"/>
      <w:r w:rsidR="002329EB" w:rsidRPr="00D86540">
        <w:t xml:space="preserve"> </w:t>
      </w:r>
    </w:p>
    <w:p w14:paraId="1BA23C62" w14:textId="05232647" w:rsidR="00DF0F11" w:rsidRDefault="00B43B7C" w:rsidP="00DF0F11">
      <w:pPr>
        <w:pStyle w:val="Behzottbekezdsnmhh"/>
        <w:tabs>
          <w:tab w:val="left" w:pos="977"/>
        </w:tabs>
      </w:pPr>
      <w:r w:rsidRPr="00D86540">
        <w:t xml:space="preserve">A </w:t>
      </w:r>
      <w:r>
        <w:t>2300 MHz</w:t>
      </w:r>
      <w:r w:rsidR="00B16CD2">
        <w:t>-es</w:t>
      </w:r>
      <w:r>
        <w:t xml:space="preserve"> frekvencia</w:t>
      </w:r>
      <w:r w:rsidRPr="00D86540">
        <w:t xml:space="preserve">sávra vonatkozóan </w:t>
      </w:r>
      <w:r w:rsidR="00B16CD2">
        <w:t xml:space="preserve">Magyarország </w:t>
      </w:r>
      <w:r>
        <w:t>nem rendelkez</w:t>
      </w:r>
      <w:r w:rsidR="00B16CD2">
        <w:t>ik</w:t>
      </w:r>
      <w:r>
        <w:t xml:space="preserve"> </w:t>
      </w:r>
      <w:r w:rsidR="00B16CD2">
        <w:t xml:space="preserve">nemzetközi </w:t>
      </w:r>
      <w:r w:rsidRPr="00D86540">
        <w:t>koordinációs megállapodás</w:t>
      </w:r>
      <w:r>
        <w:t>sal</w:t>
      </w:r>
      <w:r w:rsidRPr="00D86540">
        <w:t xml:space="preserve"> </w:t>
      </w:r>
      <w:r>
        <w:t xml:space="preserve">a </w:t>
      </w:r>
      <w:r w:rsidRPr="00D86540">
        <w:t>szomszédos országok</w:t>
      </w:r>
      <w:r>
        <w:t xml:space="preserve"> viszonylatában. </w:t>
      </w:r>
      <w:r w:rsidR="00DF0F11">
        <w:t>Az MFCN hálózatok bevezetése esetén</w:t>
      </w:r>
      <w:r w:rsidRPr="00D86540">
        <w:t xml:space="preserve"> </w:t>
      </w:r>
      <w:r w:rsidR="00DF0F11">
        <w:t xml:space="preserve">a hatékony határövezeti spektrumhasználat biztosítása érdekében két- és többoldalú nemzetközi koordinációs </w:t>
      </w:r>
      <w:r w:rsidRPr="00D86540">
        <w:t xml:space="preserve">megállapodások megkötése </w:t>
      </w:r>
      <w:r w:rsidR="00DF0F11">
        <w:t xml:space="preserve">válik szükségessé a szomszédos országokkal. A határövezeti frekvenciahasználat műszaki alapjait az </w:t>
      </w:r>
      <w:r w:rsidR="00A7108C">
        <w:t>ERC/REC/(14</w:t>
      </w:r>
      <w:proofErr w:type="gramStart"/>
      <w:r w:rsidR="00A7108C" w:rsidRPr="006C0703">
        <w:t>)04</w:t>
      </w:r>
      <w:proofErr w:type="gramEnd"/>
      <w:r w:rsidR="00DF0F11">
        <w:t xml:space="preserve"> </w:t>
      </w:r>
      <w:r w:rsidR="00B16CD2">
        <w:t>A</w:t>
      </w:r>
      <w:r w:rsidR="00DF0F11">
        <w:t>jánlás tartalmazza.</w:t>
      </w:r>
    </w:p>
    <w:p w14:paraId="1CADEF5C" w14:textId="40456F8F" w:rsidR="00CA6AD4" w:rsidRPr="00D86540" w:rsidRDefault="00982A11" w:rsidP="00AE4FFD">
      <w:pPr>
        <w:pStyle w:val="Cmsor1szmozottnmhh"/>
        <w:spacing w:before="360"/>
        <w:ind w:left="431" w:hanging="431"/>
      </w:pPr>
      <w:bookmarkStart w:id="18" w:name="_Toc96075716"/>
      <w:r>
        <w:t>Rádióspektrum</w:t>
      </w:r>
      <w:r w:rsidRPr="00D86540">
        <w:t>díjak</w:t>
      </w:r>
      <w:bookmarkEnd w:id="18"/>
    </w:p>
    <w:p w14:paraId="57C4694C" w14:textId="77777777" w:rsidR="00875FD0" w:rsidRPr="00ED370A" w:rsidRDefault="00875FD0" w:rsidP="00ED370A">
      <w:pPr>
        <w:pStyle w:val="Behzottbekezdsnmhh"/>
      </w:pPr>
      <w:r w:rsidRPr="008D695D">
        <w:t>Az NFFF alapján blokkgazdálkodás körébe tartozó, szolgáltatás célú és versenyeztetési eljárás eredményeként, a rádióspektrum-használati jogosultság meghosszabbítása eredményeként vagy a rádióspektrum-használati jogosultság megújítása eredményeként szerzett, valamint a szerzést követően továbbértékesített rádióspektrum esetén a rádióspektrum-használati jogosultság időtartama alatt a jogosítottnak a rádióengedély érvényességének a frekvenciahasználati jogosultság me</w:t>
      </w:r>
      <w:r w:rsidRPr="00ED370A">
        <w:t>gszerzését szolgáló árverés és pályázat szabályairól szóló 4/2011. (X. 6.) NMHH rendelet 22. § (3) bekezdésében meghatározott legkorábbi időpontjától a rádióspektrum-használati jogot szerzőnek havonta sávdíjat kell fizetnie.</w:t>
      </w:r>
    </w:p>
    <w:p w14:paraId="25087063" w14:textId="77777777" w:rsidR="008C1593" w:rsidRPr="00ED370A" w:rsidRDefault="008C1593" w:rsidP="00ED370A">
      <w:pPr>
        <w:pStyle w:val="Behzottbekezdsnmhh"/>
      </w:pPr>
      <w:r w:rsidRPr="00ED370A">
        <w:t>A rendszeres rádióspektrumdíj számítási módszerét a frekvencialekötés és -használat díjáról szóló 1/2011. (III. 31.) NMHH rendelet (a továbbiakban: Díjrendelet) írja le.</w:t>
      </w:r>
    </w:p>
    <w:p w14:paraId="4FCC4F65" w14:textId="2E827D0C" w:rsidR="00875FD0" w:rsidRPr="00ED370A" w:rsidRDefault="00875FD0" w:rsidP="00ED370A">
      <w:pPr>
        <w:pStyle w:val="Behzottbekezdsnmhh"/>
      </w:pPr>
      <w:r w:rsidRPr="00ED370A">
        <w:t>A 2300 MHz-es sáv használata után fizetendő sávdíj megállapításához a Díjrendelet módosítása szükséges, mivel a “Blokkgazdálkodás körébe tartozó sávok után fizetendő díjak” címmel szereplő 20. §-</w:t>
      </w:r>
      <w:proofErr w:type="spellStart"/>
      <w:r w:rsidRPr="00ED370A">
        <w:t>ban</w:t>
      </w:r>
      <w:proofErr w:type="spellEnd"/>
      <w:r w:rsidRPr="00ED370A">
        <w:t xml:space="preserve"> és a 9. számú mellékletben nem szerepel ez a frekvenciasáv.</w:t>
      </w:r>
    </w:p>
    <w:p w14:paraId="6C0EAFD4" w14:textId="77777777" w:rsidR="00875FD0" w:rsidRPr="00ED370A" w:rsidRDefault="00875FD0" w:rsidP="00ED370A">
      <w:pPr>
        <w:pStyle w:val="Behzottbekezdsnmhh"/>
      </w:pPr>
      <w:r w:rsidRPr="008D695D">
        <w:t>A díjak megállapításán</w:t>
      </w:r>
      <w:r w:rsidR="008C1593" w:rsidRPr="008D695D">
        <w:t>ak szempontjai között</w:t>
      </w:r>
      <w:r w:rsidRPr="00ED370A">
        <w:t xml:space="preserve"> figyelembe kell venni, hogy a piaci igényfelmérés eredményeként milyen sáv</w:t>
      </w:r>
      <w:r w:rsidR="00765389" w:rsidRPr="00ED370A">
        <w:t xml:space="preserve">használati feltételek mellett születik döntés. </w:t>
      </w:r>
      <w:r w:rsidRPr="00ED370A">
        <w:t>Amennyiben a pályázók szándékai és igényei alapján az elnyerhető jogosultságok országosnál kisebb területre is szólhatnak,</w:t>
      </w:r>
      <w:r w:rsidR="008C1593" w:rsidRPr="00ED370A">
        <w:t xml:space="preserve"> </w:t>
      </w:r>
      <w:r w:rsidRPr="00ED370A">
        <w:t>a Díjrendeletet az új körülményeknek megfelelően módosítani szükséges.</w:t>
      </w:r>
    </w:p>
    <w:sectPr w:rsidR="00875FD0" w:rsidRPr="00ED370A" w:rsidSect="007E2915">
      <w:headerReference w:type="default" r:id="rId15"/>
      <w:footerReference w:type="default" r:id="rId16"/>
      <w:pgSz w:w="11906" w:h="16838"/>
      <w:pgMar w:top="1417" w:right="1417" w:bottom="1417" w:left="1417" w:header="14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91EBA" w14:textId="77777777" w:rsidR="00B82928" w:rsidRDefault="00B82928" w:rsidP="006F446C">
      <w:pPr>
        <w:spacing w:after="0" w:line="240" w:lineRule="auto"/>
      </w:pPr>
      <w:r>
        <w:separator/>
      </w:r>
    </w:p>
  </w:endnote>
  <w:endnote w:type="continuationSeparator" w:id="0">
    <w:p w14:paraId="1A713703" w14:textId="77777777" w:rsidR="00B82928" w:rsidRDefault="00B82928" w:rsidP="006F4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2040503050201020203"/>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3525A"/>
      </w:rPr>
      <w:id w:val="-521928211"/>
      <w:docPartObj>
        <w:docPartGallery w:val="Page Numbers (Bottom of Page)"/>
        <w:docPartUnique/>
      </w:docPartObj>
    </w:sdtPr>
    <w:sdtEndPr/>
    <w:sdtContent>
      <w:p w14:paraId="246FE899" w14:textId="77777777" w:rsidR="00E01EDB" w:rsidRDefault="00E01EDB">
        <w:pPr>
          <w:pStyle w:val="llb"/>
          <w:jc w:val="left"/>
          <w:rPr>
            <w:color w:val="43525A"/>
          </w:rPr>
        </w:pPr>
        <w:r>
          <w:rPr>
            <w:color w:val="43525A"/>
          </w:rPr>
          <w:fldChar w:fldCharType="begin"/>
        </w:r>
        <w:r>
          <w:rPr>
            <w:color w:val="43525A"/>
          </w:rPr>
          <w:instrText>PAGE   \* MERGEFORMAT</w:instrText>
        </w:r>
        <w:r>
          <w:rPr>
            <w:color w:val="43525A"/>
          </w:rPr>
          <w:fldChar w:fldCharType="separate"/>
        </w:r>
        <w:r>
          <w:rPr>
            <w:noProof/>
            <w:color w:val="43525A"/>
          </w:rPr>
          <w:t>4</w:t>
        </w:r>
        <w:r>
          <w:rPr>
            <w:color w:val="43525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219296"/>
      <w:docPartObj>
        <w:docPartGallery w:val="Page Numbers (Bottom of Page)"/>
        <w:docPartUnique/>
      </w:docPartObj>
    </w:sdtPr>
    <w:sdtEndPr>
      <w:rPr>
        <w:color w:val="43525A"/>
      </w:rPr>
    </w:sdtEndPr>
    <w:sdtContent>
      <w:p w14:paraId="1364D21D" w14:textId="77777777" w:rsidR="00E01EDB" w:rsidRDefault="00E01EDB">
        <w:pPr>
          <w:pStyle w:val="llb"/>
          <w:jc w:val="right"/>
          <w:rPr>
            <w:color w:val="43525A"/>
          </w:rPr>
        </w:pPr>
        <w:r>
          <w:rPr>
            <w:color w:val="43525A"/>
          </w:rPr>
          <w:fldChar w:fldCharType="begin"/>
        </w:r>
        <w:r>
          <w:rPr>
            <w:color w:val="43525A"/>
          </w:rPr>
          <w:instrText>PAGE   \* MERGEFORMAT</w:instrText>
        </w:r>
        <w:r>
          <w:rPr>
            <w:color w:val="43525A"/>
          </w:rPr>
          <w:fldChar w:fldCharType="separate"/>
        </w:r>
        <w:r>
          <w:rPr>
            <w:noProof/>
            <w:color w:val="43525A"/>
          </w:rPr>
          <w:t>5</w:t>
        </w:r>
        <w:r>
          <w:rPr>
            <w:color w:val="43525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D2028" w14:textId="77777777" w:rsidR="00E01EDB" w:rsidRDefault="00E01EDB">
    <w:r>
      <w:rPr>
        <w:noProof/>
        <w:lang w:eastAsia="hu-HU"/>
      </w:rPr>
      <mc:AlternateContent>
        <mc:Choice Requires="wps">
          <w:drawing>
            <wp:anchor distT="0" distB="0" distL="114300" distR="114300" simplePos="0" relativeHeight="251655680" behindDoc="0" locked="0" layoutInCell="1" allowOverlap="1" wp14:anchorId="06940896" wp14:editId="781A1943">
              <wp:simplePos x="0" y="0"/>
              <wp:positionH relativeFrom="column">
                <wp:posOffset>4997450</wp:posOffset>
              </wp:positionH>
              <wp:positionV relativeFrom="paragraph">
                <wp:posOffset>153035</wp:posOffset>
              </wp:positionV>
              <wp:extent cx="613410" cy="302260"/>
              <wp:effectExtent l="0" t="63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6"/>
                              <w:szCs w:val="16"/>
                            </w:rPr>
                            <w:id w:val="11965226"/>
                            <w:docPartObj>
                              <w:docPartGallery w:val="Page Numbers (Bottom of Page)"/>
                              <w:docPartUnique/>
                            </w:docPartObj>
                          </w:sdtPr>
                          <w:sdtEndPr/>
                          <w:sdtContent>
                            <w:p w14:paraId="66FF8067" w14:textId="538B55CE" w:rsidR="00E01EDB" w:rsidRPr="00D42662" w:rsidRDefault="00E01EDB" w:rsidP="001C0D17">
                              <w:pPr>
                                <w:jc w:val="right"/>
                                <w:rPr>
                                  <w:sz w:val="16"/>
                                  <w:szCs w:val="16"/>
                                </w:rPr>
                              </w:pPr>
                              <w:r w:rsidRPr="00D42662">
                                <w:rPr>
                                  <w:sz w:val="16"/>
                                  <w:szCs w:val="16"/>
                                </w:rPr>
                                <w:fldChar w:fldCharType="begin"/>
                              </w:r>
                              <w:r w:rsidRPr="00D42662">
                                <w:rPr>
                                  <w:sz w:val="16"/>
                                  <w:szCs w:val="16"/>
                                </w:rPr>
                                <w:instrText xml:space="preserve"> PAGE   \* MERGEFORMAT </w:instrText>
                              </w:r>
                              <w:r w:rsidRPr="00D42662">
                                <w:rPr>
                                  <w:sz w:val="16"/>
                                  <w:szCs w:val="16"/>
                                </w:rPr>
                                <w:fldChar w:fldCharType="separate"/>
                              </w:r>
                              <w:r w:rsidR="003921AB">
                                <w:rPr>
                                  <w:noProof/>
                                  <w:sz w:val="16"/>
                                  <w:szCs w:val="16"/>
                                </w:rPr>
                                <w:t>3</w:t>
                              </w:r>
                              <w:r w:rsidRPr="00D42662">
                                <w:rPr>
                                  <w:noProof/>
                                  <w:sz w:val="16"/>
                                  <w:szCs w:val="16"/>
                                </w:rPr>
                                <w:fldChar w:fldCharType="end"/>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940896" id="_x0000_t202" coordsize="21600,21600" o:spt="202" path="m,l,21600r21600,l21600,xe">
              <v:stroke joinstyle="miter"/>
              <v:path gradientshapeok="t" o:connecttype="rect"/>
            </v:shapetype>
            <v:shape id="Text Box 2" o:spid="_x0000_s1026" type="#_x0000_t202" style="position:absolute;left:0;text-align:left;margin-left:393.5pt;margin-top:12.05pt;width:48.3pt;height:23.8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CVVsw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" filled="f" stroked="f">
              <v:textbox style="mso-fit-shape-to-text:t">
                <w:txbxContent>
                  <w:sdt>
                    <w:sdtPr>
                      <w:rPr>
                        <w:sz w:val="16"/>
                        <w:szCs w:val="16"/>
                      </w:rPr>
                      <w:id w:val="11965226"/>
                      <w:docPartObj>
                        <w:docPartGallery w:val="Page Numbers (Bottom of Page)"/>
                        <w:docPartUnique/>
                      </w:docPartObj>
                    </w:sdtPr>
                    <w:sdtEndPr/>
                    <w:sdtContent>
                      <w:p w14:paraId="66FF8067" w14:textId="538B55CE" w:rsidR="00E01EDB" w:rsidRPr="00D42662" w:rsidRDefault="00E01EDB" w:rsidP="001C0D17">
                        <w:pPr>
                          <w:jc w:val="right"/>
                          <w:rPr>
                            <w:sz w:val="16"/>
                            <w:szCs w:val="16"/>
                          </w:rPr>
                        </w:pPr>
                        <w:r w:rsidRPr="00D42662">
                          <w:rPr>
                            <w:sz w:val="16"/>
                            <w:szCs w:val="16"/>
                          </w:rPr>
                          <w:fldChar w:fldCharType="begin"/>
                        </w:r>
                        <w:r w:rsidRPr="00D42662">
                          <w:rPr>
                            <w:sz w:val="16"/>
                            <w:szCs w:val="16"/>
                          </w:rPr>
                          <w:instrText xml:space="preserve"> PAGE   \* MERGEFORMAT </w:instrText>
                        </w:r>
                        <w:r w:rsidRPr="00D42662">
                          <w:rPr>
                            <w:sz w:val="16"/>
                            <w:szCs w:val="16"/>
                          </w:rPr>
                          <w:fldChar w:fldCharType="separate"/>
                        </w:r>
                        <w:r w:rsidR="003921AB">
                          <w:rPr>
                            <w:noProof/>
                            <w:sz w:val="16"/>
                            <w:szCs w:val="16"/>
                          </w:rPr>
                          <w:t>3</w:t>
                        </w:r>
                        <w:r w:rsidRPr="00D42662">
                          <w:rPr>
                            <w:noProof/>
                            <w:sz w:val="16"/>
                            <w:szCs w:val="16"/>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17237" w14:textId="77777777" w:rsidR="00B82928" w:rsidRDefault="00B82928" w:rsidP="006F446C">
      <w:pPr>
        <w:spacing w:after="0" w:line="240" w:lineRule="auto"/>
      </w:pPr>
      <w:r>
        <w:separator/>
      </w:r>
    </w:p>
  </w:footnote>
  <w:footnote w:type="continuationSeparator" w:id="0">
    <w:p w14:paraId="77229F24" w14:textId="77777777" w:rsidR="00B82928" w:rsidRDefault="00B82928" w:rsidP="006F446C">
      <w:pPr>
        <w:spacing w:after="0" w:line="240" w:lineRule="auto"/>
      </w:pPr>
      <w:r>
        <w:continuationSeparator/>
      </w:r>
    </w:p>
  </w:footnote>
  <w:footnote w:id="1">
    <w:p w14:paraId="1C481714" w14:textId="77777777" w:rsidR="00E01EDB" w:rsidRPr="00CD4DFB" w:rsidRDefault="00E01EDB">
      <w:pPr>
        <w:pStyle w:val="Lbjegyzetszveg"/>
        <w:rPr>
          <w:sz w:val="16"/>
        </w:rPr>
      </w:pPr>
      <w:r>
        <w:rPr>
          <w:rStyle w:val="Lbjegyzet-hivatkozs"/>
        </w:rPr>
        <w:footnoteRef/>
      </w:r>
      <w:r>
        <w:t xml:space="preserve"> </w:t>
      </w:r>
      <w:r w:rsidRPr="00CD4DFB">
        <w:rPr>
          <w:sz w:val="16"/>
        </w:rPr>
        <w:t xml:space="preserve">European </w:t>
      </w:r>
      <w:proofErr w:type="spellStart"/>
      <w:r w:rsidRPr="00CD4DFB">
        <w:rPr>
          <w:sz w:val="16"/>
        </w:rPr>
        <w:t>Conference</w:t>
      </w:r>
      <w:proofErr w:type="spellEnd"/>
      <w:r w:rsidRPr="00CD4DFB">
        <w:rPr>
          <w:sz w:val="16"/>
        </w:rPr>
        <w:t xml:space="preserve"> of </w:t>
      </w:r>
      <w:proofErr w:type="spellStart"/>
      <w:r w:rsidRPr="00CD4DFB">
        <w:rPr>
          <w:sz w:val="16"/>
        </w:rPr>
        <w:t>Postal</w:t>
      </w:r>
      <w:proofErr w:type="spellEnd"/>
      <w:r w:rsidRPr="00CD4DFB">
        <w:rPr>
          <w:sz w:val="16"/>
        </w:rPr>
        <w:t xml:space="preserve"> and </w:t>
      </w:r>
      <w:proofErr w:type="spellStart"/>
      <w:r w:rsidRPr="00CD4DFB">
        <w:rPr>
          <w:sz w:val="16"/>
        </w:rPr>
        <w:t>Telecommunications</w:t>
      </w:r>
      <w:proofErr w:type="spellEnd"/>
      <w:r w:rsidRPr="00CD4DFB">
        <w:rPr>
          <w:sz w:val="16"/>
        </w:rPr>
        <w:t xml:space="preserve"> </w:t>
      </w:r>
      <w:proofErr w:type="spellStart"/>
      <w:r w:rsidRPr="00CD4DFB">
        <w:rPr>
          <w:sz w:val="16"/>
        </w:rPr>
        <w:t>Administrations</w:t>
      </w:r>
      <w:proofErr w:type="spellEnd"/>
      <w:r>
        <w:rPr>
          <w:sz w:val="16"/>
        </w:rPr>
        <w:t xml:space="preserve"> - Postai és Távközlési Igazgatások Európai Értekezlete</w:t>
      </w:r>
    </w:p>
  </w:footnote>
  <w:footnote w:id="2">
    <w:p w14:paraId="14AA17EF" w14:textId="77777777" w:rsidR="00E01EDB" w:rsidRPr="00E9609E" w:rsidRDefault="00E01EDB" w:rsidP="00C75341">
      <w:pPr>
        <w:pStyle w:val="Lbjegyzetszveg"/>
        <w:rPr>
          <w:rFonts w:ascii="Arial" w:hAnsi="Arial" w:cs="Arial"/>
          <w:bCs/>
        </w:rPr>
      </w:pPr>
      <w:r w:rsidRPr="00E9609E">
        <w:rPr>
          <w:rStyle w:val="Lbjegyzet-hivatkozs"/>
          <w:sz w:val="16"/>
        </w:rPr>
        <w:footnoteRef/>
      </w:r>
      <w:r w:rsidRPr="00E9609E">
        <w:rPr>
          <w:rStyle w:val="Lbjegyzet-hivatkozs"/>
          <w:sz w:val="16"/>
        </w:rPr>
        <w:t xml:space="preserve"> </w:t>
      </w:r>
      <w:r w:rsidRPr="00E9609E">
        <w:rPr>
          <w:bCs/>
          <w:sz w:val="16"/>
        </w:rPr>
        <w:t xml:space="preserve">Mobile/Fixed </w:t>
      </w:r>
      <w:proofErr w:type="spellStart"/>
      <w:r w:rsidRPr="00E9609E">
        <w:rPr>
          <w:bCs/>
          <w:sz w:val="16"/>
        </w:rPr>
        <w:t>Communications</w:t>
      </w:r>
      <w:proofErr w:type="spellEnd"/>
      <w:r w:rsidRPr="00E9609E">
        <w:rPr>
          <w:bCs/>
          <w:sz w:val="16"/>
        </w:rPr>
        <w:t xml:space="preserve"> </w:t>
      </w:r>
      <w:proofErr w:type="spellStart"/>
      <w:r w:rsidRPr="00E9609E">
        <w:rPr>
          <w:bCs/>
          <w:sz w:val="16"/>
        </w:rPr>
        <w:t>Networks</w:t>
      </w:r>
      <w:proofErr w:type="spellEnd"/>
      <w:r w:rsidRPr="00E9609E">
        <w:rPr>
          <w:bCs/>
          <w:sz w:val="16"/>
        </w:rPr>
        <w:t xml:space="preserve"> (Az állandóhelyű és a mozgó vezetéknélküli kommunikációs szolgálatok konvergenciája kapcsán a CEPT szabályozásában bevezetésre került az MFCN (Mobile/Fixed </w:t>
      </w:r>
      <w:proofErr w:type="spellStart"/>
      <w:r w:rsidRPr="00E9609E">
        <w:rPr>
          <w:bCs/>
          <w:sz w:val="16"/>
        </w:rPr>
        <w:t>Communication</w:t>
      </w:r>
      <w:proofErr w:type="spellEnd"/>
      <w:r w:rsidRPr="00E9609E">
        <w:rPr>
          <w:bCs/>
          <w:sz w:val="16"/>
        </w:rPr>
        <w:t xml:space="preserve"> </w:t>
      </w:r>
      <w:proofErr w:type="spellStart"/>
      <w:r w:rsidRPr="00E9609E">
        <w:rPr>
          <w:bCs/>
          <w:sz w:val="16"/>
        </w:rPr>
        <w:t>Networks</w:t>
      </w:r>
      <w:proofErr w:type="spellEnd"/>
      <w:r w:rsidRPr="00E9609E">
        <w:rPr>
          <w:bCs/>
          <w:sz w:val="16"/>
        </w:rPr>
        <w:t xml:space="preserve">) gyűjtőfogalom. Ide tartoznak az ITU szóhasználat szerinti IMT (International Mobile </w:t>
      </w:r>
      <w:proofErr w:type="spellStart"/>
      <w:r w:rsidRPr="00E9609E">
        <w:rPr>
          <w:bCs/>
          <w:sz w:val="16"/>
        </w:rPr>
        <w:t>Telecommunication</w:t>
      </w:r>
      <w:proofErr w:type="spellEnd"/>
      <w:r w:rsidRPr="00E9609E">
        <w:rPr>
          <w:bCs/>
          <w:sz w:val="16"/>
        </w:rPr>
        <w:t>) rendszerek is.)</w:t>
      </w:r>
    </w:p>
  </w:footnote>
  <w:footnote w:id="3">
    <w:p w14:paraId="27A8DE2F" w14:textId="77777777" w:rsidR="00E01EDB" w:rsidRPr="00F9670C" w:rsidRDefault="00E01EDB" w:rsidP="0059329E">
      <w:pPr>
        <w:pStyle w:val="Lbjegyzetszveg"/>
        <w:rPr>
          <w:sz w:val="16"/>
        </w:rPr>
      </w:pPr>
      <w:r>
        <w:rPr>
          <w:rStyle w:val="Lbjegyzet-hivatkozs"/>
        </w:rPr>
        <w:footnoteRef/>
      </w:r>
      <w:r w:rsidRPr="00F9670C">
        <w:rPr>
          <w:sz w:val="16"/>
        </w:rPr>
        <w:t xml:space="preserve">Time </w:t>
      </w:r>
      <w:proofErr w:type="spellStart"/>
      <w:r w:rsidRPr="00F9670C">
        <w:rPr>
          <w:sz w:val="16"/>
        </w:rPr>
        <w:t>division</w:t>
      </w:r>
      <w:proofErr w:type="spellEnd"/>
      <w:r w:rsidRPr="00F9670C">
        <w:rPr>
          <w:sz w:val="16"/>
        </w:rPr>
        <w:t xml:space="preserve"> duplex, a kommunikáció </w:t>
      </w:r>
      <w:proofErr w:type="spellStart"/>
      <w:r w:rsidRPr="00F9670C">
        <w:rPr>
          <w:sz w:val="16"/>
        </w:rPr>
        <w:t>kétirányúsítását</w:t>
      </w:r>
      <w:proofErr w:type="spellEnd"/>
      <w:r w:rsidRPr="00F9670C">
        <w:rPr>
          <w:sz w:val="16"/>
        </w:rPr>
        <w:t xml:space="preserve"> időosztás elvén megvalósító módszer</w:t>
      </w:r>
    </w:p>
  </w:footnote>
  <w:footnote w:id="4">
    <w:p w14:paraId="14608BE4" w14:textId="3241C959" w:rsidR="00E01EDB" w:rsidRPr="003355EA" w:rsidRDefault="00E01EDB">
      <w:pPr>
        <w:pStyle w:val="Lbjegyzetszveg"/>
        <w:rPr>
          <w:sz w:val="16"/>
          <w:szCs w:val="16"/>
        </w:rPr>
      </w:pPr>
    </w:p>
  </w:footnote>
  <w:footnote w:id="5">
    <w:p w14:paraId="56E362FF" w14:textId="77777777" w:rsidR="00E01EDB" w:rsidRPr="00CB7D6D" w:rsidRDefault="00E01EDB">
      <w:pPr>
        <w:pStyle w:val="Lbjegyzetszveg"/>
        <w:rPr>
          <w:rStyle w:val="Lbjegyzet-hivatkozs"/>
          <w:sz w:val="16"/>
          <w:szCs w:val="16"/>
          <w:vertAlign w:val="baseline"/>
        </w:rPr>
      </w:pPr>
      <w:r w:rsidRPr="00CB7D6D">
        <w:rPr>
          <w:rStyle w:val="Lbjegyzet-hivatkozs"/>
          <w:sz w:val="16"/>
          <w:szCs w:val="16"/>
        </w:rPr>
        <w:footnoteRef/>
      </w:r>
      <w:r w:rsidRPr="00CB7D6D">
        <w:rPr>
          <w:rStyle w:val="Lbjegyzet-hivatkozs"/>
          <w:sz w:val="16"/>
          <w:szCs w:val="16"/>
        </w:rPr>
        <w:t xml:space="preserve"> </w:t>
      </w:r>
      <w:r w:rsidRPr="00CB7D6D">
        <w:rPr>
          <w:rStyle w:val="Lbjegyzet-hivatkozs"/>
          <w:sz w:val="16"/>
          <w:szCs w:val="16"/>
          <w:vertAlign w:val="baseline"/>
        </w:rPr>
        <w:t>egy többéves rádióspektrum-politikai program létrehozásáról szóló 2012. március 14-i 243/2012/EU parlamenti és tanácsi határozat</w:t>
      </w:r>
      <w:r w:rsidRPr="0088177F">
        <w:rPr>
          <w:rStyle w:val="Lbjegyzet-hivatkozs"/>
          <w:sz w:val="16"/>
          <w:szCs w:val="16"/>
          <w:vertAlign w:val="baseline"/>
        </w:rPr>
        <w:t xml:space="preserve"> </w:t>
      </w:r>
      <w:r>
        <w:rPr>
          <w:sz w:val="16"/>
          <w:szCs w:val="16"/>
        </w:rPr>
        <w:t>–</w:t>
      </w:r>
      <w:r w:rsidRPr="0088177F">
        <w:rPr>
          <w:rStyle w:val="Lbjegyzet-hivatkozs"/>
          <w:sz w:val="16"/>
          <w:szCs w:val="16"/>
          <w:vertAlign w:val="baseline"/>
        </w:rPr>
        <w:t xml:space="preserve"> </w:t>
      </w:r>
      <w:proofErr w:type="spellStart"/>
      <w:r w:rsidRPr="003355EA">
        <w:rPr>
          <w:rStyle w:val="Lbjegyzet-hivatkozs"/>
          <w:sz w:val="16"/>
          <w:szCs w:val="16"/>
          <w:vertAlign w:val="baseline"/>
        </w:rPr>
        <w:t>Radio</w:t>
      </w:r>
      <w:proofErr w:type="spellEnd"/>
      <w:r w:rsidRPr="003355EA">
        <w:rPr>
          <w:rStyle w:val="Lbjegyzet-hivatkozs"/>
          <w:sz w:val="16"/>
          <w:szCs w:val="16"/>
          <w:vertAlign w:val="baseline"/>
        </w:rPr>
        <w:t xml:space="preserve"> </w:t>
      </w:r>
      <w:proofErr w:type="spellStart"/>
      <w:r w:rsidRPr="003355EA">
        <w:rPr>
          <w:rStyle w:val="Lbjegyzet-hivatkozs"/>
          <w:sz w:val="16"/>
          <w:szCs w:val="16"/>
          <w:vertAlign w:val="baseline"/>
        </w:rPr>
        <w:t>Spectum</w:t>
      </w:r>
      <w:proofErr w:type="spellEnd"/>
      <w:r w:rsidRPr="003355EA">
        <w:rPr>
          <w:rStyle w:val="Lbjegyzet-hivatkozs"/>
          <w:sz w:val="16"/>
          <w:szCs w:val="16"/>
          <w:vertAlign w:val="baseline"/>
        </w:rPr>
        <w:t xml:space="preserve"> Policy Programme</w:t>
      </w:r>
      <w:r>
        <w:rPr>
          <w:rStyle w:val="Lbjegyzet-hivatkozs"/>
          <w:sz w:val="16"/>
          <w:szCs w:val="16"/>
          <w:vertAlign w:val="baseline"/>
        </w:rPr>
        <w:t>,</w:t>
      </w:r>
      <w:r w:rsidRPr="003355EA">
        <w:rPr>
          <w:sz w:val="16"/>
          <w:szCs w:val="16"/>
        </w:rPr>
        <w:t xml:space="preserve"> </w:t>
      </w:r>
      <w:r>
        <w:rPr>
          <w:sz w:val="16"/>
          <w:szCs w:val="16"/>
        </w:rPr>
        <w:t>RSPP</w:t>
      </w:r>
    </w:p>
  </w:footnote>
  <w:footnote w:id="6">
    <w:p w14:paraId="6C59C12D" w14:textId="77777777" w:rsidR="00E01EDB" w:rsidRPr="003355EA" w:rsidRDefault="00E01EDB">
      <w:pPr>
        <w:pStyle w:val="Lbjegyzetszveg"/>
        <w:rPr>
          <w:sz w:val="16"/>
          <w:szCs w:val="16"/>
        </w:rPr>
      </w:pPr>
      <w:r w:rsidRPr="003355EA">
        <w:rPr>
          <w:rStyle w:val="Lbjegyzet-hivatkozs"/>
          <w:sz w:val="16"/>
          <w:szCs w:val="16"/>
        </w:rPr>
        <w:footnoteRef/>
      </w:r>
      <w:r w:rsidRPr="003355EA">
        <w:rPr>
          <w:sz w:val="16"/>
          <w:szCs w:val="16"/>
        </w:rPr>
        <w:t xml:space="preserve"> 2014/641/EU és 2016/339/EU bizottsági határozatok</w:t>
      </w:r>
    </w:p>
  </w:footnote>
  <w:footnote w:id="7">
    <w:p w14:paraId="4A54D4CE" w14:textId="77777777" w:rsidR="00E01EDB" w:rsidRPr="003355EA" w:rsidRDefault="00E01EDB">
      <w:pPr>
        <w:pStyle w:val="Lbjegyzetszveg"/>
        <w:rPr>
          <w:sz w:val="16"/>
        </w:rPr>
      </w:pPr>
      <w:r w:rsidRPr="003355EA">
        <w:rPr>
          <w:rStyle w:val="Lbjegyzet-hivatkozs"/>
          <w:sz w:val="16"/>
        </w:rPr>
        <w:footnoteRef/>
      </w:r>
      <w:r w:rsidRPr="003355EA">
        <w:rPr>
          <w:sz w:val="16"/>
        </w:rPr>
        <w:t xml:space="preserve"> Rádióspektrum Politikai Csoport</w:t>
      </w:r>
    </w:p>
  </w:footnote>
  <w:footnote w:id="8">
    <w:p w14:paraId="3374CD9C" w14:textId="77777777" w:rsidR="00E01EDB" w:rsidRPr="00CB7D6D" w:rsidRDefault="00E01EDB" w:rsidP="00C05447">
      <w:pPr>
        <w:pStyle w:val="Lbjegyzetszveg"/>
        <w:rPr>
          <w:rStyle w:val="Lbjegyzet-hivatkozs"/>
          <w:sz w:val="16"/>
          <w:szCs w:val="16"/>
          <w:vertAlign w:val="baseline"/>
        </w:rPr>
      </w:pPr>
      <w:r w:rsidRPr="00CB7D6D">
        <w:rPr>
          <w:rStyle w:val="Lbjegyzet-hivatkozs"/>
          <w:sz w:val="16"/>
        </w:rPr>
        <w:footnoteRef/>
      </w:r>
      <w:r>
        <w:t xml:space="preserve"> </w:t>
      </w:r>
      <w:r w:rsidRPr="00CB7D6D">
        <w:rPr>
          <w:rStyle w:val="Lbjegyzet-hivatkozs"/>
          <w:sz w:val="16"/>
          <w:szCs w:val="16"/>
          <w:vertAlign w:val="baseline"/>
        </w:rPr>
        <w:t>EC, DG-CONNECT (1103207): „</w:t>
      </w:r>
      <w:proofErr w:type="spellStart"/>
      <w:r w:rsidRPr="00CB7D6D">
        <w:rPr>
          <w:rStyle w:val="Lbjegyzet-hivatkozs"/>
          <w:sz w:val="16"/>
          <w:szCs w:val="16"/>
          <w:vertAlign w:val="baseline"/>
        </w:rPr>
        <w:t>Mandate</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to</w:t>
      </w:r>
      <w:proofErr w:type="spellEnd"/>
      <w:r w:rsidRPr="00CB7D6D">
        <w:rPr>
          <w:rStyle w:val="Lbjegyzet-hivatkozs"/>
          <w:sz w:val="16"/>
          <w:szCs w:val="16"/>
          <w:vertAlign w:val="baseline"/>
        </w:rPr>
        <w:t xml:space="preserve"> CEPT </w:t>
      </w:r>
      <w:proofErr w:type="spellStart"/>
      <w:r w:rsidRPr="00CB7D6D">
        <w:rPr>
          <w:rStyle w:val="Lbjegyzet-hivatkozs"/>
          <w:sz w:val="16"/>
          <w:szCs w:val="16"/>
          <w:vertAlign w:val="baseline"/>
        </w:rPr>
        <w:t>to</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develop</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harmonised</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technical</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conditions</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for</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the</w:t>
      </w:r>
      <w:proofErr w:type="spellEnd"/>
      <w:r w:rsidRPr="00CB7D6D">
        <w:rPr>
          <w:rStyle w:val="Lbjegyzet-hivatkozs"/>
          <w:sz w:val="16"/>
          <w:szCs w:val="16"/>
          <w:vertAlign w:val="baseline"/>
        </w:rPr>
        <w:t xml:space="preserve"> 2300-2400 MHz ('2.3 </w:t>
      </w:r>
      <w:proofErr w:type="spellStart"/>
      <w:r w:rsidRPr="00CB7D6D">
        <w:rPr>
          <w:rStyle w:val="Lbjegyzet-hivatkozs"/>
          <w:sz w:val="16"/>
          <w:szCs w:val="16"/>
          <w:vertAlign w:val="baseline"/>
        </w:rPr>
        <w:t>GHz</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frequency</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band</w:t>
      </w:r>
      <w:proofErr w:type="spellEnd"/>
      <w:r w:rsidRPr="00CB7D6D">
        <w:rPr>
          <w:rStyle w:val="Lbjegyzet-hivatkozs"/>
          <w:sz w:val="16"/>
          <w:szCs w:val="16"/>
          <w:vertAlign w:val="baseline"/>
        </w:rPr>
        <w:t xml:space="preserve"> in </w:t>
      </w:r>
      <w:proofErr w:type="spellStart"/>
      <w:r w:rsidRPr="00CB7D6D">
        <w:rPr>
          <w:rStyle w:val="Lbjegyzet-hivatkozs"/>
          <w:sz w:val="16"/>
          <w:szCs w:val="16"/>
          <w:vertAlign w:val="baseline"/>
        </w:rPr>
        <w:t>the</w:t>
      </w:r>
      <w:proofErr w:type="spellEnd"/>
      <w:r w:rsidRPr="00CB7D6D">
        <w:rPr>
          <w:rStyle w:val="Lbjegyzet-hivatkozs"/>
          <w:sz w:val="16"/>
          <w:szCs w:val="16"/>
          <w:vertAlign w:val="baseline"/>
        </w:rPr>
        <w:t xml:space="preserve"> EU </w:t>
      </w:r>
      <w:proofErr w:type="spellStart"/>
      <w:r w:rsidRPr="00CB7D6D">
        <w:rPr>
          <w:rStyle w:val="Lbjegyzet-hivatkozs"/>
          <w:sz w:val="16"/>
          <w:szCs w:val="16"/>
          <w:vertAlign w:val="baseline"/>
        </w:rPr>
        <w:t>for</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the</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provision</w:t>
      </w:r>
      <w:proofErr w:type="spellEnd"/>
      <w:r w:rsidRPr="00CB7D6D">
        <w:rPr>
          <w:rStyle w:val="Lbjegyzet-hivatkozs"/>
          <w:sz w:val="16"/>
          <w:szCs w:val="16"/>
          <w:vertAlign w:val="baseline"/>
        </w:rPr>
        <w:t xml:space="preserve"> of </w:t>
      </w:r>
      <w:proofErr w:type="spellStart"/>
      <w:r w:rsidRPr="00CB7D6D">
        <w:rPr>
          <w:rStyle w:val="Lbjegyzet-hivatkozs"/>
          <w:sz w:val="16"/>
          <w:szCs w:val="16"/>
          <w:vertAlign w:val="baseline"/>
        </w:rPr>
        <w:t>wireless</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broadband</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electronic</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communications</w:t>
      </w:r>
      <w:proofErr w:type="spellEnd"/>
      <w:r w:rsidRPr="00CB7D6D">
        <w:rPr>
          <w:rStyle w:val="Lbjegyzet-hivatkozs"/>
          <w:sz w:val="16"/>
          <w:szCs w:val="16"/>
          <w:vertAlign w:val="baseline"/>
        </w:rPr>
        <w:t xml:space="preserve"> </w:t>
      </w:r>
      <w:proofErr w:type="spellStart"/>
      <w:r w:rsidRPr="00CB7D6D">
        <w:rPr>
          <w:rStyle w:val="Lbjegyzet-hivatkozs"/>
          <w:sz w:val="16"/>
          <w:szCs w:val="16"/>
          <w:vertAlign w:val="baseline"/>
        </w:rPr>
        <w:t>services</w:t>
      </w:r>
      <w:proofErr w:type="spellEnd"/>
      <w:r w:rsidRPr="00CB7D6D">
        <w:rPr>
          <w:rStyle w:val="Lbjegyzet-hivatkozs"/>
          <w:sz w:val="16"/>
          <w:szCs w:val="16"/>
          <w:vertAlign w:val="baseline"/>
        </w:rPr>
        <w:t>”, (2014.03.)</w:t>
      </w:r>
      <w:r w:rsidRPr="005C3427">
        <w:t xml:space="preserve"> </w:t>
      </w:r>
      <w:hyperlink r:id="rId1" w:history="1">
        <w:r w:rsidRPr="00A118AC">
          <w:rPr>
            <w:rStyle w:val="Hiperhivatkozs"/>
            <w:sz w:val="16"/>
            <w:szCs w:val="16"/>
          </w:rPr>
          <w:t>https://ec.europa.eu/digital-single-market/en/news/radio-spectrum-cept-mandates-0</w:t>
        </w:r>
      </w:hyperlink>
      <w:r>
        <w:rPr>
          <w:sz w:val="16"/>
          <w:szCs w:val="16"/>
        </w:rPr>
        <w:t xml:space="preserve">  </w:t>
      </w:r>
    </w:p>
  </w:footnote>
  <w:footnote w:id="9">
    <w:p w14:paraId="5F4EE800" w14:textId="3F0F9E66" w:rsidR="00E01EDB" w:rsidRDefault="00E01EDB">
      <w:pPr>
        <w:pStyle w:val="Lbjegyzetszveg"/>
      </w:pPr>
      <w:r>
        <w:rPr>
          <w:rStyle w:val="Lbjegyzet-hivatkozs"/>
        </w:rPr>
        <w:footnoteRef/>
      </w:r>
      <w:r>
        <w:t xml:space="preserve"> </w:t>
      </w:r>
      <w:r w:rsidRPr="00416809">
        <w:rPr>
          <w:rStyle w:val="Lbjegyzet-hivatkozs"/>
          <w:sz w:val="16"/>
          <w:szCs w:val="16"/>
          <w:vertAlign w:val="baseline"/>
        </w:rPr>
        <w:t xml:space="preserve">Elektronikus </w:t>
      </w:r>
      <w:r>
        <w:rPr>
          <w:sz w:val="16"/>
          <w:szCs w:val="16"/>
        </w:rPr>
        <w:t>H</w:t>
      </w:r>
      <w:r w:rsidRPr="00416809">
        <w:rPr>
          <w:rStyle w:val="Lbjegyzet-hivatkozs"/>
          <w:sz w:val="16"/>
          <w:szCs w:val="16"/>
          <w:vertAlign w:val="baseline"/>
        </w:rPr>
        <w:t xml:space="preserve">írközlési </w:t>
      </w:r>
      <w:r>
        <w:rPr>
          <w:sz w:val="16"/>
          <w:szCs w:val="16"/>
        </w:rPr>
        <w:t>B</w:t>
      </w:r>
      <w:r w:rsidRPr="00416809">
        <w:rPr>
          <w:rStyle w:val="Lbjegyzet-hivatkozs"/>
          <w:sz w:val="16"/>
          <w:szCs w:val="16"/>
          <w:vertAlign w:val="baseline"/>
        </w:rPr>
        <w:t>izottsági (</w:t>
      </w:r>
      <w:proofErr w:type="spellStart"/>
      <w:r w:rsidRPr="00416809">
        <w:rPr>
          <w:rStyle w:val="Lbjegyzet-hivatkozs"/>
          <w:sz w:val="16"/>
          <w:szCs w:val="16"/>
          <w:vertAlign w:val="baseline"/>
        </w:rPr>
        <w:t>Electronic</w:t>
      </w:r>
      <w:proofErr w:type="spellEnd"/>
      <w:r w:rsidRPr="00416809">
        <w:rPr>
          <w:rStyle w:val="Lbjegyzet-hivatkozs"/>
          <w:sz w:val="16"/>
          <w:szCs w:val="16"/>
          <w:vertAlign w:val="baseline"/>
        </w:rPr>
        <w:t xml:space="preserve"> </w:t>
      </w:r>
      <w:proofErr w:type="spellStart"/>
      <w:r w:rsidRPr="00416809">
        <w:rPr>
          <w:rStyle w:val="Lbjegyzet-hivatkozs"/>
          <w:sz w:val="16"/>
          <w:szCs w:val="16"/>
          <w:vertAlign w:val="baseline"/>
        </w:rPr>
        <w:t>Communications</w:t>
      </w:r>
      <w:proofErr w:type="spellEnd"/>
      <w:r w:rsidRPr="00416809">
        <w:rPr>
          <w:rStyle w:val="Lbjegyzet-hivatkozs"/>
          <w:sz w:val="16"/>
          <w:szCs w:val="16"/>
          <w:vertAlign w:val="baseline"/>
        </w:rPr>
        <w:t xml:space="preserve"> </w:t>
      </w:r>
      <w:proofErr w:type="spellStart"/>
      <w:r w:rsidRPr="00416809">
        <w:rPr>
          <w:rStyle w:val="Lbjegyzet-hivatkozs"/>
          <w:sz w:val="16"/>
          <w:szCs w:val="16"/>
          <w:vertAlign w:val="baseline"/>
        </w:rPr>
        <w:t>Committee</w:t>
      </w:r>
      <w:proofErr w:type="spellEnd"/>
      <w:r w:rsidRPr="00416809">
        <w:rPr>
          <w:rStyle w:val="Lbjegyzet-hivatkozs"/>
          <w:sz w:val="16"/>
          <w:szCs w:val="16"/>
          <w:vertAlign w:val="baseline"/>
        </w:rPr>
        <w:t>)</w:t>
      </w:r>
    </w:p>
  </w:footnote>
  <w:footnote w:id="10">
    <w:p w14:paraId="2300AD4B" w14:textId="77777777" w:rsidR="00E01EDB" w:rsidRPr="005A027E" w:rsidRDefault="00E01EDB" w:rsidP="00C05447">
      <w:pPr>
        <w:pStyle w:val="Lbjegyzetszveg"/>
        <w:rPr>
          <w:sz w:val="16"/>
          <w:szCs w:val="16"/>
        </w:rPr>
      </w:pPr>
      <w:r w:rsidRPr="005A027E">
        <w:rPr>
          <w:rStyle w:val="Lbjegyzet-hivatkozs"/>
          <w:sz w:val="16"/>
          <w:szCs w:val="16"/>
        </w:rPr>
        <w:footnoteRef/>
      </w:r>
      <w:r w:rsidRPr="005A027E">
        <w:rPr>
          <w:sz w:val="16"/>
          <w:szCs w:val="16"/>
        </w:rPr>
        <w:t xml:space="preserve"> New </w:t>
      </w:r>
      <w:proofErr w:type="spellStart"/>
      <w:r w:rsidRPr="005A027E">
        <w:rPr>
          <w:sz w:val="16"/>
          <w:szCs w:val="16"/>
        </w:rPr>
        <w:t>Radio</w:t>
      </w:r>
      <w:proofErr w:type="spellEnd"/>
    </w:p>
  </w:footnote>
  <w:footnote w:id="11">
    <w:p w14:paraId="6C04E4FE" w14:textId="775CF97A" w:rsidR="00E01EDB" w:rsidRPr="003355EA" w:rsidRDefault="00E01EDB">
      <w:pPr>
        <w:pStyle w:val="Lbjegyzetszveg"/>
        <w:rPr>
          <w:sz w:val="16"/>
        </w:rPr>
      </w:pPr>
      <w:r w:rsidRPr="003355EA">
        <w:rPr>
          <w:rStyle w:val="Lbjegyzet-hivatkozs"/>
          <w:sz w:val="16"/>
        </w:rPr>
        <w:footnoteRef/>
      </w:r>
      <w:r w:rsidRPr="003355EA">
        <w:rPr>
          <w:sz w:val="16"/>
        </w:rPr>
        <w:t xml:space="preserve"> </w:t>
      </w:r>
      <w:proofErr w:type="gramStart"/>
      <w:r w:rsidRPr="0068384E">
        <w:rPr>
          <w:sz w:val="16"/>
        </w:rPr>
        <w:t>pilóta</w:t>
      </w:r>
      <w:proofErr w:type="gramEnd"/>
      <w:r w:rsidRPr="0068384E">
        <w:rPr>
          <w:sz w:val="16"/>
        </w:rPr>
        <w:t xml:space="preserve"> nélküli légijármű-rendszer</w:t>
      </w:r>
      <w:r>
        <w:rPr>
          <w:sz w:val="16"/>
        </w:rPr>
        <w:t xml:space="preserve"> - </w:t>
      </w:r>
      <w:proofErr w:type="spellStart"/>
      <w:r w:rsidRPr="003355EA">
        <w:rPr>
          <w:sz w:val="16"/>
        </w:rPr>
        <w:t>Unmanned</w:t>
      </w:r>
      <w:proofErr w:type="spellEnd"/>
      <w:r w:rsidRPr="003355EA">
        <w:rPr>
          <w:sz w:val="16"/>
        </w:rPr>
        <w:t xml:space="preserve"> </w:t>
      </w:r>
      <w:proofErr w:type="spellStart"/>
      <w:r w:rsidRPr="003355EA">
        <w:rPr>
          <w:sz w:val="16"/>
        </w:rPr>
        <w:t>Aerial</w:t>
      </w:r>
      <w:proofErr w:type="spellEnd"/>
      <w:r w:rsidRPr="003355EA">
        <w:rPr>
          <w:sz w:val="16"/>
        </w:rPr>
        <w:t xml:space="preserve"> System</w:t>
      </w:r>
    </w:p>
  </w:footnote>
  <w:footnote w:id="12">
    <w:p w14:paraId="12D1E0CF" w14:textId="50F11FE1" w:rsidR="00E01EDB" w:rsidRPr="00EF7841" w:rsidRDefault="00E01EDB" w:rsidP="00CB7D6D">
      <w:pPr>
        <w:pStyle w:val="Irodalomjegyzkfelsorolsnmhh"/>
        <w:numPr>
          <w:ilvl w:val="0"/>
          <w:numId w:val="0"/>
        </w:numPr>
        <w:spacing w:before="120" w:after="0"/>
        <w:rPr>
          <w:sz w:val="16"/>
          <w:szCs w:val="16"/>
        </w:rPr>
      </w:pPr>
      <w:r w:rsidRPr="00EF7841">
        <w:rPr>
          <w:rStyle w:val="Lbjegyzet-hivatkozs"/>
          <w:sz w:val="16"/>
          <w:szCs w:val="16"/>
        </w:rPr>
        <w:footnoteRef/>
      </w:r>
      <w:r w:rsidRPr="00EF7841">
        <w:rPr>
          <w:sz w:val="16"/>
          <w:szCs w:val="16"/>
        </w:rPr>
        <w:t xml:space="preserve"> ITU-R </w:t>
      </w:r>
      <w:proofErr w:type="spellStart"/>
      <w:r w:rsidRPr="00EF7841">
        <w:rPr>
          <w:sz w:val="16"/>
          <w:szCs w:val="16"/>
        </w:rPr>
        <w:t>Recommendation</w:t>
      </w:r>
      <w:proofErr w:type="spellEnd"/>
      <w:r w:rsidRPr="00EF7841">
        <w:rPr>
          <w:sz w:val="16"/>
          <w:szCs w:val="16"/>
        </w:rPr>
        <w:t xml:space="preserve"> ITU-R M.1036-6: </w:t>
      </w:r>
      <w:proofErr w:type="spellStart"/>
      <w:r w:rsidRPr="00EF7841">
        <w:rPr>
          <w:rFonts w:ascii="Arial" w:eastAsia="Times New Roman" w:hAnsi="Arial" w:cs="Arial"/>
          <w:sz w:val="16"/>
          <w:szCs w:val="16"/>
          <w:lang w:eastAsia="hu-HU"/>
        </w:rPr>
        <w:t>Frequency</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arrangements</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for</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implementation</w:t>
      </w:r>
      <w:proofErr w:type="spellEnd"/>
      <w:r w:rsidRPr="00EF7841">
        <w:rPr>
          <w:rFonts w:ascii="Arial" w:eastAsia="Times New Roman" w:hAnsi="Arial" w:cs="Arial"/>
          <w:sz w:val="16"/>
          <w:szCs w:val="16"/>
          <w:lang w:eastAsia="hu-HU"/>
        </w:rPr>
        <w:t xml:space="preserve"> of </w:t>
      </w:r>
      <w:proofErr w:type="spellStart"/>
      <w:r w:rsidRPr="00EF7841">
        <w:rPr>
          <w:rFonts w:ascii="Arial" w:eastAsia="Times New Roman" w:hAnsi="Arial" w:cs="Arial"/>
          <w:sz w:val="16"/>
          <w:szCs w:val="16"/>
          <w:lang w:eastAsia="hu-HU"/>
        </w:rPr>
        <w:t>the</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terrestrial</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component</w:t>
      </w:r>
      <w:proofErr w:type="spellEnd"/>
      <w:r w:rsidRPr="00EF7841">
        <w:rPr>
          <w:rFonts w:ascii="Arial" w:eastAsia="Times New Roman" w:hAnsi="Arial" w:cs="Arial"/>
          <w:sz w:val="16"/>
          <w:szCs w:val="16"/>
          <w:lang w:eastAsia="hu-HU"/>
        </w:rPr>
        <w:t xml:space="preserve"> of International Mobile </w:t>
      </w:r>
      <w:proofErr w:type="spellStart"/>
      <w:r w:rsidRPr="00EF7841">
        <w:rPr>
          <w:rFonts w:ascii="Arial" w:eastAsia="Times New Roman" w:hAnsi="Arial" w:cs="Arial"/>
          <w:sz w:val="16"/>
          <w:szCs w:val="16"/>
          <w:lang w:eastAsia="hu-HU"/>
        </w:rPr>
        <w:t>Telecommunications</w:t>
      </w:r>
      <w:proofErr w:type="spellEnd"/>
      <w:r w:rsidRPr="00EF7841">
        <w:rPr>
          <w:rFonts w:ascii="Arial" w:eastAsia="Times New Roman" w:hAnsi="Arial" w:cs="Arial"/>
          <w:sz w:val="16"/>
          <w:szCs w:val="16"/>
          <w:lang w:eastAsia="hu-HU"/>
        </w:rPr>
        <w:t xml:space="preserve">  in </w:t>
      </w:r>
      <w:proofErr w:type="spellStart"/>
      <w:r w:rsidRPr="00EF7841">
        <w:rPr>
          <w:rFonts w:ascii="Arial" w:eastAsia="Times New Roman" w:hAnsi="Arial" w:cs="Arial"/>
          <w:sz w:val="16"/>
          <w:szCs w:val="16"/>
          <w:lang w:eastAsia="hu-HU"/>
        </w:rPr>
        <w:t>the</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bands</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identified</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for</w:t>
      </w:r>
      <w:proofErr w:type="spellEnd"/>
      <w:r w:rsidRPr="00EF7841">
        <w:rPr>
          <w:rFonts w:ascii="Arial" w:eastAsia="Times New Roman" w:hAnsi="Arial" w:cs="Arial"/>
          <w:sz w:val="16"/>
          <w:szCs w:val="16"/>
          <w:lang w:eastAsia="hu-HU"/>
        </w:rPr>
        <w:t xml:space="preserve"> IMT in </w:t>
      </w:r>
      <w:proofErr w:type="spellStart"/>
      <w:r w:rsidRPr="00EF7841">
        <w:rPr>
          <w:rFonts w:ascii="Arial" w:eastAsia="Times New Roman" w:hAnsi="Arial" w:cs="Arial"/>
          <w:sz w:val="16"/>
          <w:szCs w:val="16"/>
          <w:lang w:eastAsia="hu-HU"/>
        </w:rPr>
        <w:t>the</w:t>
      </w:r>
      <w:proofErr w:type="spellEnd"/>
      <w:r w:rsidRPr="00EF7841">
        <w:rPr>
          <w:rFonts w:ascii="Arial" w:eastAsia="Times New Roman" w:hAnsi="Arial" w:cs="Arial"/>
          <w:sz w:val="16"/>
          <w:szCs w:val="16"/>
          <w:lang w:eastAsia="hu-HU"/>
        </w:rPr>
        <w:t xml:space="preserve"> </w:t>
      </w:r>
      <w:proofErr w:type="spellStart"/>
      <w:r w:rsidRPr="00EF7841">
        <w:rPr>
          <w:rFonts w:ascii="Arial" w:eastAsia="Times New Roman" w:hAnsi="Arial" w:cs="Arial"/>
          <w:sz w:val="16"/>
          <w:szCs w:val="16"/>
          <w:lang w:eastAsia="hu-HU"/>
        </w:rPr>
        <w:t>Radio</w:t>
      </w:r>
      <w:proofErr w:type="spellEnd"/>
      <w:r w:rsidRPr="00EF7841">
        <w:rPr>
          <w:rFonts w:ascii="Arial" w:eastAsia="Times New Roman" w:hAnsi="Arial" w:cs="Arial"/>
          <w:sz w:val="16"/>
          <w:szCs w:val="16"/>
          <w:lang w:eastAsia="hu-HU"/>
        </w:rPr>
        <w:t xml:space="preserve"> </w:t>
      </w:r>
      <w:proofErr w:type="spellStart"/>
      <w:proofErr w:type="gramStart"/>
      <w:r w:rsidRPr="00EF7841">
        <w:rPr>
          <w:rFonts w:ascii="Arial" w:eastAsia="Times New Roman" w:hAnsi="Arial" w:cs="Arial"/>
          <w:sz w:val="16"/>
          <w:szCs w:val="16"/>
          <w:lang w:eastAsia="hu-HU"/>
        </w:rPr>
        <w:t>Regulations</w:t>
      </w:r>
      <w:proofErr w:type="spellEnd"/>
      <w:r w:rsidRPr="00EF7841">
        <w:rPr>
          <w:rFonts w:ascii="Arial" w:eastAsia="Times New Roman" w:hAnsi="Arial" w:cs="Arial"/>
          <w:sz w:val="16"/>
          <w:szCs w:val="16"/>
          <w:lang w:eastAsia="hu-HU"/>
        </w:rPr>
        <w:t xml:space="preserve">  (</w:t>
      </w:r>
      <w:proofErr w:type="gramEnd"/>
      <w:r>
        <w:rPr>
          <w:rFonts w:ascii="Arial" w:eastAsia="Times New Roman" w:hAnsi="Arial" w:cs="Arial"/>
          <w:sz w:val="16"/>
          <w:szCs w:val="16"/>
          <w:lang w:eastAsia="hu-HU"/>
        </w:rPr>
        <w:t>10/</w:t>
      </w:r>
      <w:r w:rsidRPr="00EF7841">
        <w:rPr>
          <w:rFonts w:ascii="Arial" w:eastAsia="Times New Roman" w:hAnsi="Arial" w:cs="Arial"/>
          <w:sz w:val="16"/>
          <w:szCs w:val="16"/>
          <w:lang w:eastAsia="hu-HU"/>
        </w:rPr>
        <w:t xml:space="preserve">2019) - </w:t>
      </w:r>
      <w:r w:rsidRPr="00EF7841">
        <w:rPr>
          <w:sz w:val="16"/>
          <w:szCs w:val="16"/>
        </w:rPr>
        <w:t>IMT földi komponensének a Rádiószabályzatban az IMT számára azonosított sávokban történő bevezetésére vonatkozó frekvenciaelrendezés (</w:t>
      </w:r>
      <w:r w:rsidRPr="00EF7841">
        <w:rPr>
          <w:rFonts w:ascii="Arial" w:eastAsia="Times New Roman" w:hAnsi="Arial" w:cs="Arial"/>
          <w:sz w:val="16"/>
          <w:szCs w:val="16"/>
          <w:lang w:eastAsia="hu-HU"/>
        </w:rPr>
        <w:t>2019. október)</w:t>
      </w:r>
    </w:p>
  </w:footnote>
  <w:footnote w:id="13">
    <w:p w14:paraId="18AA147B" w14:textId="77777777" w:rsidR="00E01EDB" w:rsidRPr="00EF7841" w:rsidRDefault="00E01EDB" w:rsidP="00227955">
      <w:pPr>
        <w:pStyle w:val="Lbjegyzetszveg"/>
        <w:rPr>
          <w:sz w:val="16"/>
          <w:szCs w:val="16"/>
        </w:rPr>
      </w:pPr>
      <w:r w:rsidRPr="00EF7841">
        <w:rPr>
          <w:rStyle w:val="Lbjegyzet-hivatkozs"/>
          <w:sz w:val="16"/>
          <w:szCs w:val="16"/>
        </w:rPr>
        <w:footnoteRef/>
      </w:r>
      <w:r w:rsidRPr="00EF7841">
        <w:rPr>
          <w:sz w:val="16"/>
          <w:szCs w:val="16"/>
        </w:rPr>
        <w:t xml:space="preserve"> International Mobile </w:t>
      </w:r>
      <w:proofErr w:type="spellStart"/>
      <w:r w:rsidRPr="00EF7841">
        <w:rPr>
          <w:sz w:val="16"/>
          <w:szCs w:val="16"/>
        </w:rPr>
        <w:t>Telecommunication</w:t>
      </w:r>
      <w:proofErr w:type="spellEnd"/>
      <w:r w:rsidRPr="00EF7841">
        <w:rPr>
          <w:sz w:val="16"/>
          <w:szCs w:val="16"/>
        </w:rPr>
        <w:t xml:space="preserve"> - nemzetközi mozgó távközlés</w:t>
      </w:r>
    </w:p>
  </w:footnote>
  <w:footnote w:id="14">
    <w:p w14:paraId="4FE07DC3" w14:textId="77777777" w:rsidR="00E01EDB" w:rsidRPr="00EF7841" w:rsidRDefault="00E01EDB" w:rsidP="00CB7D6D">
      <w:pPr>
        <w:pStyle w:val="Irodalomjegyzkfelsorolsnmhh"/>
        <w:numPr>
          <w:ilvl w:val="0"/>
          <w:numId w:val="0"/>
        </w:numPr>
        <w:spacing w:before="120" w:after="0"/>
        <w:rPr>
          <w:sz w:val="16"/>
          <w:szCs w:val="16"/>
        </w:rPr>
      </w:pPr>
      <w:r w:rsidRPr="00EF7841">
        <w:rPr>
          <w:rStyle w:val="Lbjegyzet-hivatkozs"/>
          <w:sz w:val="16"/>
          <w:szCs w:val="16"/>
        </w:rPr>
        <w:footnoteRef/>
      </w:r>
      <w:r w:rsidRPr="00EF7841">
        <w:rPr>
          <w:sz w:val="16"/>
          <w:szCs w:val="16"/>
        </w:rPr>
        <w:t xml:space="preserve"> ITU-R </w:t>
      </w:r>
      <w:proofErr w:type="spellStart"/>
      <w:r w:rsidRPr="00EF7841">
        <w:rPr>
          <w:sz w:val="16"/>
          <w:szCs w:val="16"/>
        </w:rPr>
        <w:t>Report</w:t>
      </w:r>
      <w:proofErr w:type="spellEnd"/>
      <w:r w:rsidRPr="00EF7841">
        <w:rPr>
          <w:sz w:val="16"/>
          <w:szCs w:val="16"/>
        </w:rPr>
        <w:t xml:space="preserve"> ITU-R SM.2404-0: </w:t>
      </w:r>
      <w:proofErr w:type="spellStart"/>
      <w:r w:rsidRPr="00EF7841">
        <w:rPr>
          <w:sz w:val="16"/>
          <w:szCs w:val="16"/>
        </w:rPr>
        <w:t>Regulatory</w:t>
      </w:r>
      <w:proofErr w:type="spellEnd"/>
      <w:r w:rsidRPr="00EF7841">
        <w:rPr>
          <w:sz w:val="16"/>
          <w:szCs w:val="16"/>
        </w:rPr>
        <w:t xml:space="preserve"> </w:t>
      </w:r>
      <w:proofErr w:type="spellStart"/>
      <w:r w:rsidRPr="00EF7841">
        <w:rPr>
          <w:sz w:val="16"/>
          <w:szCs w:val="16"/>
        </w:rPr>
        <w:t>tools</w:t>
      </w:r>
      <w:proofErr w:type="spellEnd"/>
      <w:r w:rsidRPr="00EF7841">
        <w:rPr>
          <w:sz w:val="16"/>
          <w:szCs w:val="16"/>
        </w:rPr>
        <w:t xml:space="preserve"> </w:t>
      </w:r>
      <w:proofErr w:type="spellStart"/>
      <w:r w:rsidRPr="00EF7841">
        <w:rPr>
          <w:sz w:val="16"/>
          <w:szCs w:val="16"/>
        </w:rPr>
        <w:t>to</w:t>
      </w:r>
      <w:proofErr w:type="spellEnd"/>
      <w:r w:rsidRPr="00EF7841">
        <w:rPr>
          <w:sz w:val="16"/>
          <w:szCs w:val="16"/>
        </w:rPr>
        <w:t xml:space="preserve"> </w:t>
      </w:r>
      <w:proofErr w:type="spellStart"/>
      <w:r w:rsidRPr="00EF7841">
        <w:rPr>
          <w:sz w:val="16"/>
          <w:szCs w:val="16"/>
        </w:rPr>
        <w:t>support</w:t>
      </w:r>
      <w:proofErr w:type="spellEnd"/>
      <w:r w:rsidRPr="00EF7841">
        <w:rPr>
          <w:sz w:val="16"/>
          <w:szCs w:val="16"/>
        </w:rPr>
        <w:t xml:space="preserve"> </w:t>
      </w:r>
      <w:proofErr w:type="spellStart"/>
      <w:r w:rsidRPr="00EF7841">
        <w:rPr>
          <w:sz w:val="16"/>
          <w:szCs w:val="16"/>
        </w:rPr>
        <w:t>enhanced</w:t>
      </w:r>
      <w:proofErr w:type="spellEnd"/>
      <w:r w:rsidRPr="00EF7841">
        <w:rPr>
          <w:sz w:val="16"/>
          <w:szCs w:val="16"/>
        </w:rPr>
        <w:t xml:space="preserve"> </w:t>
      </w:r>
      <w:proofErr w:type="spellStart"/>
      <w:r w:rsidRPr="00EF7841">
        <w:rPr>
          <w:sz w:val="16"/>
          <w:szCs w:val="16"/>
        </w:rPr>
        <w:t>shared</w:t>
      </w:r>
      <w:proofErr w:type="spellEnd"/>
      <w:r w:rsidRPr="00EF7841">
        <w:rPr>
          <w:sz w:val="16"/>
          <w:szCs w:val="16"/>
        </w:rPr>
        <w:t xml:space="preserve"> </w:t>
      </w:r>
      <w:proofErr w:type="spellStart"/>
      <w:r w:rsidRPr="00EF7841">
        <w:rPr>
          <w:sz w:val="16"/>
          <w:szCs w:val="16"/>
        </w:rPr>
        <w:t>use</w:t>
      </w:r>
      <w:proofErr w:type="spellEnd"/>
      <w:r w:rsidRPr="00EF7841">
        <w:rPr>
          <w:sz w:val="16"/>
          <w:szCs w:val="16"/>
        </w:rPr>
        <w:t xml:space="preserve"> of </w:t>
      </w:r>
      <w:proofErr w:type="spellStart"/>
      <w:r w:rsidRPr="00EF7841">
        <w:rPr>
          <w:sz w:val="16"/>
          <w:szCs w:val="16"/>
        </w:rPr>
        <w:t>the</w:t>
      </w:r>
      <w:proofErr w:type="spellEnd"/>
      <w:r w:rsidRPr="00EF7841">
        <w:rPr>
          <w:sz w:val="16"/>
          <w:szCs w:val="16"/>
        </w:rPr>
        <w:t xml:space="preserve"> </w:t>
      </w:r>
      <w:proofErr w:type="spellStart"/>
      <w:r w:rsidRPr="00EF7841">
        <w:rPr>
          <w:sz w:val="16"/>
          <w:szCs w:val="16"/>
        </w:rPr>
        <w:t>spectrum</w:t>
      </w:r>
      <w:proofErr w:type="spellEnd"/>
      <w:r w:rsidRPr="00EF7841">
        <w:rPr>
          <w:sz w:val="16"/>
          <w:szCs w:val="16"/>
        </w:rPr>
        <w:t xml:space="preserve"> (2017.06.) - Szabályozó eszközök a spektrum fokozott megosztott használatának támogatásához (2017. június)</w:t>
      </w:r>
    </w:p>
  </w:footnote>
  <w:footnote w:id="15">
    <w:p w14:paraId="72457BD3" w14:textId="77777777" w:rsidR="00E01EDB" w:rsidRPr="004E2603" w:rsidRDefault="00E01EDB" w:rsidP="00CB7D6D">
      <w:pPr>
        <w:pStyle w:val="Irodalomjegyzkfelsorolsnmhh"/>
        <w:numPr>
          <w:ilvl w:val="0"/>
          <w:numId w:val="0"/>
        </w:numPr>
        <w:spacing w:before="120" w:after="0"/>
        <w:rPr>
          <w:sz w:val="16"/>
          <w:szCs w:val="16"/>
        </w:rPr>
      </w:pPr>
      <w:r w:rsidRPr="004E2603">
        <w:rPr>
          <w:rStyle w:val="Lbjegyzet-hivatkozs"/>
          <w:sz w:val="16"/>
          <w:szCs w:val="16"/>
        </w:rPr>
        <w:footnoteRef/>
      </w:r>
      <w:r w:rsidRPr="004E2603">
        <w:rPr>
          <w:sz w:val="16"/>
          <w:szCs w:val="16"/>
        </w:rPr>
        <w:t xml:space="preserve"> ECC/DEC/(14</w:t>
      </w:r>
      <w:proofErr w:type="gramStart"/>
      <w:r w:rsidRPr="004E2603">
        <w:rPr>
          <w:sz w:val="16"/>
          <w:szCs w:val="16"/>
        </w:rPr>
        <w:t>)02</w:t>
      </w:r>
      <w:proofErr w:type="gramEnd"/>
      <w:r w:rsidRPr="004E2603">
        <w:rPr>
          <w:sz w:val="16"/>
          <w:szCs w:val="16"/>
        </w:rPr>
        <w:t xml:space="preserve">: </w:t>
      </w:r>
      <w:proofErr w:type="spellStart"/>
      <w:r w:rsidRPr="004E2603">
        <w:rPr>
          <w:sz w:val="16"/>
          <w:szCs w:val="16"/>
        </w:rPr>
        <w:t>Harmonised</w:t>
      </w:r>
      <w:proofErr w:type="spellEnd"/>
      <w:r w:rsidRPr="004E2603">
        <w:rPr>
          <w:sz w:val="16"/>
          <w:szCs w:val="16"/>
        </w:rPr>
        <w:t xml:space="preserve"> </w:t>
      </w:r>
      <w:proofErr w:type="spellStart"/>
      <w:r w:rsidRPr="004E2603">
        <w:rPr>
          <w:sz w:val="16"/>
          <w:szCs w:val="16"/>
        </w:rPr>
        <w:t>technical</w:t>
      </w:r>
      <w:proofErr w:type="spellEnd"/>
      <w:r w:rsidRPr="004E2603">
        <w:rPr>
          <w:sz w:val="16"/>
          <w:szCs w:val="16"/>
        </w:rPr>
        <w:t xml:space="preserve"> and </w:t>
      </w:r>
      <w:proofErr w:type="spellStart"/>
      <w:r w:rsidRPr="004E2603">
        <w:rPr>
          <w:sz w:val="16"/>
          <w:szCs w:val="16"/>
        </w:rPr>
        <w:t>regulatory</w:t>
      </w:r>
      <w:proofErr w:type="spellEnd"/>
      <w:r w:rsidRPr="004E2603">
        <w:rPr>
          <w:sz w:val="16"/>
          <w:szCs w:val="16"/>
        </w:rPr>
        <w:t xml:space="preserve"> </w:t>
      </w:r>
      <w:proofErr w:type="spellStart"/>
      <w:r w:rsidRPr="004E2603">
        <w:rPr>
          <w:sz w:val="16"/>
          <w:szCs w:val="16"/>
        </w:rPr>
        <w:t>conditions</w:t>
      </w:r>
      <w:proofErr w:type="spellEnd"/>
      <w:r w:rsidRPr="004E2603">
        <w:rPr>
          <w:sz w:val="16"/>
          <w:szCs w:val="16"/>
        </w:rPr>
        <w:t xml:space="preserve"> </w:t>
      </w:r>
      <w:proofErr w:type="spellStart"/>
      <w:r w:rsidRPr="004E2603">
        <w:rPr>
          <w:sz w:val="16"/>
          <w:szCs w:val="16"/>
        </w:rPr>
        <w:t>for</w:t>
      </w:r>
      <w:proofErr w:type="spellEnd"/>
      <w:r w:rsidRPr="004E2603">
        <w:rPr>
          <w:sz w:val="16"/>
          <w:szCs w:val="16"/>
        </w:rPr>
        <w:t xml:space="preserve"> </w:t>
      </w:r>
      <w:proofErr w:type="spellStart"/>
      <w:r w:rsidRPr="004E2603">
        <w:rPr>
          <w:sz w:val="16"/>
          <w:szCs w:val="16"/>
        </w:rPr>
        <w:t>the</w:t>
      </w:r>
      <w:proofErr w:type="spellEnd"/>
      <w:r w:rsidRPr="004E2603">
        <w:rPr>
          <w:sz w:val="16"/>
          <w:szCs w:val="16"/>
        </w:rPr>
        <w:t xml:space="preserve"> </w:t>
      </w:r>
      <w:proofErr w:type="spellStart"/>
      <w:r w:rsidRPr="004E2603">
        <w:rPr>
          <w:sz w:val="16"/>
          <w:szCs w:val="16"/>
        </w:rPr>
        <w:t>use</w:t>
      </w:r>
      <w:proofErr w:type="spellEnd"/>
      <w:r w:rsidRPr="004E2603">
        <w:rPr>
          <w:sz w:val="16"/>
          <w:szCs w:val="16"/>
        </w:rPr>
        <w:t xml:space="preserve"> of </w:t>
      </w:r>
      <w:proofErr w:type="spellStart"/>
      <w:r w:rsidRPr="004E2603">
        <w:rPr>
          <w:sz w:val="16"/>
          <w:szCs w:val="16"/>
        </w:rPr>
        <w:t>the</w:t>
      </w:r>
      <w:proofErr w:type="spellEnd"/>
      <w:r w:rsidRPr="004E2603">
        <w:rPr>
          <w:sz w:val="16"/>
          <w:szCs w:val="16"/>
        </w:rPr>
        <w:t xml:space="preserve"> </w:t>
      </w:r>
      <w:proofErr w:type="spellStart"/>
      <w:r w:rsidRPr="004E2603">
        <w:rPr>
          <w:sz w:val="16"/>
          <w:szCs w:val="16"/>
        </w:rPr>
        <w:t>band</w:t>
      </w:r>
      <w:proofErr w:type="spellEnd"/>
      <w:r w:rsidRPr="004E2603">
        <w:rPr>
          <w:sz w:val="16"/>
          <w:szCs w:val="16"/>
        </w:rPr>
        <w:t xml:space="preserve"> 2300-2400 MHz </w:t>
      </w:r>
      <w:proofErr w:type="spellStart"/>
      <w:r w:rsidRPr="004E2603">
        <w:rPr>
          <w:sz w:val="16"/>
          <w:szCs w:val="16"/>
        </w:rPr>
        <w:t>for</w:t>
      </w:r>
      <w:proofErr w:type="spellEnd"/>
      <w:r w:rsidRPr="004E2603">
        <w:rPr>
          <w:sz w:val="16"/>
          <w:szCs w:val="16"/>
        </w:rPr>
        <w:t xml:space="preserve"> Mobile/Fixed </w:t>
      </w:r>
      <w:proofErr w:type="spellStart"/>
      <w:r w:rsidRPr="004E2603">
        <w:rPr>
          <w:sz w:val="16"/>
          <w:szCs w:val="16"/>
        </w:rPr>
        <w:t>Communications</w:t>
      </w:r>
      <w:proofErr w:type="spellEnd"/>
      <w:r w:rsidRPr="004E2603">
        <w:rPr>
          <w:sz w:val="16"/>
          <w:szCs w:val="16"/>
        </w:rPr>
        <w:t xml:space="preserve"> </w:t>
      </w:r>
      <w:proofErr w:type="spellStart"/>
      <w:r w:rsidRPr="004E2603">
        <w:rPr>
          <w:sz w:val="16"/>
          <w:szCs w:val="16"/>
        </w:rPr>
        <w:t>Networks</w:t>
      </w:r>
      <w:proofErr w:type="spellEnd"/>
      <w:r w:rsidRPr="004E2603">
        <w:rPr>
          <w:sz w:val="16"/>
          <w:szCs w:val="16"/>
        </w:rPr>
        <w:t xml:space="preserve"> (MFCN) - Harmonizált műszaki és szabályozási feltételek a 2300-2400 MHz sáv MFCN célra való felhasználásához (2014. 06. 27)</w:t>
      </w:r>
    </w:p>
  </w:footnote>
  <w:footnote w:id="16">
    <w:p w14:paraId="6EAC539F" w14:textId="77777777" w:rsidR="00E01EDB" w:rsidRPr="004E2603" w:rsidRDefault="00E01EDB" w:rsidP="00227955">
      <w:pPr>
        <w:pStyle w:val="Lbjegyzetszveg"/>
        <w:rPr>
          <w:sz w:val="16"/>
          <w:szCs w:val="16"/>
        </w:rPr>
      </w:pPr>
      <w:r w:rsidRPr="004E2603">
        <w:rPr>
          <w:rStyle w:val="Lbjegyzet-hivatkozs"/>
          <w:sz w:val="16"/>
          <w:szCs w:val="16"/>
        </w:rPr>
        <w:footnoteRef/>
      </w:r>
      <w:r w:rsidRPr="004E2603">
        <w:rPr>
          <w:sz w:val="16"/>
          <w:szCs w:val="16"/>
        </w:rPr>
        <w:t xml:space="preserve"> </w:t>
      </w:r>
      <w:proofErr w:type="spellStart"/>
      <w:r w:rsidRPr="004E2603">
        <w:rPr>
          <w:sz w:val="16"/>
          <w:szCs w:val="16"/>
        </w:rPr>
        <w:t>wireless</w:t>
      </w:r>
      <w:proofErr w:type="spellEnd"/>
      <w:r w:rsidRPr="004E2603">
        <w:rPr>
          <w:sz w:val="16"/>
          <w:szCs w:val="16"/>
        </w:rPr>
        <w:t xml:space="preserve"> </w:t>
      </w:r>
      <w:proofErr w:type="spellStart"/>
      <w:r w:rsidRPr="004E2603">
        <w:rPr>
          <w:sz w:val="16"/>
          <w:szCs w:val="16"/>
        </w:rPr>
        <w:t>broadband</w:t>
      </w:r>
      <w:proofErr w:type="spellEnd"/>
    </w:p>
  </w:footnote>
  <w:footnote w:id="17">
    <w:p w14:paraId="6410F245" w14:textId="77777777" w:rsidR="00E01EDB" w:rsidRPr="004E2603" w:rsidRDefault="00E01EDB" w:rsidP="00D04CAD">
      <w:pPr>
        <w:pStyle w:val="Irodalomjegyzkfelsorolsnmhh"/>
        <w:numPr>
          <w:ilvl w:val="0"/>
          <w:numId w:val="0"/>
        </w:numPr>
        <w:spacing w:after="0" w:line="240" w:lineRule="auto"/>
        <w:rPr>
          <w:sz w:val="16"/>
          <w:szCs w:val="16"/>
        </w:rPr>
      </w:pPr>
      <w:r w:rsidRPr="004E2603">
        <w:rPr>
          <w:rStyle w:val="Lbjegyzet-hivatkozs"/>
          <w:sz w:val="16"/>
          <w:szCs w:val="16"/>
        </w:rPr>
        <w:footnoteRef/>
      </w:r>
      <w:r w:rsidRPr="004E2603">
        <w:rPr>
          <w:sz w:val="16"/>
          <w:szCs w:val="16"/>
        </w:rPr>
        <w:t xml:space="preserve"> ECC </w:t>
      </w:r>
      <w:proofErr w:type="spellStart"/>
      <w:r w:rsidRPr="004E2603">
        <w:rPr>
          <w:sz w:val="16"/>
          <w:szCs w:val="16"/>
        </w:rPr>
        <w:t>Report</w:t>
      </w:r>
      <w:proofErr w:type="spellEnd"/>
      <w:r w:rsidRPr="004E2603">
        <w:rPr>
          <w:sz w:val="16"/>
          <w:szCs w:val="16"/>
        </w:rPr>
        <w:t xml:space="preserve"> 172: </w:t>
      </w:r>
      <w:proofErr w:type="spellStart"/>
      <w:r w:rsidRPr="004E2603">
        <w:rPr>
          <w:sz w:val="16"/>
          <w:szCs w:val="16"/>
          <w:lang w:eastAsia="de-DE"/>
        </w:rPr>
        <w:t>Broadband</w:t>
      </w:r>
      <w:proofErr w:type="spellEnd"/>
      <w:r w:rsidRPr="004E2603">
        <w:rPr>
          <w:sz w:val="16"/>
          <w:szCs w:val="16"/>
          <w:lang w:eastAsia="de-DE"/>
        </w:rPr>
        <w:t xml:space="preserve"> </w:t>
      </w:r>
      <w:proofErr w:type="spellStart"/>
      <w:r w:rsidRPr="004E2603">
        <w:rPr>
          <w:sz w:val="16"/>
          <w:szCs w:val="16"/>
          <w:lang w:eastAsia="de-DE"/>
        </w:rPr>
        <w:t>Wireless</w:t>
      </w:r>
      <w:proofErr w:type="spellEnd"/>
      <w:r w:rsidRPr="004E2603">
        <w:rPr>
          <w:sz w:val="16"/>
          <w:szCs w:val="16"/>
          <w:lang w:eastAsia="de-DE"/>
        </w:rPr>
        <w:t xml:space="preserve"> Systems </w:t>
      </w:r>
      <w:proofErr w:type="spellStart"/>
      <w:r w:rsidRPr="004E2603">
        <w:rPr>
          <w:sz w:val="16"/>
          <w:szCs w:val="16"/>
          <w:lang w:eastAsia="de-DE"/>
        </w:rPr>
        <w:t>Usage</w:t>
      </w:r>
      <w:proofErr w:type="spellEnd"/>
      <w:r w:rsidRPr="004E2603">
        <w:rPr>
          <w:sz w:val="16"/>
          <w:szCs w:val="16"/>
          <w:lang w:eastAsia="de-DE"/>
        </w:rPr>
        <w:t xml:space="preserve"> in 2300-2400 MHz (2012.03.) - </w:t>
      </w:r>
      <w:r w:rsidRPr="004E2603">
        <w:rPr>
          <w:sz w:val="16"/>
          <w:szCs w:val="16"/>
        </w:rPr>
        <w:t>Szélessávú vezeték nélküli rendszerek használata 2300-2400 MHz sávban (</w:t>
      </w:r>
      <w:r w:rsidRPr="004E2603">
        <w:rPr>
          <w:sz w:val="16"/>
          <w:szCs w:val="16"/>
          <w:lang w:eastAsia="de-DE"/>
        </w:rPr>
        <w:t>2012. március)</w:t>
      </w:r>
    </w:p>
  </w:footnote>
  <w:footnote w:id="18">
    <w:p w14:paraId="792B367A" w14:textId="77777777" w:rsidR="00E01EDB" w:rsidRPr="004E2603" w:rsidRDefault="00E01EDB" w:rsidP="00D04CAD">
      <w:pPr>
        <w:pStyle w:val="Irodalomjegyzkfelsorolsnmhh"/>
        <w:numPr>
          <w:ilvl w:val="0"/>
          <w:numId w:val="0"/>
        </w:numPr>
        <w:spacing w:after="0" w:line="240" w:lineRule="auto"/>
        <w:rPr>
          <w:sz w:val="16"/>
          <w:szCs w:val="16"/>
        </w:rPr>
      </w:pPr>
      <w:r w:rsidRPr="004E2603">
        <w:rPr>
          <w:rStyle w:val="Lbjegyzet-hivatkozs"/>
          <w:sz w:val="16"/>
          <w:szCs w:val="16"/>
        </w:rPr>
        <w:footnoteRef/>
      </w:r>
      <w:r w:rsidRPr="004E2603">
        <w:rPr>
          <w:sz w:val="16"/>
          <w:szCs w:val="16"/>
        </w:rPr>
        <w:t xml:space="preserve"> ERC/REC/(14</w:t>
      </w:r>
      <w:proofErr w:type="gramStart"/>
      <w:r w:rsidRPr="004E2603">
        <w:rPr>
          <w:sz w:val="16"/>
          <w:szCs w:val="16"/>
        </w:rPr>
        <w:t>)04</w:t>
      </w:r>
      <w:proofErr w:type="gramEnd"/>
      <w:r w:rsidRPr="004E2603">
        <w:rPr>
          <w:sz w:val="16"/>
          <w:szCs w:val="16"/>
          <w:lang w:eastAsia="de-DE"/>
        </w:rPr>
        <w:t xml:space="preserve">: </w:t>
      </w:r>
      <w:proofErr w:type="spellStart"/>
      <w:r w:rsidRPr="004E2603">
        <w:rPr>
          <w:sz w:val="16"/>
          <w:szCs w:val="16"/>
          <w:lang w:eastAsia="de-DE"/>
        </w:rPr>
        <w:t>Cross-border</w:t>
      </w:r>
      <w:proofErr w:type="spellEnd"/>
      <w:r w:rsidRPr="004E2603">
        <w:rPr>
          <w:sz w:val="16"/>
          <w:szCs w:val="16"/>
          <w:lang w:eastAsia="de-DE"/>
        </w:rPr>
        <w:t xml:space="preserve"> </w:t>
      </w:r>
      <w:proofErr w:type="spellStart"/>
      <w:r w:rsidRPr="004E2603">
        <w:rPr>
          <w:sz w:val="16"/>
          <w:szCs w:val="16"/>
          <w:lang w:eastAsia="de-DE"/>
        </w:rPr>
        <w:t>coordination</w:t>
      </w:r>
      <w:proofErr w:type="spellEnd"/>
      <w:r w:rsidRPr="004E2603">
        <w:rPr>
          <w:sz w:val="16"/>
          <w:szCs w:val="16"/>
          <w:lang w:eastAsia="de-DE"/>
        </w:rPr>
        <w:t xml:space="preserve"> </w:t>
      </w:r>
      <w:proofErr w:type="spellStart"/>
      <w:r w:rsidRPr="004E2603">
        <w:rPr>
          <w:sz w:val="16"/>
          <w:szCs w:val="16"/>
          <w:lang w:eastAsia="de-DE"/>
        </w:rPr>
        <w:t>for</w:t>
      </w:r>
      <w:proofErr w:type="spellEnd"/>
      <w:r w:rsidRPr="004E2603">
        <w:rPr>
          <w:sz w:val="16"/>
          <w:szCs w:val="16"/>
          <w:lang w:eastAsia="de-DE"/>
        </w:rPr>
        <w:t xml:space="preserve"> mobile/fixed </w:t>
      </w:r>
      <w:proofErr w:type="spellStart"/>
      <w:r w:rsidRPr="004E2603">
        <w:rPr>
          <w:sz w:val="16"/>
          <w:szCs w:val="16"/>
          <w:lang w:eastAsia="de-DE"/>
        </w:rPr>
        <w:t>communications</w:t>
      </w:r>
      <w:proofErr w:type="spellEnd"/>
      <w:r w:rsidRPr="004E2603">
        <w:rPr>
          <w:sz w:val="16"/>
          <w:szCs w:val="16"/>
          <w:lang w:eastAsia="de-DE"/>
        </w:rPr>
        <w:t xml:space="preserve"> </w:t>
      </w:r>
      <w:proofErr w:type="spellStart"/>
      <w:r w:rsidRPr="004E2603">
        <w:rPr>
          <w:sz w:val="16"/>
          <w:szCs w:val="16"/>
          <w:lang w:eastAsia="de-DE"/>
        </w:rPr>
        <w:t>networks</w:t>
      </w:r>
      <w:proofErr w:type="spellEnd"/>
      <w:r w:rsidRPr="004E2603">
        <w:rPr>
          <w:sz w:val="16"/>
          <w:szCs w:val="16"/>
          <w:lang w:eastAsia="de-DE"/>
        </w:rPr>
        <w:t xml:space="preserve"> (MFCN) and </w:t>
      </w:r>
      <w:proofErr w:type="spellStart"/>
      <w:r w:rsidRPr="004E2603">
        <w:rPr>
          <w:sz w:val="16"/>
          <w:szCs w:val="16"/>
          <w:lang w:eastAsia="de-DE"/>
        </w:rPr>
        <w:t>between</w:t>
      </w:r>
      <w:proofErr w:type="spellEnd"/>
      <w:r w:rsidRPr="004E2603">
        <w:rPr>
          <w:sz w:val="16"/>
          <w:szCs w:val="16"/>
          <w:lang w:eastAsia="de-DE"/>
        </w:rPr>
        <w:t xml:space="preserve"> MFCN and </w:t>
      </w:r>
      <w:proofErr w:type="spellStart"/>
      <w:r w:rsidRPr="004E2603">
        <w:rPr>
          <w:sz w:val="16"/>
          <w:szCs w:val="16"/>
          <w:lang w:eastAsia="de-DE"/>
        </w:rPr>
        <w:t>other</w:t>
      </w:r>
      <w:proofErr w:type="spellEnd"/>
      <w:r w:rsidRPr="004E2603">
        <w:rPr>
          <w:sz w:val="16"/>
          <w:szCs w:val="16"/>
          <w:lang w:eastAsia="de-DE"/>
        </w:rPr>
        <w:t xml:space="preserve"> </w:t>
      </w:r>
      <w:proofErr w:type="spellStart"/>
      <w:r w:rsidRPr="004E2603">
        <w:rPr>
          <w:sz w:val="16"/>
          <w:szCs w:val="16"/>
          <w:lang w:eastAsia="de-DE"/>
        </w:rPr>
        <w:t>systems</w:t>
      </w:r>
      <w:proofErr w:type="spellEnd"/>
      <w:r w:rsidRPr="004E2603">
        <w:rPr>
          <w:sz w:val="16"/>
          <w:szCs w:val="16"/>
          <w:lang w:eastAsia="de-DE"/>
        </w:rPr>
        <w:t xml:space="preserve"> in </w:t>
      </w:r>
      <w:proofErr w:type="spellStart"/>
      <w:r w:rsidRPr="004E2603">
        <w:rPr>
          <w:sz w:val="16"/>
          <w:szCs w:val="16"/>
          <w:lang w:eastAsia="de-DE"/>
        </w:rPr>
        <w:t>the</w:t>
      </w:r>
      <w:proofErr w:type="spellEnd"/>
      <w:r w:rsidRPr="004E2603">
        <w:rPr>
          <w:sz w:val="16"/>
          <w:szCs w:val="16"/>
          <w:lang w:eastAsia="de-DE"/>
        </w:rPr>
        <w:t xml:space="preserve"> </w:t>
      </w:r>
      <w:proofErr w:type="spellStart"/>
      <w:r w:rsidRPr="004E2603">
        <w:rPr>
          <w:sz w:val="16"/>
          <w:szCs w:val="16"/>
          <w:lang w:eastAsia="de-DE"/>
        </w:rPr>
        <w:t>frequency</w:t>
      </w:r>
      <w:proofErr w:type="spellEnd"/>
      <w:r w:rsidRPr="004E2603">
        <w:rPr>
          <w:sz w:val="16"/>
          <w:szCs w:val="16"/>
          <w:lang w:eastAsia="de-DE"/>
        </w:rPr>
        <w:t xml:space="preserve"> </w:t>
      </w:r>
      <w:proofErr w:type="spellStart"/>
      <w:r w:rsidRPr="004E2603">
        <w:rPr>
          <w:sz w:val="16"/>
          <w:szCs w:val="16"/>
          <w:lang w:eastAsia="de-DE"/>
        </w:rPr>
        <w:t>band</w:t>
      </w:r>
      <w:proofErr w:type="spellEnd"/>
      <w:r w:rsidRPr="004E2603">
        <w:rPr>
          <w:sz w:val="16"/>
          <w:szCs w:val="16"/>
          <w:lang w:eastAsia="de-DE"/>
        </w:rPr>
        <w:t xml:space="preserve"> 2300-2400 MHz (2014.05.30.) - </w:t>
      </w:r>
      <w:r w:rsidRPr="004E2603">
        <w:rPr>
          <w:sz w:val="16"/>
          <w:szCs w:val="16"/>
        </w:rPr>
        <w:t>Nemzetközi koordináció a mozgó / állandóhelyű hírközlési hálózatok (MFCN), valamint az MFCN-</w:t>
      </w:r>
      <w:proofErr w:type="spellStart"/>
      <w:r w:rsidRPr="004E2603">
        <w:rPr>
          <w:sz w:val="16"/>
          <w:szCs w:val="16"/>
        </w:rPr>
        <w:t>ek</w:t>
      </w:r>
      <w:proofErr w:type="spellEnd"/>
      <w:r w:rsidRPr="004E2603">
        <w:rPr>
          <w:sz w:val="16"/>
          <w:szCs w:val="16"/>
        </w:rPr>
        <w:t xml:space="preserve"> és más rendszerek között a 2300-2400 MHz frekvenciasávban (</w:t>
      </w:r>
      <w:r w:rsidRPr="004E2603">
        <w:rPr>
          <w:sz w:val="16"/>
          <w:szCs w:val="16"/>
          <w:lang w:eastAsia="de-DE"/>
        </w:rPr>
        <w:t>2014.05.30).</w:t>
      </w:r>
    </w:p>
  </w:footnote>
  <w:footnote w:id="19">
    <w:p w14:paraId="09D5D85D" w14:textId="77777777" w:rsidR="00E01EDB" w:rsidRPr="004E2603" w:rsidRDefault="00E01EDB" w:rsidP="00D04CAD">
      <w:pPr>
        <w:pStyle w:val="Irodalomjegyzkfelsorolsnmhh"/>
        <w:numPr>
          <w:ilvl w:val="0"/>
          <w:numId w:val="0"/>
        </w:numPr>
        <w:spacing w:after="0" w:line="240" w:lineRule="auto"/>
        <w:rPr>
          <w:sz w:val="16"/>
          <w:szCs w:val="16"/>
        </w:rPr>
      </w:pPr>
      <w:r w:rsidRPr="004E2603">
        <w:rPr>
          <w:rStyle w:val="Lbjegyzet-hivatkozs"/>
          <w:sz w:val="16"/>
          <w:szCs w:val="16"/>
        </w:rPr>
        <w:footnoteRef/>
      </w:r>
      <w:r w:rsidRPr="004E2603">
        <w:rPr>
          <w:sz w:val="16"/>
          <w:szCs w:val="16"/>
        </w:rPr>
        <w:t xml:space="preserve"> ECC </w:t>
      </w:r>
      <w:proofErr w:type="spellStart"/>
      <w:r w:rsidRPr="004E2603">
        <w:rPr>
          <w:sz w:val="16"/>
          <w:szCs w:val="16"/>
        </w:rPr>
        <w:t>Report</w:t>
      </w:r>
      <w:proofErr w:type="spellEnd"/>
      <w:r w:rsidRPr="004E2603">
        <w:rPr>
          <w:sz w:val="16"/>
          <w:szCs w:val="16"/>
        </w:rPr>
        <w:t xml:space="preserve"> 205: </w:t>
      </w:r>
      <w:proofErr w:type="spellStart"/>
      <w:r w:rsidRPr="004E2603">
        <w:rPr>
          <w:sz w:val="16"/>
          <w:szCs w:val="16"/>
        </w:rPr>
        <w:t>Licensed</w:t>
      </w:r>
      <w:proofErr w:type="spellEnd"/>
      <w:r w:rsidRPr="004E2603">
        <w:rPr>
          <w:sz w:val="16"/>
          <w:szCs w:val="16"/>
        </w:rPr>
        <w:t xml:space="preserve"> </w:t>
      </w:r>
      <w:proofErr w:type="spellStart"/>
      <w:r w:rsidRPr="004E2603">
        <w:rPr>
          <w:sz w:val="16"/>
          <w:szCs w:val="16"/>
        </w:rPr>
        <w:t>Shared</w:t>
      </w:r>
      <w:proofErr w:type="spellEnd"/>
      <w:r w:rsidRPr="004E2603">
        <w:rPr>
          <w:sz w:val="16"/>
          <w:szCs w:val="16"/>
        </w:rPr>
        <w:t xml:space="preserve"> Access (LSA), CEPT, (2014.02.) - Engedélyezett megosztott spektrumhozzáférés (LSA) (2014. február)</w:t>
      </w:r>
    </w:p>
  </w:footnote>
  <w:footnote w:id="20">
    <w:p w14:paraId="6BDA2CF1" w14:textId="77777777" w:rsidR="00E01EDB" w:rsidRDefault="00E01EDB" w:rsidP="00D04CAD">
      <w:pPr>
        <w:pStyle w:val="Irodalomjegyzkfelsorolsnmhh"/>
        <w:numPr>
          <w:ilvl w:val="0"/>
          <w:numId w:val="0"/>
        </w:numPr>
        <w:spacing w:after="0" w:line="240" w:lineRule="auto"/>
      </w:pPr>
      <w:r w:rsidRPr="004E2603">
        <w:rPr>
          <w:rStyle w:val="Lbjegyzet-hivatkozs"/>
          <w:sz w:val="16"/>
          <w:szCs w:val="16"/>
        </w:rPr>
        <w:footnoteRef/>
      </w:r>
      <w:r w:rsidRPr="004E2603">
        <w:rPr>
          <w:sz w:val="16"/>
          <w:szCs w:val="16"/>
        </w:rPr>
        <w:t xml:space="preserve"> ECC/REC/(15</w:t>
      </w:r>
      <w:proofErr w:type="gramStart"/>
      <w:r w:rsidRPr="004E2603">
        <w:rPr>
          <w:sz w:val="16"/>
          <w:szCs w:val="16"/>
        </w:rPr>
        <w:t>)04</w:t>
      </w:r>
      <w:proofErr w:type="gramEnd"/>
      <w:r w:rsidRPr="004E2603">
        <w:rPr>
          <w:sz w:val="16"/>
          <w:szCs w:val="16"/>
        </w:rPr>
        <w:t xml:space="preserve">: </w:t>
      </w:r>
      <w:proofErr w:type="spellStart"/>
      <w:r w:rsidRPr="004E2603">
        <w:rPr>
          <w:sz w:val="16"/>
          <w:szCs w:val="16"/>
          <w:lang w:eastAsia="de-DE"/>
        </w:rPr>
        <w:t>Guidance</w:t>
      </w:r>
      <w:proofErr w:type="spellEnd"/>
      <w:r w:rsidRPr="004E2603">
        <w:rPr>
          <w:sz w:val="16"/>
          <w:szCs w:val="16"/>
          <w:lang w:eastAsia="de-DE"/>
        </w:rPr>
        <w:t xml:space="preserve"> </w:t>
      </w:r>
      <w:proofErr w:type="spellStart"/>
      <w:r w:rsidRPr="004E2603">
        <w:rPr>
          <w:sz w:val="16"/>
          <w:szCs w:val="16"/>
          <w:lang w:eastAsia="de-DE"/>
        </w:rPr>
        <w:t>for</w:t>
      </w:r>
      <w:proofErr w:type="spellEnd"/>
      <w:r w:rsidRPr="004E2603">
        <w:rPr>
          <w:sz w:val="16"/>
          <w:szCs w:val="16"/>
          <w:lang w:eastAsia="de-DE"/>
        </w:rPr>
        <w:t xml:space="preserve"> </w:t>
      </w:r>
      <w:proofErr w:type="spellStart"/>
      <w:r w:rsidRPr="004E2603">
        <w:rPr>
          <w:sz w:val="16"/>
          <w:szCs w:val="16"/>
          <w:lang w:eastAsia="de-DE"/>
        </w:rPr>
        <w:t>the</w:t>
      </w:r>
      <w:proofErr w:type="spellEnd"/>
      <w:r w:rsidRPr="004E2603">
        <w:rPr>
          <w:sz w:val="16"/>
          <w:szCs w:val="16"/>
          <w:lang w:eastAsia="de-DE"/>
        </w:rPr>
        <w:t xml:space="preserve"> </w:t>
      </w:r>
      <w:proofErr w:type="spellStart"/>
      <w:r w:rsidRPr="004E2603">
        <w:rPr>
          <w:sz w:val="16"/>
          <w:szCs w:val="16"/>
          <w:lang w:eastAsia="de-DE"/>
        </w:rPr>
        <w:t>implementation</w:t>
      </w:r>
      <w:proofErr w:type="spellEnd"/>
      <w:r w:rsidRPr="004E2603">
        <w:rPr>
          <w:sz w:val="16"/>
          <w:szCs w:val="16"/>
          <w:lang w:eastAsia="de-DE"/>
        </w:rPr>
        <w:t xml:space="preserve"> of a </w:t>
      </w:r>
      <w:proofErr w:type="spellStart"/>
      <w:r w:rsidRPr="004E2603">
        <w:rPr>
          <w:sz w:val="16"/>
          <w:szCs w:val="16"/>
          <w:lang w:eastAsia="de-DE"/>
        </w:rPr>
        <w:t>sharing</w:t>
      </w:r>
      <w:proofErr w:type="spellEnd"/>
      <w:r w:rsidRPr="004E2603">
        <w:rPr>
          <w:sz w:val="16"/>
          <w:szCs w:val="16"/>
          <w:lang w:eastAsia="de-DE"/>
        </w:rPr>
        <w:t xml:space="preserve"> </w:t>
      </w:r>
      <w:proofErr w:type="spellStart"/>
      <w:r w:rsidRPr="004E2603">
        <w:rPr>
          <w:sz w:val="16"/>
          <w:szCs w:val="16"/>
          <w:lang w:eastAsia="de-DE"/>
        </w:rPr>
        <w:t>framework</w:t>
      </w:r>
      <w:proofErr w:type="spellEnd"/>
      <w:r w:rsidRPr="004E2603">
        <w:rPr>
          <w:sz w:val="16"/>
          <w:szCs w:val="16"/>
          <w:lang w:eastAsia="de-DE"/>
        </w:rPr>
        <w:t xml:space="preserve"> </w:t>
      </w:r>
      <w:proofErr w:type="spellStart"/>
      <w:r w:rsidRPr="004E2603">
        <w:rPr>
          <w:sz w:val="16"/>
          <w:szCs w:val="16"/>
          <w:lang w:eastAsia="de-DE"/>
        </w:rPr>
        <w:t>between</w:t>
      </w:r>
      <w:proofErr w:type="spellEnd"/>
      <w:r w:rsidRPr="004E2603">
        <w:rPr>
          <w:sz w:val="16"/>
          <w:szCs w:val="16"/>
          <w:lang w:eastAsia="de-DE"/>
        </w:rPr>
        <w:t xml:space="preserve"> MFCN and PMSE </w:t>
      </w:r>
      <w:proofErr w:type="spellStart"/>
      <w:r w:rsidRPr="004E2603">
        <w:rPr>
          <w:sz w:val="16"/>
          <w:szCs w:val="16"/>
          <w:lang w:eastAsia="de-DE"/>
        </w:rPr>
        <w:t>within</w:t>
      </w:r>
      <w:proofErr w:type="spellEnd"/>
      <w:r w:rsidRPr="004E2603">
        <w:rPr>
          <w:sz w:val="16"/>
          <w:szCs w:val="16"/>
          <w:lang w:eastAsia="de-DE"/>
        </w:rPr>
        <w:t xml:space="preserve"> 2300-2400 MHz (2015.07.03.) - </w:t>
      </w:r>
      <w:r w:rsidRPr="004E2603">
        <w:rPr>
          <w:sz w:val="16"/>
          <w:szCs w:val="16"/>
        </w:rPr>
        <w:t>Útmutató az MFCN és a PMSE közötti megosztási keret szabályrendszer bevezetéséhez a 2300-2400 MHz sávban (</w:t>
      </w:r>
      <w:r w:rsidRPr="004E2603">
        <w:rPr>
          <w:sz w:val="16"/>
          <w:szCs w:val="16"/>
          <w:lang w:eastAsia="de-DE"/>
        </w:rPr>
        <w:t>2015.07.03)</w:t>
      </w:r>
    </w:p>
  </w:footnote>
  <w:footnote w:id="21">
    <w:p w14:paraId="2BFB0C7E" w14:textId="77777777" w:rsidR="00E01EDB" w:rsidRPr="004E2603" w:rsidRDefault="00E01EDB" w:rsidP="005D6DE4">
      <w:pPr>
        <w:pStyle w:val="Irodalomjegyzkfelsorolsnmhh"/>
        <w:numPr>
          <w:ilvl w:val="0"/>
          <w:numId w:val="0"/>
        </w:numPr>
        <w:spacing w:after="0" w:line="240" w:lineRule="auto"/>
        <w:rPr>
          <w:sz w:val="16"/>
          <w:szCs w:val="16"/>
        </w:rPr>
      </w:pPr>
      <w:r w:rsidRPr="004E2603">
        <w:rPr>
          <w:rStyle w:val="Lbjegyzet-hivatkozs"/>
          <w:sz w:val="16"/>
          <w:szCs w:val="16"/>
        </w:rPr>
        <w:footnoteRef/>
      </w:r>
      <w:r w:rsidRPr="004E2603">
        <w:rPr>
          <w:sz w:val="16"/>
          <w:szCs w:val="16"/>
        </w:rPr>
        <w:t xml:space="preserve"> CEPT </w:t>
      </w:r>
      <w:proofErr w:type="spellStart"/>
      <w:r w:rsidRPr="004E2603">
        <w:rPr>
          <w:sz w:val="16"/>
          <w:szCs w:val="16"/>
        </w:rPr>
        <w:t>Report</w:t>
      </w:r>
      <w:proofErr w:type="spellEnd"/>
      <w:r w:rsidRPr="004E2603">
        <w:rPr>
          <w:sz w:val="16"/>
          <w:szCs w:val="16"/>
        </w:rPr>
        <w:t xml:space="preserve"> 55: </w:t>
      </w:r>
      <w:proofErr w:type="spellStart"/>
      <w:r w:rsidRPr="004E2603">
        <w:rPr>
          <w:sz w:val="16"/>
          <w:szCs w:val="16"/>
        </w:rPr>
        <w:t>Technical</w:t>
      </w:r>
      <w:proofErr w:type="spellEnd"/>
      <w:r w:rsidRPr="004E2603">
        <w:rPr>
          <w:sz w:val="16"/>
          <w:szCs w:val="16"/>
        </w:rPr>
        <w:t xml:space="preserve"> </w:t>
      </w:r>
      <w:proofErr w:type="spellStart"/>
      <w:r w:rsidRPr="004E2603">
        <w:rPr>
          <w:sz w:val="16"/>
          <w:szCs w:val="16"/>
        </w:rPr>
        <w:t>conditions</w:t>
      </w:r>
      <w:proofErr w:type="spellEnd"/>
      <w:r w:rsidRPr="004E2603">
        <w:rPr>
          <w:sz w:val="16"/>
          <w:szCs w:val="16"/>
        </w:rPr>
        <w:t xml:space="preserve"> </w:t>
      </w:r>
      <w:proofErr w:type="spellStart"/>
      <w:r w:rsidRPr="004E2603">
        <w:rPr>
          <w:sz w:val="16"/>
          <w:szCs w:val="16"/>
        </w:rPr>
        <w:t>for</w:t>
      </w:r>
      <w:proofErr w:type="spellEnd"/>
      <w:r w:rsidRPr="004E2603">
        <w:rPr>
          <w:sz w:val="16"/>
          <w:szCs w:val="16"/>
        </w:rPr>
        <w:t xml:space="preserve"> </w:t>
      </w:r>
      <w:proofErr w:type="spellStart"/>
      <w:r w:rsidRPr="004E2603">
        <w:rPr>
          <w:sz w:val="16"/>
          <w:szCs w:val="16"/>
        </w:rPr>
        <w:t>wireless</w:t>
      </w:r>
      <w:proofErr w:type="spellEnd"/>
      <w:r w:rsidRPr="004E2603">
        <w:rPr>
          <w:sz w:val="16"/>
          <w:szCs w:val="16"/>
        </w:rPr>
        <w:t xml:space="preserve"> </w:t>
      </w:r>
      <w:proofErr w:type="spellStart"/>
      <w:r w:rsidRPr="004E2603">
        <w:rPr>
          <w:sz w:val="16"/>
          <w:szCs w:val="16"/>
        </w:rPr>
        <w:t>broadband</w:t>
      </w:r>
      <w:proofErr w:type="spellEnd"/>
      <w:r w:rsidRPr="004E2603">
        <w:rPr>
          <w:sz w:val="16"/>
          <w:szCs w:val="16"/>
        </w:rPr>
        <w:t xml:space="preserve"> </w:t>
      </w:r>
      <w:proofErr w:type="spellStart"/>
      <w:r w:rsidRPr="004E2603">
        <w:rPr>
          <w:sz w:val="16"/>
          <w:szCs w:val="16"/>
        </w:rPr>
        <w:t>usage</w:t>
      </w:r>
      <w:proofErr w:type="spellEnd"/>
      <w:r w:rsidRPr="004E2603">
        <w:rPr>
          <w:sz w:val="16"/>
          <w:szCs w:val="16"/>
        </w:rPr>
        <w:t xml:space="preserve"> of </w:t>
      </w:r>
      <w:proofErr w:type="spellStart"/>
      <w:r w:rsidRPr="004E2603">
        <w:rPr>
          <w:sz w:val="16"/>
          <w:szCs w:val="16"/>
        </w:rPr>
        <w:t>the</w:t>
      </w:r>
      <w:proofErr w:type="spellEnd"/>
      <w:r w:rsidRPr="004E2603">
        <w:rPr>
          <w:sz w:val="16"/>
          <w:szCs w:val="16"/>
        </w:rPr>
        <w:t xml:space="preserve"> 2300-2400 MHz </w:t>
      </w:r>
      <w:proofErr w:type="spellStart"/>
      <w:r w:rsidRPr="004E2603">
        <w:rPr>
          <w:sz w:val="16"/>
          <w:szCs w:val="16"/>
        </w:rPr>
        <w:t>frequency</w:t>
      </w:r>
      <w:proofErr w:type="spellEnd"/>
      <w:r w:rsidRPr="004E2603">
        <w:rPr>
          <w:sz w:val="16"/>
          <w:szCs w:val="16"/>
        </w:rPr>
        <w:t xml:space="preserve"> </w:t>
      </w:r>
      <w:proofErr w:type="spellStart"/>
      <w:r w:rsidRPr="004E2603">
        <w:rPr>
          <w:sz w:val="16"/>
          <w:szCs w:val="16"/>
        </w:rPr>
        <w:t>band</w:t>
      </w:r>
      <w:proofErr w:type="spellEnd"/>
      <w:r w:rsidRPr="004E2603">
        <w:rPr>
          <w:sz w:val="16"/>
          <w:szCs w:val="16"/>
        </w:rPr>
        <w:t>. - A 2300-2400 MHz frekvenciasáv vezeték nélküli szélessávú használatának műszaki feltételei (2014.10.28)</w:t>
      </w:r>
    </w:p>
  </w:footnote>
  <w:footnote w:id="22">
    <w:p w14:paraId="591B09D3" w14:textId="6D2C74C6" w:rsidR="00E01EDB" w:rsidRPr="004E2603" w:rsidRDefault="00E01EDB" w:rsidP="005D6DE4">
      <w:pPr>
        <w:pStyle w:val="Irodalomjegyzkfelsorolsnmhh"/>
        <w:numPr>
          <w:ilvl w:val="0"/>
          <w:numId w:val="0"/>
        </w:numPr>
        <w:spacing w:after="0" w:line="240" w:lineRule="auto"/>
        <w:rPr>
          <w:sz w:val="16"/>
          <w:szCs w:val="16"/>
        </w:rPr>
      </w:pPr>
      <w:r w:rsidRPr="004E2603">
        <w:rPr>
          <w:rStyle w:val="Lbjegyzet-hivatkozs"/>
          <w:sz w:val="16"/>
          <w:szCs w:val="16"/>
        </w:rPr>
        <w:footnoteRef/>
      </w:r>
      <w:r w:rsidRPr="004E2603">
        <w:rPr>
          <w:sz w:val="16"/>
          <w:szCs w:val="16"/>
        </w:rPr>
        <w:t xml:space="preserve"> </w:t>
      </w:r>
      <w:r w:rsidRPr="004E2603">
        <w:rPr>
          <w:sz w:val="16"/>
          <w:szCs w:val="16"/>
          <w:lang w:eastAsia="de-DE"/>
        </w:rPr>
        <w:t xml:space="preserve">CEPT </w:t>
      </w:r>
      <w:proofErr w:type="spellStart"/>
      <w:r w:rsidRPr="004E2603">
        <w:rPr>
          <w:sz w:val="16"/>
          <w:szCs w:val="16"/>
          <w:lang w:eastAsia="de-DE"/>
        </w:rPr>
        <w:t>Report</w:t>
      </w:r>
      <w:proofErr w:type="spellEnd"/>
      <w:r w:rsidRPr="004E2603">
        <w:rPr>
          <w:sz w:val="16"/>
          <w:szCs w:val="16"/>
          <w:lang w:eastAsia="de-DE"/>
        </w:rPr>
        <w:t xml:space="preserve"> 56: </w:t>
      </w:r>
      <w:proofErr w:type="spellStart"/>
      <w:r w:rsidRPr="004E2603">
        <w:rPr>
          <w:sz w:val="16"/>
          <w:szCs w:val="16"/>
          <w:lang w:eastAsia="de-DE"/>
        </w:rPr>
        <w:t>Technological</w:t>
      </w:r>
      <w:proofErr w:type="spellEnd"/>
      <w:r w:rsidRPr="004E2603">
        <w:rPr>
          <w:sz w:val="16"/>
          <w:szCs w:val="16"/>
          <w:lang w:eastAsia="de-DE"/>
        </w:rPr>
        <w:t xml:space="preserve"> and </w:t>
      </w:r>
      <w:proofErr w:type="spellStart"/>
      <w:r w:rsidRPr="004E2603">
        <w:rPr>
          <w:sz w:val="16"/>
          <w:szCs w:val="16"/>
          <w:lang w:eastAsia="de-DE"/>
        </w:rPr>
        <w:t>regulatory</w:t>
      </w:r>
      <w:proofErr w:type="spellEnd"/>
      <w:r w:rsidRPr="004E2603">
        <w:rPr>
          <w:sz w:val="16"/>
          <w:szCs w:val="16"/>
          <w:lang w:eastAsia="de-DE"/>
        </w:rPr>
        <w:t xml:space="preserve"> </w:t>
      </w:r>
      <w:proofErr w:type="spellStart"/>
      <w:r w:rsidRPr="004E2603">
        <w:rPr>
          <w:sz w:val="16"/>
          <w:szCs w:val="16"/>
          <w:lang w:eastAsia="de-DE"/>
        </w:rPr>
        <w:t>options</w:t>
      </w:r>
      <w:proofErr w:type="spellEnd"/>
      <w:r w:rsidRPr="004E2603">
        <w:rPr>
          <w:sz w:val="16"/>
          <w:szCs w:val="16"/>
          <w:lang w:eastAsia="de-DE"/>
        </w:rPr>
        <w:t xml:space="preserve"> </w:t>
      </w:r>
      <w:proofErr w:type="spellStart"/>
      <w:r w:rsidRPr="004E2603">
        <w:rPr>
          <w:sz w:val="16"/>
          <w:szCs w:val="16"/>
          <w:lang w:eastAsia="de-DE"/>
        </w:rPr>
        <w:t>facilitating</w:t>
      </w:r>
      <w:proofErr w:type="spellEnd"/>
      <w:r w:rsidRPr="004E2603">
        <w:rPr>
          <w:sz w:val="16"/>
          <w:szCs w:val="16"/>
          <w:lang w:eastAsia="de-DE"/>
        </w:rPr>
        <w:t xml:space="preserve"> </w:t>
      </w:r>
      <w:proofErr w:type="spellStart"/>
      <w:r w:rsidRPr="004E2603">
        <w:rPr>
          <w:sz w:val="16"/>
          <w:szCs w:val="16"/>
          <w:lang w:eastAsia="de-DE"/>
        </w:rPr>
        <w:t>sharing</w:t>
      </w:r>
      <w:proofErr w:type="spellEnd"/>
      <w:r w:rsidRPr="004E2603">
        <w:rPr>
          <w:sz w:val="16"/>
          <w:szCs w:val="16"/>
          <w:lang w:eastAsia="de-DE"/>
        </w:rPr>
        <w:t xml:space="preserve"> </w:t>
      </w:r>
      <w:proofErr w:type="spellStart"/>
      <w:r w:rsidRPr="004E2603">
        <w:rPr>
          <w:sz w:val="16"/>
          <w:szCs w:val="16"/>
          <w:lang w:eastAsia="de-DE"/>
        </w:rPr>
        <w:t>between</w:t>
      </w:r>
      <w:proofErr w:type="spellEnd"/>
      <w:r w:rsidRPr="004E2603">
        <w:rPr>
          <w:sz w:val="16"/>
          <w:szCs w:val="16"/>
          <w:lang w:eastAsia="de-DE"/>
        </w:rPr>
        <w:t xml:space="preserve"> </w:t>
      </w:r>
      <w:proofErr w:type="spellStart"/>
      <w:r w:rsidRPr="004E2603">
        <w:rPr>
          <w:sz w:val="16"/>
          <w:szCs w:val="16"/>
          <w:lang w:eastAsia="de-DE"/>
        </w:rPr>
        <w:t>Wireless</w:t>
      </w:r>
      <w:proofErr w:type="spellEnd"/>
      <w:r w:rsidRPr="004E2603">
        <w:rPr>
          <w:sz w:val="16"/>
          <w:szCs w:val="16"/>
          <w:lang w:eastAsia="de-DE"/>
        </w:rPr>
        <w:t xml:space="preserve"> </w:t>
      </w:r>
      <w:proofErr w:type="spellStart"/>
      <w:r w:rsidRPr="004E2603">
        <w:rPr>
          <w:sz w:val="16"/>
          <w:szCs w:val="16"/>
          <w:lang w:eastAsia="de-DE"/>
        </w:rPr>
        <w:t>broadband</w:t>
      </w:r>
      <w:proofErr w:type="spellEnd"/>
      <w:r w:rsidRPr="004E2603">
        <w:rPr>
          <w:sz w:val="16"/>
          <w:szCs w:val="16"/>
          <w:lang w:eastAsia="de-DE"/>
        </w:rPr>
        <w:t xml:space="preserve"> </w:t>
      </w:r>
      <w:proofErr w:type="spellStart"/>
      <w:r w:rsidRPr="004E2603">
        <w:rPr>
          <w:sz w:val="16"/>
          <w:szCs w:val="16"/>
          <w:lang w:eastAsia="de-DE"/>
        </w:rPr>
        <w:t>applications</w:t>
      </w:r>
      <w:proofErr w:type="spellEnd"/>
      <w:r w:rsidRPr="004E2603">
        <w:rPr>
          <w:sz w:val="16"/>
          <w:szCs w:val="16"/>
          <w:lang w:eastAsia="de-DE"/>
        </w:rPr>
        <w:t xml:space="preserve"> (WBB) and </w:t>
      </w:r>
      <w:proofErr w:type="spellStart"/>
      <w:r w:rsidRPr="004E2603">
        <w:rPr>
          <w:sz w:val="16"/>
          <w:szCs w:val="16"/>
          <w:lang w:eastAsia="de-DE"/>
        </w:rPr>
        <w:t>the</w:t>
      </w:r>
      <w:proofErr w:type="spellEnd"/>
      <w:r w:rsidRPr="004E2603">
        <w:rPr>
          <w:sz w:val="16"/>
          <w:szCs w:val="16"/>
          <w:lang w:eastAsia="de-DE"/>
        </w:rPr>
        <w:t xml:space="preserve"> </w:t>
      </w:r>
      <w:proofErr w:type="spellStart"/>
      <w:r w:rsidRPr="004E2603">
        <w:rPr>
          <w:sz w:val="16"/>
          <w:szCs w:val="16"/>
          <w:lang w:eastAsia="de-DE"/>
        </w:rPr>
        <w:t>relevant</w:t>
      </w:r>
      <w:proofErr w:type="spellEnd"/>
      <w:r w:rsidRPr="004E2603">
        <w:rPr>
          <w:sz w:val="16"/>
          <w:szCs w:val="16"/>
          <w:lang w:eastAsia="de-DE"/>
        </w:rPr>
        <w:t xml:space="preserve"> </w:t>
      </w:r>
      <w:proofErr w:type="spellStart"/>
      <w:r w:rsidRPr="004E2603">
        <w:rPr>
          <w:sz w:val="16"/>
          <w:szCs w:val="16"/>
          <w:lang w:eastAsia="de-DE"/>
        </w:rPr>
        <w:t>incumbent</w:t>
      </w:r>
      <w:proofErr w:type="spellEnd"/>
      <w:r w:rsidRPr="004E2603">
        <w:rPr>
          <w:sz w:val="16"/>
          <w:szCs w:val="16"/>
          <w:lang w:eastAsia="de-DE"/>
        </w:rPr>
        <w:t xml:space="preserve"> </w:t>
      </w:r>
      <w:proofErr w:type="spellStart"/>
      <w:r w:rsidRPr="004E2603">
        <w:rPr>
          <w:sz w:val="16"/>
          <w:szCs w:val="16"/>
          <w:lang w:eastAsia="de-DE"/>
        </w:rPr>
        <w:t>services</w:t>
      </w:r>
      <w:proofErr w:type="spellEnd"/>
      <w:r w:rsidRPr="004E2603">
        <w:rPr>
          <w:sz w:val="16"/>
          <w:szCs w:val="16"/>
          <w:lang w:eastAsia="de-DE"/>
        </w:rPr>
        <w:t>/</w:t>
      </w:r>
      <w:proofErr w:type="spellStart"/>
      <w:r w:rsidRPr="004E2603">
        <w:rPr>
          <w:sz w:val="16"/>
          <w:szCs w:val="16"/>
          <w:lang w:eastAsia="de-DE"/>
        </w:rPr>
        <w:t>applications</w:t>
      </w:r>
      <w:proofErr w:type="spellEnd"/>
      <w:r w:rsidRPr="004E2603">
        <w:rPr>
          <w:sz w:val="16"/>
          <w:szCs w:val="16"/>
          <w:lang w:eastAsia="de-DE"/>
        </w:rPr>
        <w:t xml:space="preserve"> in </w:t>
      </w:r>
      <w:proofErr w:type="spellStart"/>
      <w:r w:rsidRPr="004E2603">
        <w:rPr>
          <w:sz w:val="16"/>
          <w:szCs w:val="16"/>
          <w:lang w:eastAsia="de-DE"/>
        </w:rPr>
        <w:t>the</w:t>
      </w:r>
      <w:proofErr w:type="spellEnd"/>
      <w:r w:rsidRPr="004E2603">
        <w:rPr>
          <w:sz w:val="16"/>
          <w:szCs w:val="16"/>
          <w:lang w:eastAsia="de-DE"/>
        </w:rPr>
        <w:t xml:space="preserve"> 2.3 </w:t>
      </w:r>
      <w:proofErr w:type="spellStart"/>
      <w:r w:rsidRPr="004E2603">
        <w:rPr>
          <w:sz w:val="16"/>
          <w:szCs w:val="16"/>
          <w:lang w:eastAsia="de-DE"/>
        </w:rPr>
        <w:t>GHz</w:t>
      </w:r>
      <w:proofErr w:type="spellEnd"/>
      <w:r w:rsidRPr="004E2603">
        <w:rPr>
          <w:sz w:val="16"/>
          <w:szCs w:val="16"/>
          <w:lang w:eastAsia="de-DE"/>
        </w:rPr>
        <w:t xml:space="preserve"> </w:t>
      </w:r>
      <w:proofErr w:type="spellStart"/>
      <w:r w:rsidRPr="004E2603">
        <w:rPr>
          <w:sz w:val="16"/>
          <w:szCs w:val="16"/>
          <w:lang w:eastAsia="de-DE"/>
        </w:rPr>
        <w:t>band</w:t>
      </w:r>
      <w:proofErr w:type="spellEnd"/>
      <w:r w:rsidRPr="004E2603">
        <w:rPr>
          <w:sz w:val="16"/>
          <w:szCs w:val="16"/>
          <w:lang w:eastAsia="de-DE"/>
        </w:rPr>
        <w:t xml:space="preserve">, CEPT, </w:t>
      </w:r>
      <w:proofErr w:type="spellStart"/>
      <w:r w:rsidRPr="004E2603">
        <w:rPr>
          <w:sz w:val="16"/>
          <w:szCs w:val="16"/>
          <w:lang w:eastAsia="de-DE"/>
        </w:rPr>
        <w:t>March</w:t>
      </w:r>
      <w:proofErr w:type="spellEnd"/>
      <w:r w:rsidRPr="004E2603">
        <w:rPr>
          <w:sz w:val="16"/>
          <w:szCs w:val="16"/>
          <w:lang w:eastAsia="de-DE"/>
        </w:rPr>
        <w:t xml:space="preserve"> 2015 - </w:t>
      </w:r>
      <w:r w:rsidRPr="004E2603">
        <w:rPr>
          <w:sz w:val="16"/>
          <w:szCs w:val="16"/>
        </w:rPr>
        <w:t xml:space="preserve">Műszaki és szabályozási lehetőségek, amelyek lehetővé teszik a vezetéknélküli szélessávú alkalmazások (WBB) és az érintett </w:t>
      </w:r>
      <w:proofErr w:type="spellStart"/>
      <w:r w:rsidRPr="004E2603">
        <w:rPr>
          <w:sz w:val="16"/>
          <w:szCs w:val="16"/>
        </w:rPr>
        <w:t>inkumbens</w:t>
      </w:r>
      <w:proofErr w:type="spellEnd"/>
      <w:r w:rsidRPr="004E2603">
        <w:rPr>
          <w:sz w:val="16"/>
          <w:szCs w:val="16"/>
        </w:rPr>
        <w:t xml:space="preserve"> szolgálatok / alkalmazások közötti megosztást a 2,3 </w:t>
      </w:r>
      <w:proofErr w:type="spellStart"/>
      <w:r w:rsidRPr="004E2603">
        <w:rPr>
          <w:sz w:val="16"/>
          <w:szCs w:val="16"/>
        </w:rPr>
        <w:t>GHz</w:t>
      </w:r>
      <w:proofErr w:type="spellEnd"/>
      <w:r w:rsidRPr="004E2603">
        <w:rPr>
          <w:sz w:val="16"/>
          <w:szCs w:val="16"/>
        </w:rPr>
        <w:t>-es sávban (</w:t>
      </w:r>
      <w:r w:rsidRPr="004E2603">
        <w:rPr>
          <w:sz w:val="16"/>
          <w:szCs w:val="16"/>
          <w:lang w:eastAsia="de-DE"/>
        </w:rPr>
        <w:t>2015. március)</w:t>
      </w:r>
    </w:p>
  </w:footnote>
  <w:footnote w:id="23">
    <w:p w14:paraId="7D54CB80" w14:textId="575FC79E" w:rsidR="00E01EDB" w:rsidRPr="004E2603" w:rsidRDefault="00E01EDB" w:rsidP="005D6DE4">
      <w:pPr>
        <w:pStyle w:val="Irodalomjegyzkfelsorolsnmhh"/>
        <w:numPr>
          <w:ilvl w:val="0"/>
          <w:numId w:val="0"/>
        </w:numPr>
        <w:spacing w:after="0" w:line="240" w:lineRule="auto"/>
        <w:rPr>
          <w:sz w:val="16"/>
          <w:szCs w:val="16"/>
        </w:rPr>
      </w:pPr>
      <w:r w:rsidRPr="004E2603">
        <w:rPr>
          <w:rStyle w:val="Lbjegyzet-hivatkozs"/>
          <w:sz w:val="16"/>
          <w:szCs w:val="16"/>
        </w:rPr>
        <w:footnoteRef/>
      </w:r>
      <w:r w:rsidRPr="004E2603">
        <w:rPr>
          <w:sz w:val="16"/>
          <w:szCs w:val="16"/>
        </w:rPr>
        <w:t xml:space="preserve"> CEPT </w:t>
      </w:r>
      <w:proofErr w:type="spellStart"/>
      <w:r w:rsidRPr="004E2603">
        <w:rPr>
          <w:sz w:val="16"/>
          <w:szCs w:val="16"/>
        </w:rPr>
        <w:t>Report</w:t>
      </w:r>
      <w:proofErr w:type="spellEnd"/>
      <w:r w:rsidRPr="004E2603">
        <w:rPr>
          <w:sz w:val="16"/>
          <w:szCs w:val="16"/>
        </w:rPr>
        <w:t xml:space="preserve"> 58: </w:t>
      </w:r>
      <w:proofErr w:type="spellStart"/>
      <w:r w:rsidRPr="004E2603">
        <w:rPr>
          <w:sz w:val="16"/>
          <w:szCs w:val="16"/>
        </w:rPr>
        <w:t>Technical</w:t>
      </w:r>
      <w:proofErr w:type="spellEnd"/>
      <w:r w:rsidRPr="004E2603">
        <w:rPr>
          <w:sz w:val="16"/>
          <w:szCs w:val="16"/>
        </w:rPr>
        <w:t xml:space="preserve"> </w:t>
      </w:r>
      <w:proofErr w:type="spellStart"/>
      <w:r w:rsidRPr="004E2603">
        <w:rPr>
          <w:sz w:val="16"/>
          <w:szCs w:val="16"/>
        </w:rPr>
        <w:t>sharing</w:t>
      </w:r>
      <w:proofErr w:type="spellEnd"/>
      <w:r w:rsidRPr="004E2603">
        <w:rPr>
          <w:sz w:val="16"/>
          <w:szCs w:val="16"/>
        </w:rPr>
        <w:t xml:space="preserve"> </w:t>
      </w:r>
      <w:proofErr w:type="spellStart"/>
      <w:r w:rsidRPr="004E2603">
        <w:rPr>
          <w:sz w:val="16"/>
          <w:szCs w:val="16"/>
        </w:rPr>
        <w:t>solutions</w:t>
      </w:r>
      <w:proofErr w:type="spellEnd"/>
      <w:r w:rsidRPr="004E2603">
        <w:rPr>
          <w:sz w:val="16"/>
          <w:szCs w:val="16"/>
        </w:rPr>
        <w:t xml:space="preserve"> </w:t>
      </w:r>
      <w:proofErr w:type="spellStart"/>
      <w:r w:rsidRPr="004E2603">
        <w:rPr>
          <w:sz w:val="16"/>
          <w:szCs w:val="16"/>
        </w:rPr>
        <w:t>for</w:t>
      </w:r>
      <w:proofErr w:type="spellEnd"/>
      <w:r w:rsidRPr="004E2603">
        <w:rPr>
          <w:sz w:val="16"/>
          <w:szCs w:val="16"/>
        </w:rPr>
        <w:t xml:space="preserve"> </w:t>
      </w:r>
      <w:proofErr w:type="spellStart"/>
      <w:r w:rsidRPr="004E2603">
        <w:rPr>
          <w:sz w:val="16"/>
          <w:szCs w:val="16"/>
        </w:rPr>
        <w:t>the</w:t>
      </w:r>
      <w:proofErr w:type="spellEnd"/>
      <w:r w:rsidRPr="004E2603">
        <w:rPr>
          <w:sz w:val="16"/>
          <w:szCs w:val="16"/>
        </w:rPr>
        <w:t xml:space="preserve"> </w:t>
      </w:r>
      <w:proofErr w:type="spellStart"/>
      <w:r w:rsidRPr="004E2603">
        <w:rPr>
          <w:sz w:val="16"/>
          <w:szCs w:val="16"/>
        </w:rPr>
        <w:t>shared</w:t>
      </w:r>
      <w:proofErr w:type="spellEnd"/>
      <w:r w:rsidRPr="004E2603">
        <w:rPr>
          <w:sz w:val="16"/>
          <w:szCs w:val="16"/>
        </w:rPr>
        <w:t xml:space="preserve"> </w:t>
      </w:r>
      <w:proofErr w:type="spellStart"/>
      <w:r w:rsidRPr="004E2603">
        <w:rPr>
          <w:sz w:val="16"/>
          <w:szCs w:val="16"/>
        </w:rPr>
        <w:t>use</w:t>
      </w:r>
      <w:proofErr w:type="spellEnd"/>
      <w:r w:rsidRPr="004E2603">
        <w:rPr>
          <w:sz w:val="16"/>
          <w:szCs w:val="16"/>
        </w:rPr>
        <w:t xml:space="preserve"> of </w:t>
      </w:r>
      <w:proofErr w:type="spellStart"/>
      <w:r w:rsidRPr="004E2603">
        <w:rPr>
          <w:sz w:val="16"/>
          <w:szCs w:val="16"/>
        </w:rPr>
        <w:t>the</w:t>
      </w:r>
      <w:proofErr w:type="spellEnd"/>
      <w:r w:rsidRPr="004E2603">
        <w:rPr>
          <w:sz w:val="16"/>
          <w:szCs w:val="16"/>
        </w:rPr>
        <w:t xml:space="preserve"> 2 300</w:t>
      </w:r>
      <w:r w:rsidRPr="004E2603">
        <w:rPr>
          <w:sz w:val="16"/>
          <w:szCs w:val="16"/>
        </w:rPr>
        <w:noBreakHyphen/>
        <w:t xml:space="preserve">2 400 MHz </w:t>
      </w:r>
      <w:proofErr w:type="spellStart"/>
      <w:r w:rsidRPr="004E2603">
        <w:rPr>
          <w:sz w:val="16"/>
          <w:szCs w:val="16"/>
        </w:rPr>
        <w:t>band</w:t>
      </w:r>
      <w:proofErr w:type="spellEnd"/>
      <w:r w:rsidRPr="004E2603">
        <w:rPr>
          <w:sz w:val="16"/>
          <w:szCs w:val="16"/>
        </w:rPr>
        <w:t xml:space="preserve"> </w:t>
      </w:r>
      <w:proofErr w:type="spellStart"/>
      <w:r w:rsidRPr="004E2603">
        <w:rPr>
          <w:sz w:val="16"/>
          <w:szCs w:val="16"/>
        </w:rPr>
        <w:t>for</w:t>
      </w:r>
      <w:proofErr w:type="spellEnd"/>
      <w:r w:rsidRPr="004E2603">
        <w:rPr>
          <w:sz w:val="16"/>
          <w:szCs w:val="16"/>
        </w:rPr>
        <w:t xml:space="preserve"> WBB and PMSE, CEPT, May 2015 - Műszaki megosztási megoldások a 2300-2400 MHz sáv megosztott használatához a WBB és a PMSE számára (2015. május)</w:t>
      </w:r>
    </w:p>
  </w:footnote>
  <w:footnote w:id="24">
    <w:p w14:paraId="390FE443" w14:textId="77777777" w:rsidR="00E01EDB" w:rsidRPr="004E2603" w:rsidRDefault="00E01EDB" w:rsidP="00B200DF">
      <w:pPr>
        <w:pStyle w:val="Lbjegyzetszveg"/>
        <w:rPr>
          <w:sz w:val="16"/>
          <w:szCs w:val="16"/>
        </w:rPr>
      </w:pPr>
      <w:r w:rsidRPr="004E2603">
        <w:rPr>
          <w:rStyle w:val="Lbjegyzet-hivatkozs"/>
          <w:sz w:val="16"/>
          <w:szCs w:val="16"/>
        </w:rPr>
        <w:footnoteRef/>
      </w:r>
      <w:r w:rsidRPr="004E2603">
        <w:rPr>
          <w:sz w:val="16"/>
          <w:szCs w:val="16"/>
        </w:rPr>
        <w:t xml:space="preserve"> RSPG13-538: </w:t>
      </w:r>
      <w:proofErr w:type="spellStart"/>
      <w:r w:rsidRPr="004E2603">
        <w:rPr>
          <w:sz w:val="16"/>
          <w:szCs w:val="16"/>
        </w:rPr>
        <w:t>Opinion</w:t>
      </w:r>
      <w:proofErr w:type="spellEnd"/>
      <w:r w:rsidRPr="004E2603">
        <w:rPr>
          <w:sz w:val="16"/>
          <w:szCs w:val="16"/>
        </w:rPr>
        <w:t xml:space="preserve"> </w:t>
      </w:r>
      <w:proofErr w:type="spellStart"/>
      <w:r w:rsidRPr="004E2603">
        <w:rPr>
          <w:sz w:val="16"/>
          <w:szCs w:val="16"/>
        </w:rPr>
        <w:t>on</w:t>
      </w:r>
      <w:proofErr w:type="spellEnd"/>
      <w:r w:rsidRPr="004E2603">
        <w:rPr>
          <w:sz w:val="16"/>
          <w:szCs w:val="16"/>
        </w:rPr>
        <w:t xml:space="preserve"> </w:t>
      </w:r>
      <w:proofErr w:type="spellStart"/>
      <w:r w:rsidRPr="004E2603">
        <w:rPr>
          <w:sz w:val="16"/>
          <w:szCs w:val="16"/>
        </w:rPr>
        <w:t>Licensed</w:t>
      </w:r>
      <w:proofErr w:type="spellEnd"/>
      <w:r w:rsidRPr="004E2603">
        <w:rPr>
          <w:sz w:val="16"/>
          <w:szCs w:val="16"/>
        </w:rPr>
        <w:t xml:space="preserve"> </w:t>
      </w:r>
      <w:proofErr w:type="spellStart"/>
      <w:r w:rsidRPr="004E2603">
        <w:rPr>
          <w:sz w:val="16"/>
          <w:szCs w:val="16"/>
        </w:rPr>
        <w:t>Shared</w:t>
      </w:r>
      <w:proofErr w:type="spellEnd"/>
      <w:r w:rsidRPr="004E2603">
        <w:rPr>
          <w:sz w:val="16"/>
          <w:szCs w:val="16"/>
        </w:rPr>
        <w:t xml:space="preserve"> Access Szakvélemény az LSA-</w:t>
      </w:r>
      <w:proofErr w:type="spellStart"/>
      <w:r w:rsidRPr="004E2603">
        <w:rPr>
          <w:sz w:val="16"/>
          <w:szCs w:val="16"/>
        </w:rPr>
        <w:t>ról</w:t>
      </w:r>
      <w:proofErr w:type="spellEnd"/>
      <w:r w:rsidRPr="004E2603">
        <w:rPr>
          <w:sz w:val="16"/>
          <w:szCs w:val="16"/>
        </w:rPr>
        <w:t xml:space="preserve">, Rádióspektrum Politikai Csoport, 2013. november </w:t>
      </w:r>
      <w:hyperlink r:id="rId2" w:history="1">
        <w:r w:rsidRPr="004E2603">
          <w:rPr>
            <w:rStyle w:val="Hiperhivatkozs"/>
            <w:sz w:val="16"/>
            <w:szCs w:val="16"/>
          </w:rPr>
          <w:t>https://circabc.europa.eu/sd/d/3958ecef-c25e-4e4f-8e3b-469d1db6bc07/RSPG13-538_RSPG-Opinion-on-LSA%20.pdf</w:t>
        </w:r>
      </w:hyperlink>
      <w:r w:rsidRPr="004E2603">
        <w:rPr>
          <w:sz w:val="16"/>
          <w:szCs w:val="16"/>
        </w:rPr>
        <w:t xml:space="preserve"> </w:t>
      </w:r>
    </w:p>
  </w:footnote>
  <w:footnote w:id="25">
    <w:p w14:paraId="31B4B46F" w14:textId="77777777" w:rsidR="00E01EDB" w:rsidRPr="004E2603" w:rsidRDefault="00E01EDB">
      <w:pPr>
        <w:pStyle w:val="Lbjegyzetszveg"/>
        <w:rPr>
          <w:sz w:val="16"/>
          <w:szCs w:val="16"/>
        </w:rPr>
      </w:pPr>
      <w:r w:rsidRPr="004E2603">
        <w:rPr>
          <w:rStyle w:val="Lbjegyzet-hivatkozs"/>
          <w:sz w:val="16"/>
          <w:szCs w:val="16"/>
        </w:rPr>
        <w:footnoteRef/>
      </w:r>
      <w:r w:rsidRPr="004E2603">
        <w:rPr>
          <w:sz w:val="16"/>
          <w:szCs w:val="16"/>
        </w:rPr>
        <w:t xml:space="preserve"> 3</w:t>
      </w:r>
      <w:r w:rsidRPr="004E2603">
        <w:rPr>
          <w:rFonts w:cstheme="minorHAnsi"/>
          <w:sz w:val="16"/>
          <w:szCs w:val="16"/>
          <w:vertAlign w:val="superscript"/>
        </w:rPr>
        <w:t xml:space="preserve">rd </w:t>
      </w:r>
      <w:proofErr w:type="spellStart"/>
      <w:r w:rsidRPr="004E2603">
        <w:rPr>
          <w:sz w:val="16"/>
          <w:szCs w:val="16"/>
        </w:rPr>
        <w:t>Generation</w:t>
      </w:r>
      <w:proofErr w:type="spellEnd"/>
      <w:r w:rsidRPr="004E2603">
        <w:rPr>
          <w:sz w:val="16"/>
          <w:szCs w:val="16"/>
        </w:rPr>
        <w:t xml:space="preserve"> </w:t>
      </w:r>
      <w:proofErr w:type="spellStart"/>
      <w:r w:rsidRPr="004E2603">
        <w:rPr>
          <w:sz w:val="16"/>
          <w:szCs w:val="16"/>
        </w:rPr>
        <w:t>Partnership</w:t>
      </w:r>
      <w:proofErr w:type="spellEnd"/>
      <w:r w:rsidRPr="004E2603">
        <w:rPr>
          <w:sz w:val="16"/>
          <w:szCs w:val="16"/>
        </w:rPr>
        <w:t xml:space="preserve"> Project</w:t>
      </w:r>
    </w:p>
  </w:footnote>
  <w:footnote w:id="26">
    <w:p w14:paraId="7C7AD4D9" w14:textId="77777777" w:rsidR="00E01EDB" w:rsidRPr="004E2603" w:rsidRDefault="00E01EDB" w:rsidP="001307B1">
      <w:pPr>
        <w:pStyle w:val="Lbjegyzetszveg"/>
        <w:rPr>
          <w:sz w:val="16"/>
          <w:szCs w:val="16"/>
        </w:rPr>
      </w:pPr>
      <w:r w:rsidRPr="004E2603">
        <w:rPr>
          <w:rStyle w:val="Lbjegyzet-hivatkozs"/>
          <w:sz w:val="16"/>
          <w:szCs w:val="16"/>
        </w:rPr>
        <w:footnoteRef/>
      </w:r>
      <w:r w:rsidRPr="004E2603">
        <w:rPr>
          <w:sz w:val="16"/>
          <w:szCs w:val="16"/>
        </w:rPr>
        <w:t xml:space="preserve"> 3GPP TS 36.104 V8.1.0 (2008-03).: 3rd </w:t>
      </w:r>
      <w:proofErr w:type="spellStart"/>
      <w:r w:rsidRPr="004E2603">
        <w:rPr>
          <w:sz w:val="16"/>
          <w:szCs w:val="16"/>
        </w:rPr>
        <w:t>Generation</w:t>
      </w:r>
      <w:proofErr w:type="spellEnd"/>
      <w:r w:rsidRPr="004E2603">
        <w:rPr>
          <w:sz w:val="16"/>
          <w:szCs w:val="16"/>
        </w:rPr>
        <w:t xml:space="preserve"> </w:t>
      </w:r>
      <w:proofErr w:type="spellStart"/>
      <w:r w:rsidRPr="004E2603">
        <w:rPr>
          <w:sz w:val="16"/>
          <w:szCs w:val="16"/>
        </w:rPr>
        <w:t>Partnership</w:t>
      </w:r>
      <w:proofErr w:type="spellEnd"/>
      <w:r w:rsidRPr="004E2603">
        <w:rPr>
          <w:sz w:val="16"/>
          <w:szCs w:val="16"/>
        </w:rPr>
        <w:t xml:space="preserve"> Project; </w:t>
      </w:r>
      <w:proofErr w:type="spellStart"/>
      <w:r w:rsidRPr="004E2603">
        <w:rPr>
          <w:sz w:val="16"/>
          <w:szCs w:val="16"/>
        </w:rPr>
        <w:t>Technical</w:t>
      </w:r>
      <w:proofErr w:type="spellEnd"/>
      <w:r w:rsidRPr="004E2603">
        <w:rPr>
          <w:sz w:val="16"/>
          <w:szCs w:val="16"/>
        </w:rPr>
        <w:t xml:space="preserve"> </w:t>
      </w:r>
      <w:proofErr w:type="spellStart"/>
      <w:r w:rsidRPr="004E2603">
        <w:rPr>
          <w:sz w:val="16"/>
          <w:szCs w:val="16"/>
        </w:rPr>
        <w:t>Specification</w:t>
      </w:r>
      <w:proofErr w:type="spellEnd"/>
      <w:r w:rsidRPr="004E2603">
        <w:rPr>
          <w:sz w:val="16"/>
          <w:szCs w:val="16"/>
        </w:rPr>
        <w:t xml:space="preserve"> Group </w:t>
      </w:r>
      <w:proofErr w:type="spellStart"/>
      <w:r w:rsidRPr="004E2603">
        <w:rPr>
          <w:sz w:val="16"/>
          <w:szCs w:val="16"/>
        </w:rPr>
        <w:t>Radio</w:t>
      </w:r>
      <w:proofErr w:type="spellEnd"/>
      <w:r w:rsidRPr="004E2603">
        <w:rPr>
          <w:sz w:val="16"/>
          <w:szCs w:val="16"/>
        </w:rPr>
        <w:t xml:space="preserve"> Access Network; </w:t>
      </w:r>
      <w:proofErr w:type="spellStart"/>
      <w:r w:rsidRPr="004E2603">
        <w:rPr>
          <w:sz w:val="16"/>
          <w:szCs w:val="16"/>
        </w:rPr>
        <w:t>Evolved</w:t>
      </w:r>
      <w:proofErr w:type="spellEnd"/>
      <w:r w:rsidRPr="004E2603">
        <w:rPr>
          <w:sz w:val="16"/>
          <w:szCs w:val="16"/>
        </w:rPr>
        <w:t xml:space="preserve"> </w:t>
      </w:r>
      <w:proofErr w:type="spellStart"/>
      <w:r w:rsidRPr="004E2603">
        <w:rPr>
          <w:sz w:val="16"/>
          <w:szCs w:val="16"/>
        </w:rPr>
        <w:t>Universal</w:t>
      </w:r>
      <w:proofErr w:type="spellEnd"/>
      <w:r w:rsidRPr="004E2603">
        <w:rPr>
          <w:sz w:val="16"/>
          <w:szCs w:val="16"/>
        </w:rPr>
        <w:t xml:space="preserve"> </w:t>
      </w:r>
      <w:proofErr w:type="spellStart"/>
      <w:r w:rsidRPr="004E2603">
        <w:rPr>
          <w:sz w:val="16"/>
          <w:szCs w:val="16"/>
        </w:rPr>
        <w:t>Terrestrial</w:t>
      </w:r>
      <w:proofErr w:type="spellEnd"/>
      <w:r w:rsidRPr="004E2603">
        <w:rPr>
          <w:sz w:val="16"/>
          <w:szCs w:val="16"/>
        </w:rPr>
        <w:t xml:space="preserve"> </w:t>
      </w:r>
      <w:proofErr w:type="spellStart"/>
      <w:r w:rsidRPr="004E2603">
        <w:rPr>
          <w:sz w:val="16"/>
          <w:szCs w:val="16"/>
        </w:rPr>
        <w:t>Radio</w:t>
      </w:r>
      <w:proofErr w:type="spellEnd"/>
      <w:r w:rsidRPr="004E2603">
        <w:rPr>
          <w:sz w:val="16"/>
          <w:szCs w:val="16"/>
        </w:rPr>
        <w:t xml:space="preserve"> Access (E-UTRA); </w:t>
      </w:r>
      <w:proofErr w:type="spellStart"/>
      <w:r w:rsidRPr="004E2603">
        <w:rPr>
          <w:sz w:val="16"/>
          <w:szCs w:val="16"/>
        </w:rPr>
        <w:t>Base</w:t>
      </w:r>
      <w:proofErr w:type="spellEnd"/>
      <w:r w:rsidRPr="004E2603">
        <w:rPr>
          <w:sz w:val="16"/>
          <w:szCs w:val="16"/>
        </w:rPr>
        <w:t xml:space="preserve"> </w:t>
      </w:r>
      <w:proofErr w:type="spellStart"/>
      <w:r w:rsidRPr="004E2603">
        <w:rPr>
          <w:sz w:val="16"/>
          <w:szCs w:val="16"/>
        </w:rPr>
        <w:t>Station</w:t>
      </w:r>
      <w:proofErr w:type="spellEnd"/>
      <w:r w:rsidRPr="004E2603">
        <w:rPr>
          <w:sz w:val="16"/>
          <w:szCs w:val="16"/>
        </w:rPr>
        <w:t xml:space="preserve"> (BS) </w:t>
      </w:r>
      <w:proofErr w:type="spellStart"/>
      <w:r w:rsidRPr="004E2603">
        <w:rPr>
          <w:sz w:val="16"/>
          <w:szCs w:val="16"/>
        </w:rPr>
        <w:t>radio</w:t>
      </w:r>
      <w:proofErr w:type="spellEnd"/>
      <w:r w:rsidRPr="004E2603">
        <w:rPr>
          <w:sz w:val="16"/>
          <w:szCs w:val="16"/>
        </w:rPr>
        <w:t xml:space="preserve"> </w:t>
      </w:r>
      <w:proofErr w:type="spellStart"/>
      <w:r w:rsidRPr="004E2603">
        <w:rPr>
          <w:sz w:val="16"/>
          <w:szCs w:val="16"/>
        </w:rPr>
        <w:t>transmission</w:t>
      </w:r>
      <w:proofErr w:type="spellEnd"/>
      <w:r w:rsidRPr="004E2603">
        <w:rPr>
          <w:sz w:val="16"/>
          <w:szCs w:val="16"/>
        </w:rPr>
        <w:t xml:space="preserve"> and reception (</w:t>
      </w:r>
      <w:proofErr w:type="spellStart"/>
      <w:r w:rsidRPr="004E2603">
        <w:rPr>
          <w:sz w:val="16"/>
          <w:szCs w:val="16"/>
        </w:rPr>
        <w:t>Release</w:t>
      </w:r>
      <w:proofErr w:type="spellEnd"/>
      <w:r w:rsidRPr="004E2603">
        <w:rPr>
          <w:sz w:val="16"/>
          <w:szCs w:val="16"/>
        </w:rPr>
        <w:t xml:space="preserve"> 8), 2008. március, </w:t>
      </w:r>
      <w:hyperlink r:id="rId3" w:history="1">
        <w:r w:rsidRPr="004E2603">
          <w:rPr>
            <w:rStyle w:val="Hiperhivatkozs"/>
            <w:sz w:val="16"/>
            <w:szCs w:val="16"/>
          </w:rPr>
          <w:t>https://portal.3gpp.org/ChangeRequests.aspx?q=1&amp;versionId=39719&amp;release=182</w:t>
        </w:r>
      </w:hyperlink>
      <w:r w:rsidRPr="004E2603">
        <w:rPr>
          <w:sz w:val="16"/>
          <w:szCs w:val="16"/>
        </w:rPr>
        <w:t xml:space="preserve"> </w:t>
      </w:r>
    </w:p>
  </w:footnote>
  <w:footnote w:id="27">
    <w:p w14:paraId="0F447076" w14:textId="7FCCB0FE" w:rsidR="00E01EDB" w:rsidRPr="004E2603" w:rsidRDefault="00E01EDB" w:rsidP="00473D30">
      <w:pPr>
        <w:pStyle w:val="Lbjegyzetszveg"/>
        <w:rPr>
          <w:sz w:val="16"/>
          <w:szCs w:val="16"/>
        </w:rPr>
      </w:pPr>
      <w:r w:rsidRPr="004E2603">
        <w:rPr>
          <w:rStyle w:val="Lbjegyzet-hivatkozs"/>
          <w:sz w:val="16"/>
          <w:szCs w:val="16"/>
        </w:rPr>
        <w:footnoteRef/>
      </w:r>
      <w:r w:rsidRPr="004E2603">
        <w:rPr>
          <w:sz w:val="16"/>
          <w:szCs w:val="16"/>
        </w:rPr>
        <w:t xml:space="preserve"> Kis hatótávolságú eszköz</w:t>
      </w:r>
      <w:r>
        <w:rPr>
          <w:sz w:val="16"/>
          <w:szCs w:val="16"/>
        </w:rPr>
        <w:t xml:space="preserve"> - </w:t>
      </w:r>
      <w:proofErr w:type="spellStart"/>
      <w:r w:rsidRPr="004E2603">
        <w:rPr>
          <w:sz w:val="16"/>
          <w:szCs w:val="16"/>
        </w:rPr>
        <w:t>Short</w:t>
      </w:r>
      <w:proofErr w:type="spellEnd"/>
      <w:r w:rsidRPr="004E2603">
        <w:rPr>
          <w:sz w:val="16"/>
          <w:szCs w:val="16"/>
        </w:rPr>
        <w:t xml:space="preserve"> </w:t>
      </w:r>
      <w:proofErr w:type="spellStart"/>
      <w:r w:rsidRPr="004E2603">
        <w:rPr>
          <w:sz w:val="16"/>
          <w:szCs w:val="16"/>
        </w:rPr>
        <w:t>Range</w:t>
      </w:r>
      <w:proofErr w:type="spellEnd"/>
      <w:r w:rsidRPr="004E2603">
        <w:rPr>
          <w:sz w:val="16"/>
          <w:szCs w:val="16"/>
        </w:rPr>
        <w:t xml:space="preserve"> </w:t>
      </w:r>
      <w:proofErr w:type="spellStart"/>
      <w:r w:rsidRPr="004E2603">
        <w:rPr>
          <w:sz w:val="16"/>
          <w:szCs w:val="16"/>
        </w:rPr>
        <w:t>Device</w:t>
      </w:r>
      <w:proofErr w:type="spellEnd"/>
      <w:r>
        <w:rPr>
          <w:sz w:val="16"/>
          <w:szCs w:val="16"/>
        </w:rPr>
        <w:t>, SRD</w:t>
      </w:r>
    </w:p>
  </w:footnote>
  <w:footnote w:id="28">
    <w:p w14:paraId="4F9B1A6F" w14:textId="718F8801" w:rsidR="00E01EDB" w:rsidRPr="00E20B55" w:rsidRDefault="00E01EDB">
      <w:pPr>
        <w:pStyle w:val="Lbjegyzetszveg"/>
        <w:rPr>
          <w:sz w:val="16"/>
        </w:rPr>
      </w:pPr>
      <w:r w:rsidRPr="00E20B55">
        <w:rPr>
          <w:rStyle w:val="Lbjegyzet-hivatkozs"/>
          <w:sz w:val="16"/>
        </w:rPr>
        <w:footnoteRef/>
      </w:r>
      <w:r w:rsidRPr="00E20B55">
        <w:rPr>
          <w:sz w:val="16"/>
        </w:rPr>
        <w:t xml:space="preserve"> Ultra-</w:t>
      </w:r>
      <w:proofErr w:type="spellStart"/>
      <w:r w:rsidRPr="00E20B55">
        <w:rPr>
          <w:sz w:val="16"/>
        </w:rPr>
        <w:t>Wideband</w:t>
      </w:r>
      <w:proofErr w:type="spellEnd"/>
      <w:r w:rsidRPr="00E20B55">
        <w:rPr>
          <w:sz w:val="16"/>
        </w:rPr>
        <w:t>, Ultraszéles sávú</w:t>
      </w:r>
    </w:p>
  </w:footnote>
  <w:footnote w:id="29">
    <w:p w14:paraId="0C51FDAD" w14:textId="2A61704C" w:rsidR="00E01EDB" w:rsidRDefault="00E01EDB">
      <w:pPr>
        <w:pStyle w:val="Lbjegyzetszveg"/>
      </w:pPr>
      <w:r w:rsidRPr="00E20B55">
        <w:rPr>
          <w:rStyle w:val="Lbjegyzet-hivatkozs"/>
          <w:sz w:val="16"/>
        </w:rPr>
        <w:footnoteRef/>
      </w:r>
      <w:r w:rsidRPr="00E20B55">
        <w:rPr>
          <w:sz w:val="16"/>
        </w:rPr>
        <w:t xml:space="preserve"> </w:t>
      </w:r>
      <w:proofErr w:type="spellStart"/>
      <w:r w:rsidRPr="00E20B55">
        <w:rPr>
          <w:sz w:val="16"/>
        </w:rPr>
        <w:t>Ground</w:t>
      </w:r>
      <w:proofErr w:type="spellEnd"/>
      <w:r w:rsidRPr="00E20B55">
        <w:rPr>
          <w:sz w:val="16"/>
        </w:rPr>
        <w:t xml:space="preserve"> </w:t>
      </w:r>
      <w:proofErr w:type="spellStart"/>
      <w:r w:rsidRPr="00E20B55">
        <w:rPr>
          <w:sz w:val="16"/>
        </w:rPr>
        <w:t>Probing</w:t>
      </w:r>
      <w:proofErr w:type="spellEnd"/>
      <w:r w:rsidRPr="00E20B55">
        <w:rPr>
          <w:sz w:val="16"/>
        </w:rPr>
        <w:t xml:space="preserve"> Radar/Wall </w:t>
      </w:r>
      <w:proofErr w:type="spellStart"/>
      <w:r w:rsidRPr="00E20B55">
        <w:rPr>
          <w:sz w:val="16"/>
        </w:rPr>
        <w:t>Probing</w:t>
      </w:r>
      <w:proofErr w:type="spellEnd"/>
      <w:r w:rsidRPr="00E20B55">
        <w:rPr>
          <w:sz w:val="16"/>
        </w:rPr>
        <w:t xml:space="preserve"> Radar, Talajvizsgáló radar/falvizsgáló radar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816D1" w14:textId="77777777" w:rsidR="00E01EDB" w:rsidRDefault="00E01EDB">
    <w:pPr>
      <w:pStyle w:val="lfej"/>
    </w:pPr>
    <w:r>
      <w:rPr>
        <w:noProof/>
        <w:lang w:eastAsia="hu-HU"/>
      </w:rPr>
      <w:drawing>
        <wp:anchor distT="0" distB="0" distL="114300" distR="114300" simplePos="0" relativeHeight="251662848" behindDoc="0" locked="0" layoutInCell="1" allowOverlap="1" wp14:anchorId="6582CBFA" wp14:editId="65D82054">
          <wp:simplePos x="0" y="0"/>
          <wp:positionH relativeFrom="margin">
            <wp:posOffset>-883920</wp:posOffset>
          </wp:positionH>
          <wp:positionV relativeFrom="page">
            <wp:posOffset>0</wp:posOffset>
          </wp:positionV>
          <wp:extent cx="7529195" cy="1077595"/>
          <wp:effectExtent l="0" t="0" r="0" b="0"/>
          <wp:wrapTopAndBottom/>
          <wp:docPr id="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C1DF" w14:textId="77777777" w:rsidR="00E01EDB" w:rsidRDefault="00E01EDB">
    <w:pPr>
      <w:pStyle w:val="lfej"/>
    </w:pPr>
    <w:r>
      <w:rPr>
        <w:noProof/>
        <w:lang w:eastAsia="hu-HU"/>
      </w:rPr>
      <w:drawing>
        <wp:anchor distT="0" distB="0" distL="114300" distR="114300" simplePos="0" relativeHeight="251661824" behindDoc="0" locked="0" layoutInCell="1" allowOverlap="1" wp14:anchorId="2F5D2B41" wp14:editId="2451364E">
          <wp:simplePos x="0" y="0"/>
          <wp:positionH relativeFrom="margin">
            <wp:posOffset>-883920</wp:posOffset>
          </wp:positionH>
          <wp:positionV relativeFrom="page">
            <wp:posOffset>0</wp:posOffset>
          </wp:positionV>
          <wp:extent cx="7529195" cy="1077595"/>
          <wp:effectExtent l="0" t="0" r="0" b="0"/>
          <wp:wrapTopAndBottom/>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5170C" w14:textId="77777777" w:rsidR="00E01EDB" w:rsidRDefault="00E01EDB">
    <w:pPr>
      <w:pStyle w:val="lfej"/>
    </w:pPr>
    <w:r>
      <w:rPr>
        <w:noProof/>
        <w:lang w:eastAsia="hu-HU"/>
      </w:rPr>
      <w:drawing>
        <wp:anchor distT="0" distB="0" distL="114300" distR="114300" simplePos="0" relativeHeight="251660800" behindDoc="0" locked="0" layoutInCell="1" allowOverlap="1" wp14:anchorId="5A9D1212" wp14:editId="56CB1E2B">
          <wp:simplePos x="0" y="0"/>
          <wp:positionH relativeFrom="margin">
            <wp:posOffset>-883920</wp:posOffset>
          </wp:positionH>
          <wp:positionV relativeFrom="page">
            <wp:posOffset>0</wp:posOffset>
          </wp:positionV>
          <wp:extent cx="7529195" cy="1077595"/>
          <wp:effectExtent l="0" t="0" r="0" b="0"/>
          <wp:wrapTopAndBottom/>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2632" w14:textId="77777777" w:rsidR="00E01EDB" w:rsidRDefault="00E01EDB">
    <w:pPr>
      <w:pStyle w:val="lfej"/>
    </w:pPr>
    <w:r>
      <w:rPr>
        <w:noProof/>
        <w:lang w:eastAsia="hu-HU"/>
      </w:rPr>
      <w:drawing>
        <wp:anchor distT="0" distB="0" distL="114300" distR="114300" simplePos="0" relativeHeight="251664896" behindDoc="0" locked="0" layoutInCell="1" allowOverlap="1" wp14:anchorId="49514B76" wp14:editId="4EC8C0AA">
          <wp:simplePos x="0" y="0"/>
          <wp:positionH relativeFrom="margin">
            <wp:posOffset>-907225</wp:posOffset>
          </wp:positionH>
          <wp:positionV relativeFrom="page">
            <wp:posOffset>-151130</wp:posOffset>
          </wp:positionV>
          <wp:extent cx="7529195" cy="1077595"/>
          <wp:effectExtent l="0" t="0" r="0" b="0"/>
          <wp:wrapTopAndBottom/>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9195" cy="10775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A2EF0"/>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 w15:restartNumberingAfterBreak="0">
    <w:nsid w:val="1B6B129D"/>
    <w:multiLevelType w:val="hybridMultilevel"/>
    <w:tmpl w:val="554CBE6E"/>
    <w:lvl w:ilvl="0" w:tplc="4D004BDA">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D784372"/>
    <w:multiLevelType w:val="hybridMultilevel"/>
    <w:tmpl w:val="4958322A"/>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3" w15:restartNumberingAfterBreak="0">
    <w:nsid w:val="23064FBD"/>
    <w:multiLevelType w:val="hybridMultilevel"/>
    <w:tmpl w:val="3146AE02"/>
    <w:lvl w:ilvl="0" w:tplc="30F0B694">
      <w:start w:val="1"/>
      <w:numFmt w:val="upperLetter"/>
      <w:pStyle w:val="Felsorols1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A8A3C1C"/>
    <w:multiLevelType w:val="multilevel"/>
    <w:tmpl w:val="8C422B7E"/>
    <w:lvl w:ilvl="0">
      <w:start w:val="1"/>
      <w:numFmt w:val="decimal"/>
      <w:pStyle w:val="Cmsor1szmozottnmhh"/>
      <w:lvlText w:val="%1"/>
      <w:lvlJc w:val="left"/>
      <w:pPr>
        <w:ind w:left="4685" w:hanging="432"/>
      </w:pPr>
    </w:lvl>
    <w:lvl w:ilvl="1">
      <w:start w:val="1"/>
      <w:numFmt w:val="decimal"/>
      <w:pStyle w:val="Cmsor2szmozottnmhh"/>
      <w:lvlText w:val="%1.%2"/>
      <w:lvlJc w:val="left"/>
      <w:pPr>
        <w:ind w:left="3270" w:hanging="576"/>
      </w:pPr>
    </w:lvl>
    <w:lvl w:ilvl="2">
      <w:start w:val="1"/>
      <w:numFmt w:val="decimal"/>
      <w:pStyle w:val="Cmsor3szmozottnmhh"/>
      <w:lvlText w:val="%1.%2.%3"/>
      <w:lvlJc w:val="left"/>
      <w:pPr>
        <w:ind w:left="720" w:hanging="720"/>
      </w:pPr>
    </w:lvl>
    <w:lvl w:ilvl="3">
      <w:start w:val="1"/>
      <w:numFmt w:val="decimal"/>
      <w:pStyle w:val="Cmsor4szmozottnmhh"/>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D861DA4"/>
    <w:multiLevelType w:val="hybridMultilevel"/>
    <w:tmpl w:val="1B96B4EE"/>
    <w:lvl w:ilvl="0" w:tplc="884AEC2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25113BE"/>
    <w:multiLevelType w:val="hybridMultilevel"/>
    <w:tmpl w:val="38DA4FC2"/>
    <w:lvl w:ilvl="0" w:tplc="2E90CB8A">
      <w:start w:val="1"/>
      <w:numFmt w:val="bullet"/>
      <w:pStyle w:val="Lista1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38E038C"/>
    <w:multiLevelType w:val="multilevel"/>
    <w:tmpl w:val="602E1908"/>
    <w:lvl w:ilvl="0">
      <w:start w:val="1"/>
      <w:numFmt w:val="decimal"/>
      <w:pStyle w:val="Felsorols2nmh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EB6C4E"/>
    <w:multiLevelType w:val="hybridMultilevel"/>
    <w:tmpl w:val="CA04767E"/>
    <w:lvl w:ilvl="0" w:tplc="5F72173C">
      <w:start w:val="1"/>
      <w:numFmt w:val="bullet"/>
      <w:lvlText w:val=""/>
      <w:lvlJc w:val="left"/>
      <w:pPr>
        <w:ind w:left="720" w:hanging="360"/>
      </w:pPr>
      <w:rPr>
        <w:rFonts w:ascii="Symbol" w:hAnsi="Symbol" w:hint="default"/>
      </w:rPr>
    </w:lvl>
    <w:lvl w:ilvl="1" w:tplc="5A4CAF22">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D0365EB"/>
    <w:multiLevelType w:val="hybridMultilevel"/>
    <w:tmpl w:val="4872B432"/>
    <w:lvl w:ilvl="0" w:tplc="040E0017">
      <w:start w:val="1"/>
      <w:numFmt w:val="low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0" w15:restartNumberingAfterBreak="0">
    <w:nsid w:val="3E6733BA"/>
    <w:multiLevelType w:val="hybridMultilevel"/>
    <w:tmpl w:val="1DEC5400"/>
    <w:lvl w:ilvl="0" w:tplc="FBFEE8A4">
      <w:start w:val="1"/>
      <w:numFmt w:val="bullet"/>
      <w:pStyle w:val="Lista2nmhh"/>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0B8785E"/>
    <w:multiLevelType w:val="hybridMultilevel"/>
    <w:tmpl w:val="191EFBB0"/>
    <w:lvl w:ilvl="0" w:tplc="F71472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10A3446"/>
    <w:multiLevelType w:val="hybridMultilevel"/>
    <w:tmpl w:val="467206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3EA07EA"/>
    <w:multiLevelType w:val="hybridMultilevel"/>
    <w:tmpl w:val="4C245B0E"/>
    <w:lvl w:ilvl="0" w:tplc="1666B5F0">
      <w:numFmt w:val="bullet"/>
      <w:lvlText w:val="-"/>
      <w:lvlJc w:val="left"/>
      <w:pPr>
        <w:ind w:left="717" w:hanging="360"/>
      </w:pPr>
      <w:rPr>
        <w:rFonts w:ascii="Arial" w:eastAsiaTheme="minorHAnsi" w:hAnsi="Arial" w:cs="Aria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16" w15:restartNumberingAfterBreak="0">
    <w:nsid w:val="60864F13"/>
    <w:multiLevelType w:val="hybridMultilevel"/>
    <w:tmpl w:val="6E2E6748"/>
    <w:lvl w:ilvl="0" w:tplc="8C6C752A">
      <w:start w:val="1"/>
      <w:numFmt w:val="decimal"/>
      <w:pStyle w:val="Felsorolsnmhh"/>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C15CF4"/>
    <w:multiLevelType w:val="hybridMultilevel"/>
    <w:tmpl w:val="96D4A80E"/>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8" w15:restartNumberingAfterBreak="0">
    <w:nsid w:val="6B794DD3"/>
    <w:multiLevelType w:val="multilevel"/>
    <w:tmpl w:val="D17401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247FDC"/>
    <w:multiLevelType w:val="hybridMultilevel"/>
    <w:tmpl w:val="F97CA402"/>
    <w:lvl w:ilvl="0" w:tplc="66E82FD6">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07E568A"/>
    <w:multiLevelType w:val="hybridMultilevel"/>
    <w:tmpl w:val="383807F4"/>
    <w:lvl w:ilvl="0" w:tplc="32AA15B6">
      <w:start w:val="1"/>
      <w:numFmt w:val="decimal"/>
      <w:pStyle w:val="Irodalomjegyzkfelsorolsnmhh"/>
      <w:lvlText w:val="[%1]"/>
      <w:lvlJc w:val="left"/>
      <w:pPr>
        <w:ind w:left="360" w:hanging="360"/>
      </w:pPr>
      <w:rPr>
        <w:rFonts w:hint="default"/>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1" w15:restartNumberingAfterBreak="0">
    <w:nsid w:val="7F245715"/>
    <w:multiLevelType w:val="hybridMultilevel"/>
    <w:tmpl w:val="1B2A9222"/>
    <w:lvl w:ilvl="0" w:tplc="86DE814E">
      <w:start w:val="2019"/>
      <w:numFmt w:val="bullet"/>
      <w:lvlText w:val="-"/>
      <w:lvlJc w:val="left"/>
      <w:pPr>
        <w:ind w:left="717" w:hanging="360"/>
      </w:pPr>
      <w:rPr>
        <w:rFonts w:ascii="Arial" w:eastAsiaTheme="minorHAnsi" w:hAnsi="Arial" w:cs="Arial"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num w:numId="1">
    <w:abstractNumId w:val="0"/>
  </w:num>
  <w:num w:numId="2">
    <w:abstractNumId w:val="16"/>
  </w:num>
  <w:num w:numId="3">
    <w:abstractNumId w:val="7"/>
  </w:num>
  <w:num w:numId="4">
    <w:abstractNumId w:val="3"/>
  </w:num>
  <w:num w:numId="5">
    <w:abstractNumId w:val="4"/>
  </w:num>
  <w:num w:numId="6">
    <w:abstractNumId w:val="6"/>
  </w:num>
  <w:num w:numId="7">
    <w:abstractNumId w:val="10"/>
  </w:num>
  <w:num w:numId="8">
    <w:abstractNumId w:val="20"/>
  </w:num>
  <w:num w:numId="9">
    <w:abstractNumId w:val="11"/>
  </w:num>
  <w:num w:numId="10">
    <w:abstractNumId w:val="12"/>
  </w:num>
  <w:num w:numId="11">
    <w:abstractNumId w:val="4"/>
  </w:num>
  <w:num w:numId="12">
    <w:abstractNumId w:val="11"/>
  </w:num>
  <w:num w:numId="13">
    <w:abstractNumId w:val="4"/>
  </w:num>
  <w:num w:numId="14">
    <w:abstractNumId w:val="4"/>
  </w:num>
  <w:num w:numId="15">
    <w:abstractNumId w:val="4"/>
  </w:num>
  <w:num w:numId="16">
    <w:abstractNumId w:val="15"/>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17"/>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
  </w:num>
  <w:num w:numId="38">
    <w:abstractNumId w:val="9"/>
  </w:num>
  <w:num w:numId="39">
    <w:abstractNumId w:val="4"/>
  </w:num>
  <w:num w:numId="40">
    <w:abstractNumId w:val="4"/>
  </w:num>
  <w:num w:numId="41">
    <w:abstractNumId w:val="4"/>
  </w:num>
  <w:num w:numId="42">
    <w:abstractNumId w:val="4"/>
  </w:num>
  <w:num w:numId="43">
    <w:abstractNumId w:val="4"/>
  </w:num>
  <w:num w:numId="44">
    <w:abstractNumId w:val="18"/>
  </w:num>
  <w:num w:numId="45">
    <w:abstractNumId w:val="8"/>
  </w:num>
  <w:num w:numId="46">
    <w:abstractNumId w:val="5"/>
  </w:num>
  <w:num w:numId="47">
    <w:abstractNumId w:val="19"/>
  </w:num>
  <w:num w:numId="48">
    <w:abstractNumId w:val="13"/>
  </w:num>
  <w:num w:numId="49">
    <w:abstractNumId w:val="21"/>
  </w:num>
  <w:num w:numId="50">
    <w:abstractNumId w:val="14"/>
  </w:num>
  <w:num w:numId="5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D4"/>
    <w:rsid w:val="00000E45"/>
    <w:rsid w:val="00013E5D"/>
    <w:rsid w:val="000146CE"/>
    <w:rsid w:val="00015238"/>
    <w:rsid w:val="00016AC3"/>
    <w:rsid w:val="000174DF"/>
    <w:rsid w:val="0001797D"/>
    <w:rsid w:val="00020EB5"/>
    <w:rsid w:val="00022495"/>
    <w:rsid w:val="00022E75"/>
    <w:rsid w:val="000273A7"/>
    <w:rsid w:val="00030C37"/>
    <w:rsid w:val="00033171"/>
    <w:rsid w:val="00035AA1"/>
    <w:rsid w:val="00036EE1"/>
    <w:rsid w:val="000513FC"/>
    <w:rsid w:val="00055684"/>
    <w:rsid w:val="00056D1D"/>
    <w:rsid w:val="000574F6"/>
    <w:rsid w:val="000641A7"/>
    <w:rsid w:val="0006439D"/>
    <w:rsid w:val="0006688E"/>
    <w:rsid w:val="00066E5C"/>
    <w:rsid w:val="00075D1D"/>
    <w:rsid w:val="000778F8"/>
    <w:rsid w:val="000819D4"/>
    <w:rsid w:val="00081DC5"/>
    <w:rsid w:val="000821C9"/>
    <w:rsid w:val="00082D80"/>
    <w:rsid w:val="00083508"/>
    <w:rsid w:val="000836DC"/>
    <w:rsid w:val="00083CE5"/>
    <w:rsid w:val="00085F30"/>
    <w:rsid w:val="000873B5"/>
    <w:rsid w:val="00087A8F"/>
    <w:rsid w:val="000919B8"/>
    <w:rsid w:val="000960D8"/>
    <w:rsid w:val="000967BE"/>
    <w:rsid w:val="000A0E71"/>
    <w:rsid w:val="000A1FC0"/>
    <w:rsid w:val="000A735D"/>
    <w:rsid w:val="000B09D1"/>
    <w:rsid w:val="000B4AEC"/>
    <w:rsid w:val="000C11AE"/>
    <w:rsid w:val="000C2E34"/>
    <w:rsid w:val="000C6D83"/>
    <w:rsid w:val="000D0922"/>
    <w:rsid w:val="000D0F70"/>
    <w:rsid w:val="000D5A13"/>
    <w:rsid w:val="000E0FE6"/>
    <w:rsid w:val="000E3EBF"/>
    <w:rsid w:val="000E5962"/>
    <w:rsid w:val="000E6E57"/>
    <w:rsid w:val="000E7AA7"/>
    <w:rsid w:val="000F047E"/>
    <w:rsid w:val="000F0F7B"/>
    <w:rsid w:val="000F38A4"/>
    <w:rsid w:val="000F44B7"/>
    <w:rsid w:val="000F481A"/>
    <w:rsid w:val="000F61D3"/>
    <w:rsid w:val="000F739D"/>
    <w:rsid w:val="000F78B3"/>
    <w:rsid w:val="001003BE"/>
    <w:rsid w:val="00102D54"/>
    <w:rsid w:val="0010514B"/>
    <w:rsid w:val="00107A51"/>
    <w:rsid w:val="001101AF"/>
    <w:rsid w:val="00112DD3"/>
    <w:rsid w:val="001131E2"/>
    <w:rsid w:val="00114877"/>
    <w:rsid w:val="00114BB3"/>
    <w:rsid w:val="0011720D"/>
    <w:rsid w:val="0012048A"/>
    <w:rsid w:val="0012059E"/>
    <w:rsid w:val="00121BE6"/>
    <w:rsid w:val="001234F9"/>
    <w:rsid w:val="00125CAC"/>
    <w:rsid w:val="001307B1"/>
    <w:rsid w:val="00133F71"/>
    <w:rsid w:val="001346DF"/>
    <w:rsid w:val="00135C79"/>
    <w:rsid w:val="00137D5E"/>
    <w:rsid w:val="00141769"/>
    <w:rsid w:val="00141929"/>
    <w:rsid w:val="001426C0"/>
    <w:rsid w:val="0014621D"/>
    <w:rsid w:val="00147D80"/>
    <w:rsid w:val="001543D5"/>
    <w:rsid w:val="00160AE9"/>
    <w:rsid w:val="001667B5"/>
    <w:rsid w:val="00167976"/>
    <w:rsid w:val="00172E94"/>
    <w:rsid w:val="001756C3"/>
    <w:rsid w:val="00176364"/>
    <w:rsid w:val="00176539"/>
    <w:rsid w:val="0018360B"/>
    <w:rsid w:val="001848E4"/>
    <w:rsid w:val="00184A51"/>
    <w:rsid w:val="00184E8C"/>
    <w:rsid w:val="00184F2E"/>
    <w:rsid w:val="0018505D"/>
    <w:rsid w:val="00185D0C"/>
    <w:rsid w:val="00186107"/>
    <w:rsid w:val="00186434"/>
    <w:rsid w:val="001916AE"/>
    <w:rsid w:val="0019318C"/>
    <w:rsid w:val="00196D95"/>
    <w:rsid w:val="001A1FEB"/>
    <w:rsid w:val="001A2F59"/>
    <w:rsid w:val="001A5538"/>
    <w:rsid w:val="001B036D"/>
    <w:rsid w:val="001B4876"/>
    <w:rsid w:val="001B583B"/>
    <w:rsid w:val="001B584F"/>
    <w:rsid w:val="001B78F5"/>
    <w:rsid w:val="001C0D17"/>
    <w:rsid w:val="001C1AF2"/>
    <w:rsid w:val="001C1E25"/>
    <w:rsid w:val="001C3337"/>
    <w:rsid w:val="001C65CF"/>
    <w:rsid w:val="001D1AE2"/>
    <w:rsid w:val="001D35CA"/>
    <w:rsid w:val="001D60F5"/>
    <w:rsid w:val="001D64ED"/>
    <w:rsid w:val="001E07A0"/>
    <w:rsid w:val="001E1B73"/>
    <w:rsid w:val="001E3A86"/>
    <w:rsid w:val="001E56BE"/>
    <w:rsid w:val="001E6472"/>
    <w:rsid w:val="001F07EA"/>
    <w:rsid w:val="001F0AEC"/>
    <w:rsid w:val="001F2707"/>
    <w:rsid w:val="00204525"/>
    <w:rsid w:val="00205392"/>
    <w:rsid w:val="00207092"/>
    <w:rsid w:val="0021048F"/>
    <w:rsid w:val="002106B3"/>
    <w:rsid w:val="00210B08"/>
    <w:rsid w:val="002146BC"/>
    <w:rsid w:val="002149E2"/>
    <w:rsid w:val="00216546"/>
    <w:rsid w:val="00217CC3"/>
    <w:rsid w:val="00221308"/>
    <w:rsid w:val="0022198C"/>
    <w:rsid w:val="002228F1"/>
    <w:rsid w:val="002246C2"/>
    <w:rsid w:val="002246EA"/>
    <w:rsid w:val="00227955"/>
    <w:rsid w:val="00230DC2"/>
    <w:rsid w:val="002327E1"/>
    <w:rsid w:val="002329EB"/>
    <w:rsid w:val="00233018"/>
    <w:rsid w:val="00233AE1"/>
    <w:rsid w:val="00236EA8"/>
    <w:rsid w:val="00237669"/>
    <w:rsid w:val="00243782"/>
    <w:rsid w:val="00252267"/>
    <w:rsid w:val="002536C3"/>
    <w:rsid w:val="00257A26"/>
    <w:rsid w:val="00263505"/>
    <w:rsid w:val="00265750"/>
    <w:rsid w:val="002667F4"/>
    <w:rsid w:val="00270D28"/>
    <w:rsid w:val="00273072"/>
    <w:rsid w:val="00273F93"/>
    <w:rsid w:val="002745C4"/>
    <w:rsid w:val="002829CD"/>
    <w:rsid w:val="00283552"/>
    <w:rsid w:val="00292C54"/>
    <w:rsid w:val="002930CA"/>
    <w:rsid w:val="002942C9"/>
    <w:rsid w:val="0029683D"/>
    <w:rsid w:val="00297B79"/>
    <w:rsid w:val="002A0FEA"/>
    <w:rsid w:val="002A10E8"/>
    <w:rsid w:val="002A2127"/>
    <w:rsid w:val="002A406A"/>
    <w:rsid w:val="002A52DA"/>
    <w:rsid w:val="002A6655"/>
    <w:rsid w:val="002A67F6"/>
    <w:rsid w:val="002B2A3F"/>
    <w:rsid w:val="002C0F34"/>
    <w:rsid w:val="002C5905"/>
    <w:rsid w:val="002C6299"/>
    <w:rsid w:val="002C62F9"/>
    <w:rsid w:val="002D0411"/>
    <w:rsid w:val="002D48D3"/>
    <w:rsid w:val="002D510E"/>
    <w:rsid w:val="002D7A7C"/>
    <w:rsid w:val="002E249D"/>
    <w:rsid w:val="002E28F2"/>
    <w:rsid w:val="002E71A9"/>
    <w:rsid w:val="002F09E7"/>
    <w:rsid w:val="002F0AD1"/>
    <w:rsid w:val="002F2C84"/>
    <w:rsid w:val="002F35EB"/>
    <w:rsid w:val="002F63AA"/>
    <w:rsid w:val="002F6B2E"/>
    <w:rsid w:val="00301645"/>
    <w:rsid w:val="00301C8E"/>
    <w:rsid w:val="0030399D"/>
    <w:rsid w:val="00303C56"/>
    <w:rsid w:val="003041AF"/>
    <w:rsid w:val="00306755"/>
    <w:rsid w:val="0031066C"/>
    <w:rsid w:val="003114D0"/>
    <w:rsid w:val="003167CD"/>
    <w:rsid w:val="003203B3"/>
    <w:rsid w:val="00320F6B"/>
    <w:rsid w:val="00322B46"/>
    <w:rsid w:val="00325027"/>
    <w:rsid w:val="003259FF"/>
    <w:rsid w:val="00325D18"/>
    <w:rsid w:val="0033104E"/>
    <w:rsid w:val="003315D5"/>
    <w:rsid w:val="00333729"/>
    <w:rsid w:val="003349CC"/>
    <w:rsid w:val="003355EA"/>
    <w:rsid w:val="00337337"/>
    <w:rsid w:val="00341E58"/>
    <w:rsid w:val="00345412"/>
    <w:rsid w:val="00345418"/>
    <w:rsid w:val="003455E0"/>
    <w:rsid w:val="00346364"/>
    <w:rsid w:val="00352923"/>
    <w:rsid w:val="0035431E"/>
    <w:rsid w:val="003555F8"/>
    <w:rsid w:val="0035725E"/>
    <w:rsid w:val="00363C1F"/>
    <w:rsid w:val="003743B9"/>
    <w:rsid w:val="003824FB"/>
    <w:rsid w:val="00382907"/>
    <w:rsid w:val="0038378B"/>
    <w:rsid w:val="00386FFD"/>
    <w:rsid w:val="003879C9"/>
    <w:rsid w:val="00390673"/>
    <w:rsid w:val="00390F16"/>
    <w:rsid w:val="003921AB"/>
    <w:rsid w:val="00396B26"/>
    <w:rsid w:val="0039749E"/>
    <w:rsid w:val="003A26DF"/>
    <w:rsid w:val="003A3BC0"/>
    <w:rsid w:val="003B163A"/>
    <w:rsid w:val="003B317D"/>
    <w:rsid w:val="003B79C7"/>
    <w:rsid w:val="003C16FC"/>
    <w:rsid w:val="003C1BC4"/>
    <w:rsid w:val="003C516B"/>
    <w:rsid w:val="003C53A3"/>
    <w:rsid w:val="003C73FA"/>
    <w:rsid w:val="003C7433"/>
    <w:rsid w:val="003C7501"/>
    <w:rsid w:val="003D0CB5"/>
    <w:rsid w:val="003D13A7"/>
    <w:rsid w:val="003D1877"/>
    <w:rsid w:val="003D4E41"/>
    <w:rsid w:val="003D5D35"/>
    <w:rsid w:val="003E1D0C"/>
    <w:rsid w:val="003E33ED"/>
    <w:rsid w:val="003E71A8"/>
    <w:rsid w:val="003E7791"/>
    <w:rsid w:val="003E78B2"/>
    <w:rsid w:val="003E7D2F"/>
    <w:rsid w:val="003F1701"/>
    <w:rsid w:val="003F2E7F"/>
    <w:rsid w:val="003F41B4"/>
    <w:rsid w:val="003F5828"/>
    <w:rsid w:val="00400C8D"/>
    <w:rsid w:val="004011EB"/>
    <w:rsid w:val="00404A3C"/>
    <w:rsid w:val="00405357"/>
    <w:rsid w:val="00416809"/>
    <w:rsid w:val="00420E09"/>
    <w:rsid w:val="00423B27"/>
    <w:rsid w:val="00426436"/>
    <w:rsid w:val="00427D7A"/>
    <w:rsid w:val="00427F71"/>
    <w:rsid w:val="0043182B"/>
    <w:rsid w:val="00434710"/>
    <w:rsid w:val="004363F7"/>
    <w:rsid w:val="004438BF"/>
    <w:rsid w:val="00443EBE"/>
    <w:rsid w:val="00444440"/>
    <w:rsid w:val="0044575E"/>
    <w:rsid w:val="004475AA"/>
    <w:rsid w:val="004501FE"/>
    <w:rsid w:val="00453D10"/>
    <w:rsid w:val="00455064"/>
    <w:rsid w:val="00455182"/>
    <w:rsid w:val="00455EB8"/>
    <w:rsid w:val="004562D8"/>
    <w:rsid w:val="00456BA9"/>
    <w:rsid w:val="004573D4"/>
    <w:rsid w:val="00460358"/>
    <w:rsid w:val="004618B9"/>
    <w:rsid w:val="00463DF7"/>
    <w:rsid w:val="004661C2"/>
    <w:rsid w:val="00467120"/>
    <w:rsid w:val="00470145"/>
    <w:rsid w:val="0047092E"/>
    <w:rsid w:val="00471F2D"/>
    <w:rsid w:val="00472059"/>
    <w:rsid w:val="00473451"/>
    <w:rsid w:val="00473D30"/>
    <w:rsid w:val="004751EA"/>
    <w:rsid w:val="00475E60"/>
    <w:rsid w:val="0047608B"/>
    <w:rsid w:val="00480B4F"/>
    <w:rsid w:val="00486B85"/>
    <w:rsid w:val="004920B0"/>
    <w:rsid w:val="004952DB"/>
    <w:rsid w:val="004961DF"/>
    <w:rsid w:val="00496E03"/>
    <w:rsid w:val="004A172B"/>
    <w:rsid w:val="004A6278"/>
    <w:rsid w:val="004A6B59"/>
    <w:rsid w:val="004B0A13"/>
    <w:rsid w:val="004B3332"/>
    <w:rsid w:val="004B39C4"/>
    <w:rsid w:val="004B3B69"/>
    <w:rsid w:val="004B58D2"/>
    <w:rsid w:val="004B5CE2"/>
    <w:rsid w:val="004B6AC3"/>
    <w:rsid w:val="004C3DAD"/>
    <w:rsid w:val="004C3ED5"/>
    <w:rsid w:val="004C3F11"/>
    <w:rsid w:val="004C4AAC"/>
    <w:rsid w:val="004C72AA"/>
    <w:rsid w:val="004D3B0E"/>
    <w:rsid w:val="004D3E01"/>
    <w:rsid w:val="004D5EB0"/>
    <w:rsid w:val="004E2603"/>
    <w:rsid w:val="004E2E7F"/>
    <w:rsid w:val="004E5164"/>
    <w:rsid w:val="004E516E"/>
    <w:rsid w:val="004E60BB"/>
    <w:rsid w:val="004E6E1C"/>
    <w:rsid w:val="004E780F"/>
    <w:rsid w:val="004F2772"/>
    <w:rsid w:val="004F349A"/>
    <w:rsid w:val="004F5DBA"/>
    <w:rsid w:val="00501EF8"/>
    <w:rsid w:val="005058AB"/>
    <w:rsid w:val="0051050A"/>
    <w:rsid w:val="00510F5C"/>
    <w:rsid w:val="005164F3"/>
    <w:rsid w:val="0051650A"/>
    <w:rsid w:val="00521E46"/>
    <w:rsid w:val="005224DF"/>
    <w:rsid w:val="005234EF"/>
    <w:rsid w:val="00524013"/>
    <w:rsid w:val="00533F13"/>
    <w:rsid w:val="00534FD7"/>
    <w:rsid w:val="00536A43"/>
    <w:rsid w:val="00536D4C"/>
    <w:rsid w:val="00544146"/>
    <w:rsid w:val="00544F75"/>
    <w:rsid w:val="00547075"/>
    <w:rsid w:val="005505DB"/>
    <w:rsid w:val="005507DA"/>
    <w:rsid w:val="0055102E"/>
    <w:rsid w:val="00551965"/>
    <w:rsid w:val="00554CAF"/>
    <w:rsid w:val="00556BC3"/>
    <w:rsid w:val="00556EB6"/>
    <w:rsid w:val="00560394"/>
    <w:rsid w:val="0056388E"/>
    <w:rsid w:val="00563890"/>
    <w:rsid w:val="00571C18"/>
    <w:rsid w:val="00572413"/>
    <w:rsid w:val="00574785"/>
    <w:rsid w:val="00576471"/>
    <w:rsid w:val="00581DD8"/>
    <w:rsid w:val="00582D4C"/>
    <w:rsid w:val="0058383C"/>
    <w:rsid w:val="00586138"/>
    <w:rsid w:val="00587570"/>
    <w:rsid w:val="005877D7"/>
    <w:rsid w:val="00587830"/>
    <w:rsid w:val="005911C4"/>
    <w:rsid w:val="005929D3"/>
    <w:rsid w:val="0059329E"/>
    <w:rsid w:val="00593FF0"/>
    <w:rsid w:val="00596CF5"/>
    <w:rsid w:val="00597040"/>
    <w:rsid w:val="005A027E"/>
    <w:rsid w:val="005A402B"/>
    <w:rsid w:val="005A42B2"/>
    <w:rsid w:val="005A738A"/>
    <w:rsid w:val="005B2D59"/>
    <w:rsid w:val="005B4775"/>
    <w:rsid w:val="005B7411"/>
    <w:rsid w:val="005C0B72"/>
    <w:rsid w:val="005C13BB"/>
    <w:rsid w:val="005C1B7B"/>
    <w:rsid w:val="005C215E"/>
    <w:rsid w:val="005C3427"/>
    <w:rsid w:val="005C3C52"/>
    <w:rsid w:val="005C5C80"/>
    <w:rsid w:val="005D09CC"/>
    <w:rsid w:val="005D2D7B"/>
    <w:rsid w:val="005D6071"/>
    <w:rsid w:val="005D6DE4"/>
    <w:rsid w:val="005E0B0A"/>
    <w:rsid w:val="005E3242"/>
    <w:rsid w:val="005E4F9C"/>
    <w:rsid w:val="005E5498"/>
    <w:rsid w:val="005E7CD4"/>
    <w:rsid w:val="005F3058"/>
    <w:rsid w:val="005F3820"/>
    <w:rsid w:val="005F3C6A"/>
    <w:rsid w:val="005F4CB7"/>
    <w:rsid w:val="00602A90"/>
    <w:rsid w:val="00602D3A"/>
    <w:rsid w:val="00604292"/>
    <w:rsid w:val="00604804"/>
    <w:rsid w:val="0060499A"/>
    <w:rsid w:val="0060736F"/>
    <w:rsid w:val="00610916"/>
    <w:rsid w:val="0061475A"/>
    <w:rsid w:val="00614813"/>
    <w:rsid w:val="006254C4"/>
    <w:rsid w:val="006309CF"/>
    <w:rsid w:val="00631FCB"/>
    <w:rsid w:val="006325B9"/>
    <w:rsid w:val="006337C4"/>
    <w:rsid w:val="0063451C"/>
    <w:rsid w:val="00634521"/>
    <w:rsid w:val="00635389"/>
    <w:rsid w:val="0063585C"/>
    <w:rsid w:val="00640565"/>
    <w:rsid w:val="006422A6"/>
    <w:rsid w:val="00653F39"/>
    <w:rsid w:val="00655417"/>
    <w:rsid w:val="006554D7"/>
    <w:rsid w:val="00656557"/>
    <w:rsid w:val="0065666F"/>
    <w:rsid w:val="00675B8F"/>
    <w:rsid w:val="00676C6F"/>
    <w:rsid w:val="00677DCF"/>
    <w:rsid w:val="00691794"/>
    <w:rsid w:val="00691CE4"/>
    <w:rsid w:val="00695106"/>
    <w:rsid w:val="00696FDE"/>
    <w:rsid w:val="006A02BC"/>
    <w:rsid w:val="006A1953"/>
    <w:rsid w:val="006B03B5"/>
    <w:rsid w:val="006B069D"/>
    <w:rsid w:val="006B13D3"/>
    <w:rsid w:val="006B15A6"/>
    <w:rsid w:val="006B57E7"/>
    <w:rsid w:val="006B689B"/>
    <w:rsid w:val="006C0703"/>
    <w:rsid w:val="006C3705"/>
    <w:rsid w:val="006C380C"/>
    <w:rsid w:val="006C464B"/>
    <w:rsid w:val="006C69E5"/>
    <w:rsid w:val="006C6FB6"/>
    <w:rsid w:val="006D12DF"/>
    <w:rsid w:val="006D3241"/>
    <w:rsid w:val="006D56B2"/>
    <w:rsid w:val="006D6AF6"/>
    <w:rsid w:val="006E5A77"/>
    <w:rsid w:val="006E6450"/>
    <w:rsid w:val="006E7FB7"/>
    <w:rsid w:val="006F0159"/>
    <w:rsid w:val="006F356E"/>
    <w:rsid w:val="006F3865"/>
    <w:rsid w:val="006F3B53"/>
    <w:rsid w:val="006F446C"/>
    <w:rsid w:val="006F7FBC"/>
    <w:rsid w:val="007003D5"/>
    <w:rsid w:val="00704CD1"/>
    <w:rsid w:val="00707BB2"/>
    <w:rsid w:val="0071014E"/>
    <w:rsid w:val="007111C2"/>
    <w:rsid w:val="00712ADC"/>
    <w:rsid w:val="0071390C"/>
    <w:rsid w:val="0071526D"/>
    <w:rsid w:val="00717D3A"/>
    <w:rsid w:val="007210F5"/>
    <w:rsid w:val="00722284"/>
    <w:rsid w:val="00731D56"/>
    <w:rsid w:val="00732363"/>
    <w:rsid w:val="0073250D"/>
    <w:rsid w:val="00734868"/>
    <w:rsid w:val="00740803"/>
    <w:rsid w:val="00742A3A"/>
    <w:rsid w:val="00743B67"/>
    <w:rsid w:val="00744155"/>
    <w:rsid w:val="00746A1A"/>
    <w:rsid w:val="00747901"/>
    <w:rsid w:val="00752166"/>
    <w:rsid w:val="007553B5"/>
    <w:rsid w:val="00756575"/>
    <w:rsid w:val="00765389"/>
    <w:rsid w:val="0076733F"/>
    <w:rsid w:val="00771589"/>
    <w:rsid w:val="00775316"/>
    <w:rsid w:val="00775ABD"/>
    <w:rsid w:val="00777026"/>
    <w:rsid w:val="007778C1"/>
    <w:rsid w:val="00784DC9"/>
    <w:rsid w:val="00786ED9"/>
    <w:rsid w:val="00791054"/>
    <w:rsid w:val="007926BA"/>
    <w:rsid w:val="007928B0"/>
    <w:rsid w:val="0079534D"/>
    <w:rsid w:val="0079672B"/>
    <w:rsid w:val="007A51DE"/>
    <w:rsid w:val="007A74E0"/>
    <w:rsid w:val="007B0378"/>
    <w:rsid w:val="007B09DC"/>
    <w:rsid w:val="007B19B0"/>
    <w:rsid w:val="007B5E8C"/>
    <w:rsid w:val="007C2162"/>
    <w:rsid w:val="007C4380"/>
    <w:rsid w:val="007D16C6"/>
    <w:rsid w:val="007D1912"/>
    <w:rsid w:val="007D2CD0"/>
    <w:rsid w:val="007D3867"/>
    <w:rsid w:val="007D4ABE"/>
    <w:rsid w:val="007D7C2E"/>
    <w:rsid w:val="007E2090"/>
    <w:rsid w:val="007E2915"/>
    <w:rsid w:val="007E4E9F"/>
    <w:rsid w:val="007F22ED"/>
    <w:rsid w:val="007F47DE"/>
    <w:rsid w:val="008009F0"/>
    <w:rsid w:val="00805B61"/>
    <w:rsid w:val="00806B9F"/>
    <w:rsid w:val="0081005F"/>
    <w:rsid w:val="00810A25"/>
    <w:rsid w:val="00811D96"/>
    <w:rsid w:val="0081251D"/>
    <w:rsid w:val="00812FAA"/>
    <w:rsid w:val="00813B92"/>
    <w:rsid w:val="00815CCF"/>
    <w:rsid w:val="0081605A"/>
    <w:rsid w:val="008172E7"/>
    <w:rsid w:val="008207C2"/>
    <w:rsid w:val="00821977"/>
    <w:rsid w:val="0082248B"/>
    <w:rsid w:val="008229C3"/>
    <w:rsid w:val="0083171E"/>
    <w:rsid w:val="008318DF"/>
    <w:rsid w:val="008323B4"/>
    <w:rsid w:val="0083338A"/>
    <w:rsid w:val="0084221F"/>
    <w:rsid w:val="008431C6"/>
    <w:rsid w:val="008434DF"/>
    <w:rsid w:val="00843B37"/>
    <w:rsid w:val="008455E4"/>
    <w:rsid w:val="00846429"/>
    <w:rsid w:val="00847550"/>
    <w:rsid w:val="00850433"/>
    <w:rsid w:val="008514AC"/>
    <w:rsid w:val="008522DB"/>
    <w:rsid w:val="00855891"/>
    <w:rsid w:val="008558A8"/>
    <w:rsid w:val="008602E0"/>
    <w:rsid w:val="0086055A"/>
    <w:rsid w:val="0086348F"/>
    <w:rsid w:val="0086464A"/>
    <w:rsid w:val="0086608B"/>
    <w:rsid w:val="00867514"/>
    <w:rsid w:val="00875FD0"/>
    <w:rsid w:val="00880DC0"/>
    <w:rsid w:val="0088177F"/>
    <w:rsid w:val="00883A52"/>
    <w:rsid w:val="008854B5"/>
    <w:rsid w:val="00890402"/>
    <w:rsid w:val="008914DD"/>
    <w:rsid w:val="00891BD3"/>
    <w:rsid w:val="00891BED"/>
    <w:rsid w:val="0089208B"/>
    <w:rsid w:val="008970E9"/>
    <w:rsid w:val="008A021D"/>
    <w:rsid w:val="008A2CC7"/>
    <w:rsid w:val="008A541B"/>
    <w:rsid w:val="008A5CAD"/>
    <w:rsid w:val="008B343A"/>
    <w:rsid w:val="008B4E2C"/>
    <w:rsid w:val="008B7228"/>
    <w:rsid w:val="008B7A8B"/>
    <w:rsid w:val="008C1593"/>
    <w:rsid w:val="008C1BA0"/>
    <w:rsid w:val="008C4CDA"/>
    <w:rsid w:val="008C7860"/>
    <w:rsid w:val="008C7E54"/>
    <w:rsid w:val="008D2D73"/>
    <w:rsid w:val="008D2DC9"/>
    <w:rsid w:val="008D3E07"/>
    <w:rsid w:val="008D64A0"/>
    <w:rsid w:val="008D695D"/>
    <w:rsid w:val="008D6E69"/>
    <w:rsid w:val="008D72F4"/>
    <w:rsid w:val="008E3AAF"/>
    <w:rsid w:val="008E603C"/>
    <w:rsid w:val="008F07A7"/>
    <w:rsid w:val="008F1936"/>
    <w:rsid w:val="008F396A"/>
    <w:rsid w:val="008F4B4D"/>
    <w:rsid w:val="008F5159"/>
    <w:rsid w:val="00901BB6"/>
    <w:rsid w:val="00902AB3"/>
    <w:rsid w:val="00903D87"/>
    <w:rsid w:val="00904E17"/>
    <w:rsid w:val="00905163"/>
    <w:rsid w:val="009119D6"/>
    <w:rsid w:val="00912763"/>
    <w:rsid w:val="00914DAF"/>
    <w:rsid w:val="00916A31"/>
    <w:rsid w:val="00916D28"/>
    <w:rsid w:val="00916ED8"/>
    <w:rsid w:val="00917C0D"/>
    <w:rsid w:val="00923776"/>
    <w:rsid w:val="00925A9C"/>
    <w:rsid w:val="00926429"/>
    <w:rsid w:val="00927192"/>
    <w:rsid w:val="00932381"/>
    <w:rsid w:val="00932D93"/>
    <w:rsid w:val="009356D7"/>
    <w:rsid w:val="00940AFE"/>
    <w:rsid w:val="009429C3"/>
    <w:rsid w:val="00942AAF"/>
    <w:rsid w:val="00943FC7"/>
    <w:rsid w:val="009454A1"/>
    <w:rsid w:val="00945A45"/>
    <w:rsid w:val="00945C45"/>
    <w:rsid w:val="00946D6C"/>
    <w:rsid w:val="00946ED5"/>
    <w:rsid w:val="009507B1"/>
    <w:rsid w:val="00953A5D"/>
    <w:rsid w:val="00955510"/>
    <w:rsid w:val="00957B03"/>
    <w:rsid w:val="00962795"/>
    <w:rsid w:val="00965AA1"/>
    <w:rsid w:val="00966F4D"/>
    <w:rsid w:val="0097419D"/>
    <w:rsid w:val="00981D96"/>
    <w:rsid w:val="00982190"/>
    <w:rsid w:val="00982A11"/>
    <w:rsid w:val="009848B3"/>
    <w:rsid w:val="00984CBE"/>
    <w:rsid w:val="0098647D"/>
    <w:rsid w:val="00990B04"/>
    <w:rsid w:val="00992D46"/>
    <w:rsid w:val="00996F5C"/>
    <w:rsid w:val="009A49B6"/>
    <w:rsid w:val="009A52FF"/>
    <w:rsid w:val="009A596C"/>
    <w:rsid w:val="009A5CFD"/>
    <w:rsid w:val="009A6A65"/>
    <w:rsid w:val="009B158B"/>
    <w:rsid w:val="009B4085"/>
    <w:rsid w:val="009B57DB"/>
    <w:rsid w:val="009B7255"/>
    <w:rsid w:val="009C2635"/>
    <w:rsid w:val="009C4803"/>
    <w:rsid w:val="009C52A6"/>
    <w:rsid w:val="009C58D4"/>
    <w:rsid w:val="009C5B63"/>
    <w:rsid w:val="009D0CCD"/>
    <w:rsid w:val="009D3B9A"/>
    <w:rsid w:val="009E0D09"/>
    <w:rsid w:val="009E172B"/>
    <w:rsid w:val="009E3C77"/>
    <w:rsid w:val="009E59F3"/>
    <w:rsid w:val="009E5F8B"/>
    <w:rsid w:val="009F01F5"/>
    <w:rsid w:val="009F1CDC"/>
    <w:rsid w:val="009F2E68"/>
    <w:rsid w:val="009F637B"/>
    <w:rsid w:val="00A00F75"/>
    <w:rsid w:val="00A01F74"/>
    <w:rsid w:val="00A036B5"/>
    <w:rsid w:val="00A06F87"/>
    <w:rsid w:val="00A11E2D"/>
    <w:rsid w:val="00A12497"/>
    <w:rsid w:val="00A21C9C"/>
    <w:rsid w:val="00A21EB3"/>
    <w:rsid w:val="00A23413"/>
    <w:rsid w:val="00A2453A"/>
    <w:rsid w:val="00A33E26"/>
    <w:rsid w:val="00A42F65"/>
    <w:rsid w:val="00A443F3"/>
    <w:rsid w:val="00A532B1"/>
    <w:rsid w:val="00A5370E"/>
    <w:rsid w:val="00A54398"/>
    <w:rsid w:val="00A56D74"/>
    <w:rsid w:val="00A65862"/>
    <w:rsid w:val="00A65C13"/>
    <w:rsid w:val="00A66270"/>
    <w:rsid w:val="00A673E4"/>
    <w:rsid w:val="00A7108C"/>
    <w:rsid w:val="00A7266F"/>
    <w:rsid w:val="00A75F49"/>
    <w:rsid w:val="00A777F5"/>
    <w:rsid w:val="00A8001C"/>
    <w:rsid w:val="00A817AE"/>
    <w:rsid w:val="00A81A4D"/>
    <w:rsid w:val="00A8447E"/>
    <w:rsid w:val="00A85A2C"/>
    <w:rsid w:val="00A9525E"/>
    <w:rsid w:val="00A95AB9"/>
    <w:rsid w:val="00A97CA9"/>
    <w:rsid w:val="00AA73A5"/>
    <w:rsid w:val="00AB04D1"/>
    <w:rsid w:val="00AB0719"/>
    <w:rsid w:val="00AB206D"/>
    <w:rsid w:val="00AB25E1"/>
    <w:rsid w:val="00AB38A8"/>
    <w:rsid w:val="00AB57AB"/>
    <w:rsid w:val="00AB6A7F"/>
    <w:rsid w:val="00AB7042"/>
    <w:rsid w:val="00AC5071"/>
    <w:rsid w:val="00AC75B1"/>
    <w:rsid w:val="00AD08FA"/>
    <w:rsid w:val="00AD13D3"/>
    <w:rsid w:val="00AD1F27"/>
    <w:rsid w:val="00AD2DDE"/>
    <w:rsid w:val="00AD3568"/>
    <w:rsid w:val="00AD3AB8"/>
    <w:rsid w:val="00AD59A0"/>
    <w:rsid w:val="00AD6F7C"/>
    <w:rsid w:val="00AD7B3B"/>
    <w:rsid w:val="00AE1D3D"/>
    <w:rsid w:val="00AE3419"/>
    <w:rsid w:val="00AE4FFD"/>
    <w:rsid w:val="00AE7707"/>
    <w:rsid w:val="00AF291C"/>
    <w:rsid w:val="00AF751D"/>
    <w:rsid w:val="00B025DF"/>
    <w:rsid w:val="00B056C0"/>
    <w:rsid w:val="00B0598C"/>
    <w:rsid w:val="00B061C2"/>
    <w:rsid w:val="00B0661F"/>
    <w:rsid w:val="00B10646"/>
    <w:rsid w:val="00B10A93"/>
    <w:rsid w:val="00B110B9"/>
    <w:rsid w:val="00B12780"/>
    <w:rsid w:val="00B140BD"/>
    <w:rsid w:val="00B15912"/>
    <w:rsid w:val="00B16CD2"/>
    <w:rsid w:val="00B17E0D"/>
    <w:rsid w:val="00B200DF"/>
    <w:rsid w:val="00B20577"/>
    <w:rsid w:val="00B209EF"/>
    <w:rsid w:val="00B217D3"/>
    <w:rsid w:val="00B22137"/>
    <w:rsid w:val="00B22AB6"/>
    <w:rsid w:val="00B30A36"/>
    <w:rsid w:val="00B31E4F"/>
    <w:rsid w:val="00B351BE"/>
    <w:rsid w:val="00B37E39"/>
    <w:rsid w:val="00B412F7"/>
    <w:rsid w:val="00B43B7C"/>
    <w:rsid w:val="00B606FA"/>
    <w:rsid w:val="00B61D3E"/>
    <w:rsid w:val="00B66497"/>
    <w:rsid w:val="00B7068F"/>
    <w:rsid w:val="00B719D2"/>
    <w:rsid w:val="00B72D7A"/>
    <w:rsid w:val="00B72FDA"/>
    <w:rsid w:val="00B75B11"/>
    <w:rsid w:val="00B75CB5"/>
    <w:rsid w:val="00B76CC3"/>
    <w:rsid w:val="00B76F78"/>
    <w:rsid w:val="00B81DBB"/>
    <w:rsid w:val="00B82928"/>
    <w:rsid w:val="00B83163"/>
    <w:rsid w:val="00B8414E"/>
    <w:rsid w:val="00B87C38"/>
    <w:rsid w:val="00B9057B"/>
    <w:rsid w:val="00B91747"/>
    <w:rsid w:val="00B935CB"/>
    <w:rsid w:val="00B95920"/>
    <w:rsid w:val="00B972CB"/>
    <w:rsid w:val="00B97446"/>
    <w:rsid w:val="00BA1EA7"/>
    <w:rsid w:val="00BA647C"/>
    <w:rsid w:val="00BA663E"/>
    <w:rsid w:val="00BB0401"/>
    <w:rsid w:val="00BB417B"/>
    <w:rsid w:val="00BB7D80"/>
    <w:rsid w:val="00BC0828"/>
    <w:rsid w:val="00BC0E47"/>
    <w:rsid w:val="00BC3F55"/>
    <w:rsid w:val="00BC44C8"/>
    <w:rsid w:val="00BC49CD"/>
    <w:rsid w:val="00BC7AFC"/>
    <w:rsid w:val="00BD1C06"/>
    <w:rsid w:val="00BD6D93"/>
    <w:rsid w:val="00BE07D2"/>
    <w:rsid w:val="00BE2636"/>
    <w:rsid w:val="00BE27E4"/>
    <w:rsid w:val="00BE2F8E"/>
    <w:rsid w:val="00BE4AD0"/>
    <w:rsid w:val="00BE5C9D"/>
    <w:rsid w:val="00BF54BD"/>
    <w:rsid w:val="00BF63EA"/>
    <w:rsid w:val="00BF79EF"/>
    <w:rsid w:val="00C0044B"/>
    <w:rsid w:val="00C01C5B"/>
    <w:rsid w:val="00C03EA4"/>
    <w:rsid w:val="00C044B9"/>
    <w:rsid w:val="00C05447"/>
    <w:rsid w:val="00C0625F"/>
    <w:rsid w:val="00C075C2"/>
    <w:rsid w:val="00C07B06"/>
    <w:rsid w:val="00C10C6A"/>
    <w:rsid w:val="00C115ED"/>
    <w:rsid w:val="00C20D3F"/>
    <w:rsid w:val="00C24420"/>
    <w:rsid w:val="00C27831"/>
    <w:rsid w:val="00C30B86"/>
    <w:rsid w:val="00C30DB4"/>
    <w:rsid w:val="00C312D5"/>
    <w:rsid w:val="00C33EEB"/>
    <w:rsid w:val="00C4264C"/>
    <w:rsid w:val="00C43C6F"/>
    <w:rsid w:val="00C447DB"/>
    <w:rsid w:val="00C44AB1"/>
    <w:rsid w:val="00C507D5"/>
    <w:rsid w:val="00C51380"/>
    <w:rsid w:val="00C519CB"/>
    <w:rsid w:val="00C53EA5"/>
    <w:rsid w:val="00C57915"/>
    <w:rsid w:val="00C61E39"/>
    <w:rsid w:val="00C64001"/>
    <w:rsid w:val="00C656D9"/>
    <w:rsid w:val="00C701A2"/>
    <w:rsid w:val="00C7088B"/>
    <w:rsid w:val="00C71F5A"/>
    <w:rsid w:val="00C7330F"/>
    <w:rsid w:val="00C75341"/>
    <w:rsid w:val="00C7538E"/>
    <w:rsid w:val="00C764EC"/>
    <w:rsid w:val="00C802E9"/>
    <w:rsid w:val="00C804F6"/>
    <w:rsid w:val="00C8185E"/>
    <w:rsid w:val="00C81E14"/>
    <w:rsid w:val="00C83679"/>
    <w:rsid w:val="00C87B29"/>
    <w:rsid w:val="00CA140D"/>
    <w:rsid w:val="00CA3119"/>
    <w:rsid w:val="00CA3CD6"/>
    <w:rsid w:val="00CA6AD4"/>
    <w:rsid w:val="00CA7BC8"/>
    <w:rsid w:val="00CB2F81"/>
    <w:rsid w:val="00CB319D"/>
    <w:rsid w:val="00CB7D6D"/>
    <w:rsid w:val="00CC13E4"/>
    <w:rsid w:val="00CC1764"/>
    <w:rsid w:val="00CC2BD2"/>
    <w:rsid w:val="00CC5852"/>
    <w:rsid w:val="00CC5EDA"/>
    <w:rsid w:val="00CC5F61"/>
    <w:rsid w:val="00CC6F0A"/>
    <w:rsid w:val="00CD093D"/>
    <w:rsid w:val="00CD0AFE"/>
    <w:rsid w:val="00CD4DFB"/>
    <w:rsid w:val="00CD6211"/>
    <w:rsid w:val="00CE1BBB"/>
    <w:rsid w:val="00CE3D8F"/>
    <w:rsid w:val="00CE5170"/>
    <w:rsid w:val="00CE5255"/>
    <w:rsid w:val="00CE5AA1"/>
    <w:rsid w:val="00CE6FFA"/>
    <w:rsid w:val="00CF1099"/>
    <w:rsid w:val="00CF307D"/>
    <w:rsid w:val="00CF3578"/>
    <w:rsid w:val="00D04CAD"/>
    <w:rsid w:val="00D06855"/>
    <w:rsid w:val="00D06EA8"/>
    <w:rsid w:val="00D12E2B"/>
    <w:rsid w:val="00D13549"/>
    <w:rsid w:val="00D14177"/>
    <w:rsid w:val="00D14C44"/>
    <w:rsid w:val="00D20736"/>
    <w:rsid w:val="00D245BE"/>
    <w:rsid w:val="00D2734F"/>
    <w:rsid w:val="00D31942"/>
    <w:rsid w:val="00D35B9A"/>
    <w:rsid w:val="00D4409C"/>
    <w:rsid w:val="00D44F4B"/>
    <w:rsid w:val="00D457A2"/>
    <w:rsid w:val="00D5060B"/>
    <w:rsid w:val="00D50C8D"/>
    <w:rsid w:val="00D541E4"/>
    <w:rsid w:val="00D57096"/>
    <w:rsid w:val="00D5782A"/>
    <w:rsid w:val="00D601AB"/>
    <w:rsid w:val="00D60243"/>
    <w:rsid w:val="00D6398A"/>
    <w:rsid w:val="00D65314"/>
    <w:rsid w:val="00D71799"/>
    <w:rsid w:val="00D723FD"/>
    <w:rsid w:val="00D74CD5"/>
    <w:rsid w:val="00D816A9"/>
    <w:rsid w:val="00D81FC7"/>
    <w:rsid w:val="00D86540"/>
    <w:rsid w:val="00D9298B"/>
    <w:rsid w:val="00D9498A"/>
    <w:rsid w:val="00D94B54"/>
    <w:rsid w:val="00DA1153"/>
    <w:rsid w:val="00DA31F6"/>
    <w:rsid w:val="00DA6D9D"/>
    <w:rsid w:val="00DB34B9"/>
    <w:rsid w:val="00DB39A7"/>
    <w:rsid w:val="00DB4955"/>
    <w:rsid w:val="00DC15D3"/>
    <w:rsid w:val="00DD6833"/>
    <w:rsid w:val="00DD7790"/>
    <w:rsid w:val="00DE3EF5"/>
    <w:rsid w:val="00DE3F6E"/>
    <w:rsid w:val="00DF0860"/>
    <w:rsid w:val="00DF0F11"/>
    <w:rsid w:val="00DF1810"/>
    <w:rsid w:val="00DF49D3"/>
    <w:rsid w:val="00DF5C7F"/>
    <w:rsid w:val="00DF6557"/>
    <w:rsid w:val="00E019DC"/>
    <w:rsid w:val="00E01EDB"/>
    <w:rsid w:val="00E021CA"/>
    <w:rsid w:val="00E02AA3"/>
    <w:rsid w:val="00E034BF"/>
    <w:rsid w:val="00E03E18"/>
    <w:rsid w:val="00E03EF5"/>
    <w:rsid w:val="00E04D6B"/>
    <w:rsid w:val="00E056D5"/>
    <w:rsid w:val="00E10844"/>
    <w:rsid w:val="00E10E34"/>
    <w:rsid w:val="00E11A39"/>
    <w:rsid w:val="00E124DB"/>
    <w:rsid w:val="00E151B4"/>
    <w:rsid w:val="00E20B55"/>
    <w:rsid w:val="00E271B3"/>
    <w:rsid w:val="00E3635C"/>
    <w:rsid w:val="00E418D2"/>
    <w:rsid w:val="00E47269"/>
    <w:rsid w:val="00E47B84"/>
    <w:rsid w:val="00E51C4E"/>
    <w:rsid w:val="00E5507A"/>
    <w:rsid w:val="00E5594A"/>
    <w:rsid w:val="00E55F4E"/>
    <w:rsid w:val="00E62F83"/>
    <w:rsid w:val="00E63079"/>
    <w:rsid w:val="00E67F4C"/>
    <w:rsid w:val="00E720B8"/>
    <w:rsid w:val="00E7319A"/>
    <w:rsid w:val="00E73965"/>
    <w:rsid w:val="00E74A6E"/>
    <w:rsid w:val="00E74CEB"/>
    <w:rsid w:val="00E80B61"/>
    <w:rsid w:val="00E80D26"/>
    <w:rsid w:val="00E81845"/>
    <w:rsid w:val="00E82069"/>
    <w:rsid w:val="00E825C5"/>
    <w:rsid w:val="00E83972"/>
    <w:rsid w:val="00E8578F"/>
    <w:rsid w:val="00E85E5A"/>
    <w:rsid w:val="00E9609E"/>
    <w:rsid w:val="00E96434"/>
    <w:rsid w:val="00EA475C"/>
    <w:rsid w:val="00EA55D5"/>
    <w:rsid w:val="00EA6145"/>
    <w:rsid w:val="00EB0F6A"/>
    <w:rsid w:val="00EB2719"/>
    <w:rsid w:val="00EB328B"/>
    <w:rsid w:val="00EB4262"/>
    <w:rsid w:val="00EB44C7"/>
    <w:rsid w:val="00EB58F8"/>
    <w:rsid w:val="00EB6238"/>
    <w:rsid w:val="00EB7E5B"/>
    <w:rsid w:val="00EC1D5C"/>
    <w:rsid w:val="00EC6261"/>
    <w:rsid w:val="00ED370A"/>
    <w:rsid w:val="00EE153A"/>
    <w:rsid w:val="00EE1679"/>
    <w:rsid w:val="00EE312E"/>
    <w:rsid w:val="00EE4980"/>
    <w:rsid w:val="00EE6C35"/>
    <w:rsid w:val="00EF3118"/>
    <w:rsid w:val="00EF5F7B"/>
    <w:rsid w:val="00EF641E"/>
    <w:rsid w:val="00EF74AE"/>
    <w:rsid w:val="00EF7841"/>
    <w:rsid w:val="00F001D2"/>
    <w:rsid w:val="00F04D9B"/>
    <w:rsid w:val="00F10A81"/>
    <w:rsid w:val="00F116BB"/>
    <w:rsid w:val="00F1172B"/>
    <w:rsid w:val="00F207D2"/>
    <w:rsid w:val="00F2135C"/>
    <w:rsid w:val="00F25193"/>
    <w:rsid w:val="00F26BF1"/>
    <w:rsid w:val="00F27A47"/>
    <w:rsid w:val="00F301B1"/>
    <w:rsid w:val="00F3020E"/>
    <w:rsid w:val="00F3200F"/>
    <w:rsid w:val="00F36B47"/>
    <w:rsid w:val="00F37B80"/>
    <w:rsid w:val="00F41A8F"/>
    <w:rsid w:val="00F43C66"/>
    <w:rsid w:val="00F43F24"/>
    <w:rsid w:val="00F50143"/>
    <w:rsid w:val="00F506B2"/>
    <w:rsid w:val="00F5495B"/>
    <w:rsid w:val="00F56BAC"/>
    <w:rsid w:val="00F61F82"/>
    <w:rsid w:val="00F61FBD"/>
    <w:rsid w:val="00F644F2"/>
    <w:rsid w:val="00F709E1"/>
    <w:rsid w:val="00F7267F"/>
    <w:rsid w:val="00F81FF2"/>
    <w:rsid w:val="00F832E4"/>
    <w:rsid w:val="00F87DA3"/>
    <w:rsid w:val="00F91FD8"/>
    <w:rsid w:val="00F92C99"/>
    <w:rsid w:val="00F95F08"/>
    <w:rsid w:val="00F9670C"/>
    <w:rsid w:val="00FA0045"/>
    <w:rsid w:val="00FA093C"/>
    <w:rsid w:val="00FA15C8"/>
    <w:rsid w:val="00FA60A1"/>
    <w:rsid w:val="00FA7594"/>
    <w:rsid w:val="00FC16CF"/>
    <w:rsid w:val="00FC19E9"/>
    <w:rsid w:val="00FC2119"/>
    <w:rsid w:val="00FC21A5"/>
    <w:rsid w:val="00FC7415"/>
    <w:rsid w:val="00FD0FD3"/>
    <w:rsid w:val="00FD7160"/>
    <w:rsid w:val="00FD7A25"/>
    <w:rsid w:val="00FD7C01"/>
    <w:rsid w:val="00FE0253"/>
    <w:rsid w:val="00FE04D3"/>
    <w:rsid w:val="00FE171F"/>
    <w:rsid w:val="00FE47CB"/>
    <w:rsid w:val="00FE480D"/>
    <w:rsid w:val="00FF0590"/>
    <w:rsid w:val="00FF1DBA"/>
    <w:rsid w:val="00FF4421"/>
    <w:rsid w:val="00FF45DF"/>
    <w:rsid w:val="00FF4E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6BEED"/>
  <w15:docId w15:val="{21F4C68A-35B0-4F33-818A-0C4A4BE1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Bekezdés"/>
    <w:rsid w:val="00AD08FA"/>
    <w:pPr>
      <w:spacing w:after="120"/>
      <w:jc w:val="both"/>
    </w:pPr>
  </w:style>
  <w:style w:type="paragraph" w:styleId="Cmsor1">
    <w:name w:val="heading 1"/>
    <w:basedOn w:val="Norml"/>
    <w:next w:val="Norml"/>
    <w:link w:val="Cmsor1Char"/>
    <w:uiPriority w:val="9"/>
    <w:rsid w:val="00AD08FA"/>
    <w:pPr>
      <w:keepNext/>
      <w:keepLines/>
      <w:numPr>
        <w:numId w:val="1"/>
      </w:numPr>
      <w:spacing w:after="240"/>
      <w:outlineLvl w:val="0"/>
    </w:pPr>
    <w:rPr>
      <w:rFonts w:asciiTheme="majorHAnsi" w:eastAsiaTheme="majorEastAsia" w:hAnsiTheme="majorHAnsi" w:cstheme="majorBidi"/>
      <w:b/>
      <w:bCs/>
      <w:color w:val="000000" w:themeColor="text2" w:themeShade="BF"/>
      <w:sz w:val="32"/>
      <w:szCs w:val="28"/>
    </w:rPr>
  </w:style>
  <w:style w:type="paragraph" w:styleId="Cmsor2">
    <w:name w:val="heading 2"/>
    <w:basedOn w:val="Norml"/>
    <w:next w:val="Norml"/>
    <w:link w:val="Cmsor2Char"/>
    <w:uiPriority w:val="9"/>
    <w:semiHidden/>
    <w:unhideWhenUsed/>
    <w:rsid w:val="00AD08FA"/>
    <w:pPr>
      <w:keepNext/>
      <w:keepLines/>
      <w:numPr>
        <w:ilvl w:val="1"/>
        <w:numId w:val="1"/>
      </w:numPr>
      <w:spacing w:after="240"/>
      <w:outlineLvl w:val="1"/>
    </w:pPr>
    <w:rPr>
      <w:rFonts w:asciiTheme="majorHAnsi" w:eastAsiaTheme="majorEastAsia" w:hAnsiTheme="majorHAnsi" w:cstheme="majorBidi"/>
      <w:b/>
      <w:bCs/>
      <w:color w:val="666666" w:themeColor="text2" w:themeTint="99"/>
      <w:sz w:val="28"/>
      <w:szCs w:val="26"/>
    </w:rPr>
  </w:style>
  <w:style w:type="paragraph" w:styleId="Cmsor3">
    <w:name w:val="heading 3"/>
    <w:basedOn w:val="Norml"/>
    <w:next w:val="Norml"/>
    <w:link w:val="Cmsor3Char"/>
    <w:uiPriority w:val="9"/>
    <w:semiHidden/>
    <w:unhideWhenUsed/>
    <w:qFormat/>
    <w:rsid w:val="00AD08FA"/>
    <w:pPr>
      <w:keepNext/>
      <w:keepLines/>
      <w:numPr>
        <w:ilvl w:val="2"/>
        <w:numId w:val="1"/>
      </w:numPr>
      <w:spacing w:after="240"/>
      <w:outlineLvl w:val="2"/>
    </w:pPr>
    <w:rPr>
      <w:rFonts w:asciiTheme="majorHAnsi" w:eastAsiaTheme="majorEastAsia" w:hAnsiTheme="majorHAnsi" w:cstheme="majorBidi"/>
      <w:b/>
      <w:bCs/>
      <w:color w:val="999999" w:themeColor="text2" w:themeTint="66"/>
      <w:sz w:val="24"/>
    </w:rPr>
  </w:style>
  <w:style w:type="paragraph" w:styleId="Cmsor4">
    <w:name w:val="heading 4"/>
    <w:basedOn w:val="Norml"/>
    <w:next w:val="Norml"/>
    <w:link w:val="Cmsor4Char"/>
    <w:uiPriority w:val="9"/>
    <w:semiHidden/>
    <w:unhideWhenUsed/>
    <w:qFormat/>
    <w:rsid w:val="00AD08FA"/>
    <w:pPr>
      <w:keepNext/>
      <w:keepLines/>
      <w:numPr>
        <w:ilvl w:val="3"/>
        <w:numId w:val="1"/>
      </w:numPr>
      <w:outlineLvl w:val="3"/>
    </w:pPr>
    <w:rPr>
      <w:rFonts w:asciiTheme="majorHAnsi" w:eastAsiaTheme="majorEastAsia" w:hAnsiTheme="majorHAnsi" w:cstheme="majorBidi"/>
      <w:b/>
      <w:bCs/>
      <w:iCs/>
      <w:color w:val="CCCCCC" w:themeColor="text2" w:themeTint="33"/>
    </w:rPr>
  </w:style>
  <w:style w:type="paragraph" w:styleId="Cmsor5">
    <w:name w:val="heading 5"/>
    <w:basedOn w:val="Norml"/>
    <w:next w:val="Norml"/>
    <w:link w:val="Cmsor5Char"/>
    <w:uiPriority w:val="9"/>
    <w:semiHidden/>
    <w:unhideWhenUsed/>
    <w:rsid w:val="007D7C2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AD08F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AD08F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D08F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Cmsor9">
    <w:name w:val="heading 9"/>
    <w:basedOn w:val="Norml"/>
    <w:next w:val="Norml"/>
    <w:link w:val="Cmsor9Char"/>
    <w:uiPriority w:val="9"/>
    <w:semiHidden/>
    <w:unhideWhenUsed/>
    <w:qFormat/>
    <w:rsid w:val="00AD08F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D08FA"/>
    <w:rPr>
      <w:rFonts w:asciiTheme="majorHAnsi" w:eastAsiaTheme="majorEastAsia" w:hAnsiTheme="majorHAnsi" w:cstheme="majorBidi"/>
      <w:b/>
      <w:bCs/>
      <w:color w:val="000000" w:themeColor="text2" w:themeShade="BF"/>
      <w:sz w:val="32"/>
      <w:szCs w:val="28"/>
    </w:rPr>
  </w:style>
  <w:style w:type="paragraph" w:styleId="Tartalomjegyzkcmsora">
    <w:name w:val="TOC Heading"/>
    <w:basedOn w:val="Cmsor1"/>
    <w:next w:val="Norml"/>
    <w:link w:val="TartalomjegyzkcmsoraChar"/>
    <w:uiPriority w:val="39"/>
    <w:unhideWhenUsed/>
    <w:rsid w:val="00AD08FA"/>
    <w:pPr>
      <w:numPr>
        <w:numId w:val="0"/>
      </w:numPr>
      <w:outlineLvl w:val="9"/>
    </w:pPr>
  </w:style>
  <w:style w:type="paragraph" w:styleId="lfej">
    <w:name w:val="header"/>
    <w:basedOn w:val="Norml"/>
    <w:link w:val="lfejChar"/>
    <w:uiPriority w:val="99"/>
    <w:unhideWhenUsed/>
    <w:rsid w:val="006F446C"/>
    <w:pPr>
      <w:tabs>
        <w:tab w:val="center" w:pos="4536"/>
        <w:tab w:val="right" w:pos="9072"/>
      </w:tabs>
      <w:spacing w:after="0" w:line="240" w:lineRule="auto"/>
    </w:pPr>
  </w:style>
  <w:style w:type="paragraph" w:styleId="Listaszerbekezds">
    <w:name w:val="List Paragraph"/>
    <w:basedOn w:val="Norml"/>
    <w:link w:val="ListaszerbekezdsChar"/>
    <w:uiPriority w:val="34"/>
    <w:qFormat/>
    <w:rsid w:val="00CA3CD6"/>
    <w:pPr>
      <w:ind w:left="720"/>
      <w:contextualSpacing/>
    </w:pPr>
  </w:style>
  <w:style w:type="character" w:customStyle="1" w:styleId="lfejChar">
    <w:name w:val="Élőfej Char"/>
    <w:basedOn w:val="Bekezdsalapbettpusa"/>
    <w:link w:val="lfej"/>
    <w:uiPriority w:val="99"/>
    <w:rsid w:val="006F446C"/>
  </w:style>
  <w:style w:type="paragraph" w:styleId="llb">
    <w:name w:val="footer"/>
    <w:basedOn w:val="Norml"/>
    <w:link w:val="llbChar"/>
    <w:uiPriority w:val="99"/>
    <w:unhideWhenUsed/>
    <w:rsid w:val="006F446C"/>
    <w:pPr>
      <w:tabs>
        <w:tab w:val="center" w:pos="4536"/>
        <w:tab w:val="right" w:pos="9072"/>
      </w:tabs>
      <w:spacing w:after="0" w:line="240" w:lineRule="auto"/>
    </w:pPr>
  </w:style>
  <w:style w:type="character" w:customStyle="1" w:styleId="llbChar">
    <w:name w:val="Élőláb Char"/>
    <w:basedOn w:val="Bekezdsalapbettpusa"/>
    <w:link w:val="llb"/>
    <w:uiPriority w:val="99"/>
    <w:rsid w:val="006F446C"/>
  </w:style>
  <w:style w:type="paragraph" w:customStyle="1" w:styleId="Cmnmhh">
    <w:name w:val="Cím_nmhh"/>
    <w:basedOn w:val="Cm"/>
    <w:qFormat/>
    <w:rsid w:val="007553B5"/>
    <w:pPr>
      <w:pBdr>
        <w:bottom w:val="none" w:sz="0" w:space="0" w:color="auto"/>
      </w:pBdr>
      <w:spacing w:after="480" w:line="720" w:lineRule="exact"/>
      <w:ind w:left="890"/>
      <w:contextualSpacing w:val="0"/>
      <w:jc w:val="left"/>
    </w:pPr>
    <w:rPr>
      <w:b/>
      <w:color w:val="2A4A96"/>
      <w:sz w:val="60"/>
    </w:rPr>
  </w:style>
  <w:style w:type="paragraph" w:customStyle="1" w:styleId="Osztlynmhh">
    <w:name w:val="Osztály_nmhh"/>
    <w:basedOn w:val="Norml"/>
    <w:next w:val="Norml"/>
    <w:qFormat/>
    <w:rsid w:val="00BB417B"/>
    <w:pPr>
      <w:spacing w:after="0"/>
      <w:ind w:left="890"/>
      <w:jc w:val="left"/>
    </w:pPr>
    <w:rPr>
      <w:caps/>
      <w:color w:val="465155"/>
      <w:sz w:val="36"/>
    </w:rPr>
  </w:style>
  <w:style w:type="paragraph" w:styleId="Cm">
    <w:name w:val="Title"/>
    <w:basedOn w:val="Norml"/>
    <w:next w:val="Norml"/>
    <w:link w:val="CmChar"/>
    <w:uiPriority w:val="10"/>
    <w:rsid w:val="00A81A4D"/>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CmChar">
    <w:name w:val="Cím Char"/>
    <w:basedOn w:val="Bekezdsalapbettpusa"/>
    <w:link w:val="Cm"/>
    <w:uiPriority w:val="10"/>
    <w:rsid w:val="00A81A4D"/>
    <w:rPr>
      <w:rFonts w:asciiTheme="majorHAnsi" w:eastAsiaTheme="majorEastAsia" w:hAnsiTheme="majorHAnsi" w:cstheme="majorBidi"/>
      <w:color w:val="000000" w:themeColor="text2" w:themeShade="BF"/>
      <w:spacing w:val="5"/>
      <w:kern w:val="28"/>
      <w:sz w:val="52"/>
      <w:szCs w:val="52"/>
    </w:rPr>
  </w:style>
  <w:style w:type="paragraph" w:customStyle="1" w:styleId="Bortlapegybnmhh">
    <w:name w:val="Borítólap egyéb_nmhh"/>
    <w:basedOn w:val="Norml"/>
    <w:link w:val="BortlapegybnmhhChar"/>
    <w:qFormat/>
    <w:rsid w:val="00184A51"/>
    <w:pPr>
      <w:spacing w:after="0"/>
      <w:ind w:left="890"/>
      <w:jc w:val="left"/>
    </w:pPr>
    <w:rPr>
      <w:color w:val="4C5256"/>
      <w:sz w:val="30"/>
    </w:rPr>
  </w:style>
  <w:style w:type="paragraph" w:customStyle="1" w:styleId="Tartalomjegyzkcmsoranmhh">
    <w:name w:val="Tartalomjegyzék_címsora_nmhh"/>
    <w:basedOn w:val="Tartalomjegyzkcmsora"/>
    <w:link w:val="TartalomjegyzkcmsoranmhhChar"/>
    <w:qFormat/>
    <w:rsid w:val="00EA55D5"/>
    <w:pPr>
      <w:outlineLvl w:val="0"/>
    </w:pPr>
    <w:rPr>
      <w:sz w:val="36"/>
    </w:rPr>
  </w:style>
  <w:style w:type="character" w:customStyle="1" w:styleId="BortlapegybnmhhChar">
    <w:name w:val="Borítólap egyéb_nmhh Char"/>
    <w:basedOn w:val="Bekezdsalapbettpusa"/>
    <w:link w:val="Bortlapegybnmhh"/>
    <w:rsid w:val="00184A51"/>
    <w:rPr>
      <w:color w:val="4C5256"/>
      <w:sz w:val="30"/>
    </w:rPr>
  </w:style>
  <w:style w:type="paragraph" w:customStyle="1" w:styleId="Bekezdsnmhh">
    <w:name w:val="Bekezdés_nmhh"/>
    <w:basedOn w:val="Norml"/>
    <w:link w:val="BekezdsnmhhChar"/>
    <w:qFormat/>
    <w:rsid w:val="00DA31F6"/>
    <w:rPr>
      <w:sz w:val="20"/>
      <w:szCs w:val="20"/>
    </w:rPr>
  </w:style>
  <w:style w:type="character" w:customStyle="1" w:styleId="TartalomjegyzkcmsoraChar">
    <w:name w:val="Tartalomjegyzék címsora Char"/>
    <w:basedOn w:val="Cmsor1Char"/>
    <w:link w:val="Tartalomjegyzkcmsora"/>
    <w:uiPriority w:val="39"/>
    <w:rsid w:val="00087A8F"/>
    <w:rPr>
      <w:rFonts w:asciiTheme="majorHAnsi" w:eastAsiaTheme="majorEastAsia" w:hAnsiTheme="majorHAnsi" w:cstheme="majorBidi"/>
      <w:b/>
      <w:bCs/>
      <w:color w:val="000000" w:themeColor="text2" w:themeShade="BF"/>
      <w:sz w:val="32"/>
      <w:szCs w:val="28"/>
    </w:rPr>
  </w:style>
  <w:style w:type="character" w:customStyle="1" w:styleId="TartalomjegyzkcmsoranmhhChar">
    <w:name w:val="Tartalomjegyzék_címsora_nmhh Char"/>
    <w:basedOn w:val="TartalomjegyzkcmsoraChar"/>
    <w:link w:val="Tartalomjegyzkcmsoranmhh"/>
    <w:rsid w:val="00EA55D5"/>
    <w:rPr>
      <w:rFonts w:asciiTheme="majorHAnsi" w:eastAsiaTheme="majorEastAsia" w:hAnsiTheme="majorHAnsi" w:cstheme="majorBidi"/>
      <w:b/>
      <w:bCs/>
      <w:color w:val="000000" w:themeColor="text2" w:themeShade="BF"/>
      <w:sz w:val="36"/>
      <w:szCs w:val="28"/>
    </w:rPr>
  </w:style>
  <w:style w:type="paragraph" w:customStyle="1" w:styleId="Behzottbekezdsnmhh">
    <w:name w:val="Behúzott_bekezdés_nmhh"/>
    <w:basedOn w:val="Norml"/>
    <w:link w:val="BehzottbekezdsnmhhChar"/>
    <w:qFormat/>
    <w:rsid w:val="00CB2F81"/>
    <w:pPr>
      <w:ind w:firstLine="357"/>
    </w:pPr>
    <w:rPr>
      <w:sz w:val="20"/>
      <w:szCs w:val="20"/>
    </w:rPr>
  </w:style>
  <w:style w:type="character" w:customStyle="1" w:styleId="BekezdsnmhhChar">
    <w:name w:val="Bekezdés_nmhh Char"/>
    <w:basedOn w:val="Bekezdsalapbettpusa"/>
    <w:link w:val="Bekezdsnmhh"/>
    <w:rsid w:val="00DA31F6"/>
    <w:rPr>
      <w:sz w:val="20"/>
      <w:szCs w:val="20"/>
    </w:rPr>
  </w:style>
  <w:style w:type="paragraph" w:customStyle="1" w:styleId="Felsorolsbekezdsnmhh">
    <w:name w:val="Felsorolás_bekezdés_nmhh"/>
    <w:basedOn w:val="Norml"/>
    <w:qFormat/>
    <w:rsid w:val="00CB2F81"/>
    <w:pPr>
      <w:ind w:left="709"/>
    </w:pPr>
    <w:rPr>
      <w:sz w:val="20"/>
      <w:szCs w:val="20"/>
    </w:rPr>
  </w:style>
  <w:style w:type="character" w:customStyle="1" w:styleId="BehzottbekezdsnmhhChar">
    <w:name w:val="Behúzott_bekezdés_nmhh Char"/>
    <w:basedOn w:val="Bekezdsalapbettpusa"/>
    <w:link w:val="Behzottbekezdsnmhh"/>
    <w:rsid w:val="00CB2F81"/>
    <w:rPr>
      <w:sz w:val="20"/>
      <w:szCs w:val="20"/>
    </w:rPr>
  </w:style>
  <w:style w:type="paragraph" w:customStyle="1" w:styleId="Felsorolsnmhh">
    <w:name w:val="Felsorolás_nmhh"/>
    <w:basedOn w:val="Listaszerbekezds"/>
    <w:link w:val="FelsorolsnmhhChar"/>
    <w:qFormat/>
    <w:rsid w:val="00CB2F81"/>
    <w:pPr>
      <w:numPr>
        <w:numId w:val="2"/>
      </w:numPr>
      <w:ind w:left="714" w:hanging="357"/>
    </w:pPr>
    <w:rPr>
      <w:b/>
      <w:sz w:val="20"/>
      <w:szCs w:val="20"/>
    </w:rPr>
  </w:style>
  <w:style w:type="paragraph" w:customStyle="1" w:styleId="Felsorols1nmhh">
    <w:name w:val="Felsorolás1_nmhh"/>
    <w:basedOn w:val="Listaszerbekezds"/>
    <w:link w:val="Felsorols1nmhhChar"/>
    <w:qFormat/>
    <w:rsid w:val="002B2A3F"/>
    <w:pPr>
      <w:numPr>
        <w:numId w:val="4"/>
      </w:numPr>
      <w:ind w:left="357" w:hanging="357"/>
      <w:contextualSpacing w:val="0"/>
    </w:pPr>
    <w:rPr>
      <w:b/>
      <w:sz w:val="20"/>
      <w:szCs w:val="20"/>
    </w:rPr>
  </w:style>
  <w:style w:type="character" w:customStyle="1" w:styleId="ListaszerbekezdsChar">
    <w:name w:val="Listaszerű bekezdés Char"/>
    <w:basedOn w:val="Bekezdsalapbettpusa"/>
    <w:link w:val="Listaszerbekezds"/>
    <w:uiPriority w:val="34"/>
    <w:rsid w:val="00CB2F81"/>
  </w:style>
  <w:style w:type="character" w:customStyle="1" w:styleId="FelsorolsnmhhChar">
    <w:name w:val="Felsorolás_nmhh Char"/>
    <w:basedOn w:val="ListaszerbekezdsChar"/>
    <w:link w:val="Felsorolsnmhh"/>
    <w:rsid w:val="00CB2F81"/>
    <w:rPr>
      <w:b/>
      <w:sz w:val="20"/>
      <w:szCs w:val="20"/>
    </w:rPr>
  </w:style>
  <w:style w:type="character" w:customStyle="1" w:styleId="Cmsor5Char">
    <w:name w:val="Címsor 5 Char"/>
    <w:basedOn w:val="Bekezdsalapbettpusa"/>
    <w:link w:val="Cmsor5"/>
    <w:uiPriority w:val="9"/>
    <w:semiHidden/>
    <w:rsid w:val="007D7C2E"/>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D08FA"/>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D08FA"/>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D08FA"/>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AD08FA"/>
    <w:rPr>
      <w:rFonts w:asciiTheme="majorHAnsi" w:eastAsiaTheme="majorEastAsia" w:hAnsiTheme="majorHAnsi" w:cstheme="majorBidi"/>
      <w:i/>
      <w:iCs/>
      <w:color w:val="404040" w:themeColor="text1" w:themeTint="BF"/>
      <w:sz w:val="20"/>
      <w:szCs w:val="20"/>
    </w:rPr>
  </w:style>
  <w:style w:type="paragraph" w:styleId="Kpalrs">
    <w:name w:val="caption"/>
    <w:basedOn w:val="Norml"/>
    <w:next w:val="Norml"/>
    <w:uiPriority w:val="35"/>
    <w:unhideWhenUsed/>
    <w:qFormat/>
    <w:rsid w:val="00AD08FA"/>
    <w:pPr>
      <w:spacing w:line="240" w:lineRule="auto"/>
    </w:pPr>
    <w:rPr>
      <w:b/>
      <w:bCs/>
      <w:color w:val="4F81BD" w:themeColor="accent1"/>
      <w:sz w:val="18"/>
      <w:szCs w:val="18"/>
    </w:rPr>
  </w:style>
  <w:style w:type="paragraph" w:customStyle="1" w:styleId="Felsorols2nmhh">
    <w:name w:val="Felsorolás2_nmhh"/>
    <w:basedOn w:val="Listaszerbekezds"/>
    <w:link w:val="Felsorols2nmhhChar"/>
    <w:qFormat/>
    <w:rsid w:val="002B2A3F"/>
    <w:pPr>
      <w:numPr>
        <w:numId w:val="3"/>
      </w:numPr>
      <w:ind w:left="357" w:hanging="357"/>
    </w:pPr>
    <w:rPr>
      <w:b/>
      <w:sz w:val="20"/>
      <w:szCs w:val="20"/>
    </w:rPr>
  </w:style>
  <w:style w:type="character" w:customStyle="1" w:styleId="Felsorols1nmhhChar">
    <w:name w:val="Felsorolás1_nmhh Char"/>
    <w:basedOn w:val="ListaszerbekezdsChar"/>
    <w:link w:val="Felsorols1nmhh"/>
    <w:rsid w:val="002B2A3F"/>
    <w:rPr>
      <w:b/>
      <w:sz w:val="20"/>
      <w:szCs w:val="20"/>
    </w:rPr>
  </w:style>
  <w:style w:type="paragraph" w:customStyle="1" w:styleId="Lista1nmhh">
    <w:name w:val="Lista1_nmhh"/>
    <w:basedOn w:val="Listaszerbekezds"/>
    <w:link w:val="Lista1nmhhChar"/>
    <w:qFormat/>
    <w:rsid w:val="002B2A3F"/>
    <w:pPr>
      <w:numPr>
        <w:numId w:val="6"/>
      </w:numPr>
      <w:spacing w:after="0"/>
      <w:ind w:left="714" w:hanging="357"/>
    </w:pPr>
    <w:rPr>
      <w:sz w:val="20"/>
      <w:szCs w:val="20"/>
    </w:rPr>
  </w:style>
  <w:style w:type="character" w:customStyle="1" w:styleId="Felsorols2nmhhChar">
    <w:name w:val="Felsorolás2_nmhh Char"/>
    <w:basedOn w:val="ListaszerbekezdsChar"/>
    <w:link w:val="Felsorols2nmhh"/>
    <w:rsid w:val="002B2A3F"/>
    <w:rPr>
      <w:b/>
      <w:sz w:val="20"/>
      <w:szCs w:val="20"/>
    </w:rPr>
  </w:style>
  <w:style w:type="paragraph" w:customStyle="1" w:styleId="Lista2nmhh">
    <w:name w:val="Lista2_nmhh"/>
    <w:basedOn w:val="Listaszerbekezds"/>
    <w:link w:val="Lista2nmhhChar"/>
    <w:qFormat/>
    <w:rsid w:val="002B2A3F"/>
    <w:pPr>
      <w:numPr>
        <w:numId w:val="7"/>
      </w:numPr>
      <w:spacing w:after="0"/>
    </w:pPr>
    <w:rPr>
      <w:sz w:val="20"/>
      <w:szCs w:val="20"/>
    </w:rPr>
  </w:style>
  <w:style w:type="character" w:customStyle="1" w:styleId="Lista1nmhhChar">
    <w:name w:val="Lista1_nmhh Char"/>
    <w:basedOn w:val="ListaszerbekezdsChar"/>
    <w:link w:val="Lista1nmhh"/>
    <w:rsid w:val="002B2A3F"/>
    <w:rPr>
      <w:sz w:val="20"/>
      <w:szCs w:val="20"/>
    </w:rPr>
  </w:style>
  <w:style w:type="paragraph" w:customStyle="1" w:styleId="Cmsorszmozatlannmhh">
    <w:name w:val="Címsor_számozatlan_nmhh"/>
    <w:basedOn w:val="Norml"/>
    <w:next w:val="Behzottbekezdsnmhh"/>
    <w:link w:val="CmsorszmozatlannmhhChar"/>
    <w:qFormat/>
    <w:rsid w:val="00EA55D5"/>
    <w:pPr>
      <w:pageBreakBefore/>
      <w:spacing w:after="240"/>
      <w:jc w:val="left"/>
      <w:outlineLvl w:val="0"/>
    </w:pPr>
    <w:rPr>
      <w:rFonts w:asciiTheme="majorHAnsi" w:hAnsiTheme="majorHAnsi" w:cstheme="majorHAnsi"/>
      <w:b/>
      <w:sz w:val="36"/>
      <w:szCs w:val="36"/>
    </w:rPr>
  </w:style>
  <w:style w:type="character" w:customStyle="1" w:styleId="Lista2nmhhChar">
    <w:name w:val="Lista2_nmhh Char"/>
    <w:basedOn w:val="ListaszerbekezdsChar"/>
    <w:link w:val="Lista2nmhh"/>
    <w:rsid w:val="002B2A3F"/>
    <w:rPr>
      <w:sz w:val="20"/>
      <w:szCs w:val="20"/>
    </w:rPr>
  </w:style>
  <w:style w:type="paragraph" w:customStyle="1" w:styleId="Cmsor1szmozottnmhh">
    <w:name w:val="Címsor1_számozott_nmhh"/>
    <w:basedOn w:val="Listaszerbekezds"/>
    <w:next w:val="Behzottbekezdsnmhh"/>
    <w:link w:val="Cmsor1szmozottnmhhChar"/>
    <w:qFormat/>
    <w:rsid w:val="0022198C"/>
    <w:pPr>
      <w:numPr>
        <w:numId w:val="5"/>
      </w:numPr>
      <w:spacing w:after="240"/>
      <w:contextualSpacing w:val="0"/>
      <w:jc w:val="left"/>
      <w:outlineLvl w:val="0"/>
    </w:pPr>
    <w:rPr>
      <w:rFonts w:asciiTheme="majorHAnsi" w:hAnsiTheme="majorHAnsi" w:cstheme="majorHAnsi"/>
      <w:b/>
      <w:sz w:val="36"/>
      <w:szCs w:val="36"/>
    </w:rPr>
  </w:style>
  <w:style w:type="character" w:customStyle="1" w:styleId="CmsorszmozatlannmhhChar">
    <w:name w:val="Címsor_számozatlan_nmhh Char"/>
    <w:basedOn w:val="Bekezdsalapbettpusa"/>
    <w:link w:val="Cmsorszmozatlannmhh"/>
    <w:rsid w:val="00EA55D5"/>
    <w:rPr>
      <w:rFonts w:asciiTheme="majorHAnsi" w:hAnsiTheme="majorHAnsi" w:cstheme="majorHAnsi"/>
      <w:b/>
      <w:sz w:val="36"/>
      <w:szCs w:val="36"/>
    </w:rPr>
  </w:style>
  <w:style w:type="paragraph" w:customStyle="1" w:styleId="Cmsor2szmozottnmhh">
    <w:name w:val="Címsor2_számozott_nmhh"/>
    <w:basedOn w:val="Listaszerbekezds"/>
    <w:next w:val="Behzottbekezdsnmhh"/>
    <w:link w:val="Cmsor2szmozottnmhhChar"/>
    <w:qFormat/>
    <w:rsid w:val="002B2A3F"/>
    <w:pPr>
      <w:numPr>
        <w:ilvl w:val="1"/>
        <w:numId w:val="5"/>
      </w:numPr>
      <w:spacing w:after="240"/>
      <w:ind w:left="2561"/>
      <w:contextualSpacing w:val="0"/>
      <w:jc w:val="left"/>
      <w:outlineLvl w:val="1"/>
    </w:pPr>
    <w:rPr>
      <w:rFonts w:asciiTheme="majorHAnsi" w:hAnsiTheme="majorHAnsi" w:cstheme="majorHAnsi"/>
      <w:b/>
      <w:sz w:val="32"/>
      <w:szCs w:val="32"/>
    </w:rPr>
  </w:style>
  <w:style w:type="character" w:customStyle="1" w:styleId="Cmsor1szmozottnmhhChar">
    <w:name w:val="Címsor1_számozott_nmhh Char"/>
    <w:basedOn w:val="ListaszerbekezdsChar"/>
    <w:link w:val="Cmsor1szmozottnmhh"/>
    <w:rsid w:val="0022198C"/>
    <w:rPr>
      <w:rFonts w:asciiTheme="majorHAnsi" w:hAnsiTheme="majorHAnsi" w:cstheme="majorHAnsi"/>
      <w:b/>
      <w:sz w:val="36"/>
      <w:szCs w:val="36"/>
    </w:rPr>
  </w:style>
  <w:style w:type="paragraph" w:customStyle="1" w:styleId="Cmsor3szmozottnmhh">
    <w:name w:val="Címsor3_számozott_nmhh"/>
    <w:basedOn w:val="Listaszerbekezds"/>
    <w:next w:val="Behzottbekezdsnmhh"/>
    <w:link w:val="Cmsor3szmozottnmhhChar"/>
    <w:qFormat/>
    <w:rsid w:val="002B2A3F"/>
    <w:pPr>
      <w:numPr>
        <w:ilvl w:val="2"/>
        <w:numId w:val="5"/>
      </w:numPr>
      <w:spacing w:after="240"/>
      <w:contextualSpacing w:val="0"/>
      <w:jc w:val="left"/>
      <w:outlineLvl w:val="2"/>
    </w:pPr>
    <w:rPr>
      <w:rFonts w:asciiTheme="majorHAnsi" w:hAnsiTheme="majorHAnsi" w:cstheme="majorHAnsi"/>
      <w:b/>
      <w:sz w:val="28"/>
      <w:szCs w:val="28"/>
    </w:rPr>
  </w:style>
  <w:style w:type="character" w:customStyle="1" w:styleId="Cmsor2szmozottnmhhChar">
    <w:name w:val="Címsor2_számozott_nmhh Char"/>
    <w:basedOn w:val="ListaszerbekezdsChar"/>
    <w:link w:val="Cmsor2szmozottnmhh"/>
    <w:rsid w:val="002B2A3F"/>
    <w:rPr>
      <w:rFonts w:asciiTheme="majorHAnsi" w:hAnsiTheme="majorHAnsi" w:cstheme="majorHAnsi"/>
      <w:b/>
      <w:sz w:val="32"/>
      <w:szCs w:val="32"/>
    </w:rPr>
  </w:style>
  <w:style w:type="paragraph" w:customStyle="1" w:styleId="Cmsor4szmozottnmhh">
    <w:name w:val="Címsor4_számozott_nmhh"/>
    <w:basedOn w:val="Listaszerbekezds"/>
    <w:next w:val="Behzottbekezdsnmhh"/>
    <w:link w:val="Cmsor4szmozottnmhhChar"/>
    <w:qFormat/>
    <w:rsid w:val="002B2A3F"/>
    <w:pPr>
      <w:numPr>
        <w:ilvl w:val="3"/>
        <w:numId w:val="5"/>
      </w:numPr>
      <w:spacing w:after="240"/>
      <w:ind w:left="862" w:hanging="862"/>
      <w:contextualSpacing w:val="0"/>
      <w:jc w:val="left"/>
      <w:outlineLvl w:val="3"/>
    </w:pPr>
    <w:rPr>
      <w:rFonts w:asciiTheme="majorHAnsi" w:hAnsiTheme="majorHAnsi" w:cstheme="majorHAnsi"/>
      <w:b/>
      <w:sz w:val="24"/>
      <w:szCs w:val="24"/>
    </w:rPr>
  </w:style>
  <w:style w:type="character" w:customStyle="1" w:styleId="Cmsor3szmozottnmhhChar">
    <w:name w:val="Címsor3_számozott_nmhh Char"/>
    <w:basedOn w:val="ListaszerbekezdsChar"/>
    <w:link w:val="Cmsor3szmozottnmhh"/>
    <w:rsid w:val="002B2A3F"/>
    <w:rPr>
      <w:rFonts w:asciiTheme="majorHAnsi" w:hAnsiTheme="majorHAnsi" w:cstheme="majorHAnsi"/>
      <w:b/>
      <w:sz w:val="28"/>
      <w:szCs w:val="28"/>
    </w:rPr>
  </w:style>
  <w:style w:type="paragraph" w:customStyle="1" w:styleId="Irodalomjegyzkfelsorolsnmhh">
    <w:name w:val="Irodalomjegyzék_felsorolás_nmhh"/>
    <w:basedOn w:val="Bekezdsnmhh"/>
    <w:link w:val="IrodalomjegyzkfelsorolsnmhhChar"/>
    <w:qFormat/>
    <w:rsid w:val="0018360B"/>
    <w:pPr>
      <w:numPr>
        <w:numId w:val="8"/>
      </w:numPr>
      <w:jc w:val="left"/>
    </w:pPr>
  </w:style>
  <w:style w:type="character" w:customStyle="1" w:styleId="Cmsor4szmozottnmhhChar">
    <w:name w:val="Címsor4_számozott_nmhh Char"/>
    <w:basedOn w:val="ListaszerbekezdsChar"/>
    <w:link w:val="Cmsor4szmozottnmhh"/>
    <w:rsid w:val="002B2A3F"/>
    <w:rPr>
      <w:rFonts w:asciiTheme="majorHAnsi" w:hAnsiTheme="majorHAnsi" w:cstheme="majorHAnsi"/>
      <w:b/>
      <w:sz w:val="24"/>
      <w:szCs w:val="24"/>
    </w:rPr>
  </w:style>
  <w:style w:type="paragraph" w:styleId="TJ1">
    <w:name w:val="toc 1"/>
    <w:basedOn w:val="Norml"/>
    <w:next w:val="Norml"/>
    <w:autoRedefine/>
    <w:uiPriority w:val="39"/>
    <w:unhideWhenUsed/>
    <w:rsid w:val="0018360B"/>
    <w:pPr>
      <w:spacing w:after="100"/>
    </w:pPr>
  </w:style>
  <w:style w:type="character" w:customStyle="1" w:styleId="IrodalomjegyzkfelsorolsnmhhChar">
    <w:name w:val="Irodalomjegyzék_felsorolás_nmhh Char"/>
    <w:basedOn w:val="BekezdsnmhhChar"/>
    <w:link w:val="Irodalomjegyzkfelsorolsnmhh"/>
    <w:rsid w:val="0018360B"/>
    <w:rPr>
      <w:sz w:val="20"/>
      <w:szCs w:val="20"/>
    </w:rPr>
  </w:style>
  <w:style w:type="character" w:customStyle="1" w:styleId="Cmsor2Char">
    <w:name w:val="Címsor 2 Char"/>
    <w:basedOn w:val="Bekezdsalapbettpusa"/>
    <w:link w:val="Cmsor2"/>
    <w:uiPriority w:val="9"/>
    <w:semiHidden/>
    <w:rsid w:val="00AD08FA"/>
    <w:rPr>
      <w:rFonts w:asciiTheme="majorHAnsi" w:eastAsiaTheme="majorEastAsia" w:hAnsiTheme="majorHAnsi" w:cstheme="majorBidi"/>
      <w:b/>
      <w:bCs/>
      <w:color w:val="666666" w:themeColor="text2" w:themeTint="99"/>
      <w:sz w:val="28"/>
      <w:szCs w:val="26"/>
    </w:rPr>
  </w:style>
  <w:style w:type="character" w:customStyle="1" w:styleId="Cmsor3Char">
    <w:name w:val="Címsor 3 Char"/>
    <w:basedOn w:val="Bekezdsalapbettpusa"/>
    <w:link w:val="Cmsor3"/>
    <w:uiPriority w:val="9"/>
    <w:semiHidden/>
    <w:rsid w:val="00AD08FA"/>
    <w:rPr>
      <w:rFonts w:asciiTheme="majorHAnsi" w:eastAsiaTheme="majorEastAsia" w:hAnsiTheme="majorHAnsi" w:cstheme="majorBidi"/>
      <w:b/>
      <w:bCs/>
      <w:color w:val="999999" w:themeColor="text2" w:themeTint="66"/>
      <w:sz w:val="24"/>
    </w:rPr>
  </w:style>
  <w:style w:type="character" w:customStyle="1" w:styleId="Cmsor4Char">
    <w:name w:val="Címsor 4 Char"/>
    <w:basedOn w:val="Bekezdsalapbettpusa"/>
    <w:link w:val="Cmsor4"/>
    <w:uiPriority w:val="9"/>
    <w:semiHidden/>
    <w:rsid w:val="00AD08FA"/>
    <w:rPr>
      <w:rFonts w:asciiTheme="majorHAnsi" w:eastAsiaTheme="majorEastAsia" w:hAnsiTheme="majorHAnsi" w:cstheme="majorBidi"/>
      <w:b/>
      <w:bCs/>
      <w:iCs/>
      <w:color w:val="CCCCCC" w:themeColor="text2" w:themeTint="33"/>
    </w:rPr>
  </w:style>
  <w:style w:type="paragraph" w:styleId="TJ2">
    <w:name w:val="toc 2"/>
    <w:basedOn w:val="Norml"/>
    <w:next w:val="Norml"/>
    <w:autoRedefine/>
    <w:uiPriority w:val="39"/>
    <w:unhideWhenUsed/>
    <w:rsid w:val="0018360B"/>
    <w:pPr>
      <w:spacing w:after="100"/>
      <w:ind w:left="220"/>
    </w:pPr>
  </w:style>
  <w:style w:type="paragraph" w:styleId="TJ3">
    <w:name w:val="toc 3"/>
    <w:basedOn w:val="Norml"/>
    <w:next w:val="Norml"/>
    <w:autoRedefine/>
    <w:uiPriority w:val="39"/>
    <w:unhideWhenUsed/>
    <w:rsid w:val="0018360B"/>
    <w:pPr>
      <w:spacing w:after="100"/>
      <w:ind w:left="440"/>
    </w:pPr>
  </w:style>
  <w:style w:type="paragraph" w:customStyle="1" w:styleId="BasicParagraph">
    <w:name w:val="[Basic Paragraph]"/>
    <w:basedOn w:val="Norml"/>
    <w:uiPriority w:val="99"/>
    <w:rsid w:val="00AD08FA"/>
    <w:pPr>
      <w:autoSpaceDE w:val="0"/>
      <w:autoSpaceDN w:val="0"/>
      <w:adjustRightInd w:val="0"/>
      <w:spacing w:after="0" w:line="288" w:lineRule="auto"/>
      <w:jc w:val="left"/>
      <w:textAlignment w:val="center"/>
    </w:pPr>
    <w:rPr>
      <w:rFonts w:ascii="Minion Pro" w:hAnsi="Minion Pro" w:cs="Minion Pro"/>
      <w:color w:val="000000"/>
      <w:sz w:val="24"/>
      <w:szCs w:val="24"/>
      <w:lang w:val="en-GB"/>
    </w:rPr>
  </w:style>
  <w:style w:type="paragraph" w:customStyle="1" w:styleId="Style2">
    <w:name w:val="Style2"/>
    <w:basedOn w:val="Norml"/>
    <w:rsid w:val="006F446C"/>
    <w:pPr>
      <w:spacing w:after="240" w:line="720" w:lineRule="exact"/>
      <w:jc w:val="left"/>
    </w:pPr>
    <w:rPr>
      <w:rFonts w:ascii="Arial" w:hAnsi="Arial" w:cstheme="minorBidi"/>
      <w:b/>
      <w:color w:val="911E6C"/>
      <w:sz w:val="60"/>
      <w:szCs w:val="60"/>
    </w:rPr>
  </w:style>
  <w:style w:type="paragraph" w:customStyle="1" w:styleId="Style3">
    <w:name w:val="Style3"/>
    <w:basedOn w:val="Norml"/>
    <w:rsid w:val="00AD08FA"/>
    <w:pPr>
      <w:spacing w:after="160" w:line="440" w:lineRule="exact"/>
      <w:jc w:val="left"/>
    </w:pPr>
    <w:rPr>
      <w:rFonts w:ascii="Arial" w:hAnsi="Arial" w:cstheme="minorBidi"/>
      <w:color w:val="465155"/>
      <w:sz w:val="36"/>
      <w:szCs w:val="36"/>
    </w:rPr>
  </w:style>
  <w:style w:type="table" w:styleId="Rcsostblzat">
    <w:name w:val="Table Grid"/>
    <w:basedOn w:val="Normltblzat"/>
    <w:uiPriority w:val="59"/>
    <w:rsid w:val="00AD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AD08FA"/>
    <w:rPr>
      <w:color w:val="808080"/>
    </w:rPr>
  </w:style>
  <w:style w:type="character" w:styleId="Hiperhivatkozs">
    <w:name w:val="Hyperlink"/>
    <w:basedOn w:val="Bekezdsalapbettpusa"/>
    <w:uiPriority w:val="99"/>
    <w:unhideWhenUsed/>
    <w:rsid w:val="00AD08FA"/>
    <w:rPr>
      <w:color w:val="0000FF" w:themeColor="hyperlink"/>
      <w:u w:val="single"/>
    </w:rPr>
  </w:style>
  <w:style w:type="paragraph" w:styleId="Buborkszveg">
    <w:name w:val="Balloon Text"/>
    <w:basedOn w:val="Norml"/>
    <w:link w:val="BuborkszvegChar"/>
    <w:uiPriority w:val="99"/>
    <w:semiHidden/>
    <w:unhideWhenUsed/>
    <w:rsid w:val="00AD08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D08FA"/>
    <w:rPr>
      <w:rFonts w:ascii="Tahoma" w:hAnsi="Tahoma" w:cs="Tahoma"/>
      <w:sz w:val="16"/>
      <w:szCs w:val="16"/>
    </w:rPr>
  </w:style>
  <w:style w:type="paragraph" w:customStyle="1" w:styleId="ECCParagraph">
    <w:name w:val="ECC Paragraph"/>
    <w:basedOn w:val="Norml"/>
    <w:link w:val="ECCParagraphChar"/>
    <w:uiPriority w:val="99"/>
    <w:rsid w:val="008E3AAF"/>
    <w:pPr>
      <w:spacing w:after="240" w:line="240" w:lineRule="auto"/>
    </w:pPr>
    <w:rPr>
      <w:rFonts w:ascii="Arial" w:eastAsia="Times New Roman" w:hAnsi="Arial" w:cs="Times New Roman"/>
      <w:sz w:val="20"/>
      <w:szCs w:val="24"/>
      <w:lang w:val="en-GB"/>
    </w:rPr>
  </w:style>
  <w:style w:type="paragraph" w:customStyle="1" w:styleId="ECCParBulleted">
    <w:name w:val="ECC Par Bulleted"/>
    <w:basedOn w:val="ECCParagraph"/>
    <w:rsid w:val="008E3AAF"/>
    <w:pPr>
      <w:numPr>
        <w:numId w:val="9"/>
      </w:numPr>
      <w:spacing w:after="120"/>
    </w:pPr>
  </w:style>
  <w:style w:type="character" w:customStyle="1" w:styleId="ECCParagraphChar">
    <w:name w:val="ECC Paragraph Char"/>
    <w:link w:val="ECCParagraph"/>
    <w:uiPriority w:val="99"/>
    <w:locked/>
    <w:rsid w:val="008E3AAF"/>
    <w:rPr>
      <w:rFonts w:ascii="Arial" w:eastAsia="Times New Roman" w:hAnsi="Arial" w:cs="Times New Roman"/>
      <w:sz w:val="20"/>
      <w:szCs w:val="24"/>
      <w:lang w:val="en-GB"/>
    </w:rPr>
  </w:style>
  <w:style w:type="paragraph" w:customStyle="1" w:styleId="Default">
    <w:name w:val="Default"/>
    <w:rsid w:val="00CE6F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ference">
    <w:name w:val="reference"/>
    <w:basedOn w:val="Norml"/>
    <w:rsid w:val="00CE6FFA"/>
    <w:pPr>
      <w:numPr>
        <w:numId w:val="10"/>
      </w:numPr>
      <w:spacing w:after="0" w:line="240" w:lineRule="auto"/>
      <w:jc w:val="left"/>
    </w:pPr>
    <w:rPr>
      <w:rFonts w:ascii="Arial" w:eastAsia="Times New Roman" w:hAnsi="Arial" w:cs="Times New Roman"/>
      <w:sz w:val="20"/>
      <w:szCs w:val="24"/>
      <w:lang w:val="en-US" w:eastAsia="ja-JP"/>
    </w:rPr>
  </w:style>
  <w:style w:type="character" w:styleId="Mrltotthiperhivatkozs">
    <w:name w:val="FollowedHyperlink"/>
    <w:basedOn w:val="Bekezdsalapbettpusa"/>
    <w:uiPriority w:val="99"/>
    <w:semiHidden/>
    <w:unhideWhenUsed/>
    <w:rsid w:val="00CE6FFA"/>
    <w:rPr>
      <w:color w:val="800080" w:themeColor="followedHyperlink"/>
      <w:u w:val="single"/>
    </w:rPr>
  </w:style>
  <w:style w:type="paragraph" w:styleId="NormlWeb">
    <w:name w:val="Normal (Web)"/>
    <w:basedOn w:val="Norml"/>
    <w:uiPriority w:val="99"/>
    <w:unhideWhenUsed/>
    <w:rsid w:val="00D60243"/>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customStyle="1" w:styleId="labjegyzetlistajaazonosito">
    <w:name w:val="labjegyzet_listaja_azonosito"/>
    <w:basedOn w:val="Bekezdsalapbettpusa"/>
    <w:rsid w:val="00D60243"/>
  </w:style>
  <w:style w:type="paragraph" w:customStyle="1" w:styleId="Reftext">
    <w:name w:val="Ref_text"/>
    <w:basedOn w:val="Norml"/>
    <w:rsid w:val="007E2090"/>
    <w:pPr>
      <w:tabs>
        <w:tab w:val="left" w:pos="1134"/>
        <w:tab w:val="left" w:pos="1871"/>
        <w:tab w:val="left" w:pos="2268"/>
      </w:tabs>
      <w:overflowPunct w:val="0"/>
      <w:autoSpaceDE w:val="0"/>
      <w:autoSpaceDN w:val="0"/>
      <w:adjustRightInd w:val="0"/>
      <w:spacing w:before="120" w:after="0" w:line="240" w:lineRule="auto"/>
      <w:ind w:left="1134" w:hanging="1134"/>
      <w:jc w:val="left"/>
      <w:textAlignment w:val="baseline"/>
    </w:pPr>
    <w:rPr>
      <w:rFonts w:ascii="Times New Roman" w:eastAsia="Times New Roman" w:hAnsi="Times New Roman" w:cs="Times New Roman"/>
      <w:sz w:val="24"/>
      <w:szCs w:val="20"/>
      <w:lang w:val="en-GB"/>
    </w:rPr>
  </w:style>
  <w:style w:type="paragraph" w:styleId="Vgjegyzetszvege">
    <w:name w:val="endnote text"/>
    <w:basedOn w:val="Norml"/>
    <w:link w:val="VgjegyzetszvegeChar"/>
    <w:uiPriority w:val="99"/>
    <w:semiHidden/>
    <w:unhideWhenUsed/>
    <w:rsid w:val="00501EF8"/>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01EF8"/>
    <w:rPr>
      <w:sz w:val="20"/>
      <w:szCs w:val="20"/>
    </w:rPr>
  </w:style>
  <w:style w:type="character" w:styleId="Vgjegyzet-hivatkozs">
    <w:name w:val="endnote reference"/>
    <w:basedOn w:val="Bekezdsalapbettpusa"/>
    <w:uiPriority w:val="99"/>
    <w:semiHidden/>
    <w:unhideWhenUsed/>
    <w:rsid w:val="00501EF8"/>
    <w:rPr>
      <w:vertAlign w:val="superscript"/>
    </w:rPr>
  </w:style>
  <w:style w:type="paragraph" w:styleId="Lbjegyzetszveg">
    <w:name w:val="footnote text"/>
    <w:aliases w:val=" Char,Char,DNV-FT Char,DNV-FT,DNV-FT Char Char Char,Char1,Footnote Text Char Char1,Footnote Text Char4 Char Char,Footnote Text Char1 Char1 Char1 Char,Footnote Text Char Char1 Char1 Char Char,ABA Footnote Text,DNV-,ALTS FOOTNOTE Char"/>
    <w:basedOn w:val="Norml"/>
    <w:link w:val="LbjegyzetszvegChar"/>
    <w:uiPriority w:val="99"/>
    <w:unhideWhenUsed/>
    <w:qFormat/>
    <w:rsid w:val="00114877"/>
    <w:pPr>
      <w:spacing w:after="0" w:line="240" w:lineRule="auto"/>
      <w:jc w:val="left"/>
    </w:pPr>
    <w:rPr>
      <w:rFonts w:cstheme="minorBidi"/>
      <w:sz w:val="20"/>
      <w:szCs w:val="20"/>
    </w:rPr>
  </w:style>
  <w:style w:type="character" w:customStyle="1" w:styleId="LbjegyzetszvegChar">
    <w:name w:val="Lábjegyzetszöveg Char"/>
    <w:aliases w:val=" Char Char,Char Char,DNV-FT Char Char,DNV-FT Char1,DNV-FT Char Char Char Char,Char1 Char,Footnote Text Char Char1 Char,Footnote Text Char4 Char Char Char,Footnote Text Char1 Char1 Char1 Char Char,ABA Footnote Text Char,DNV- Char"/>
    <w:basedOn w:val="Bekezdsalapbettpusa"/>
    <w:link w:val="Lbjegyzetszveg"/>
    <w:uiPriority w:val="99"/>
    <w:rsid w:val="00114877"/>
    <w:rPr>
      <w:rFonts w:cstheme="minorBidi"/>
      <w:sz w:val="20"/>
      <w:szCs w:val="20"/>
    </w:rPr>
  </w:style>
  <w:style w:type="character" w:styleId="Lbjegyzet-hivatkozs">
    <w:name w:val="footnote reference"/>
    <w:aliases w:val="Footnote symbol,Footnote,Nota,Footnote Reference/,Appel note de bas de p,Style 12,(NECG) Footnote Reference,Style 124,o,Style 13,FR,Style 17,Style 3,Appel note de bas de p + 11 pt,Italic,Appel note de bas de p1,Times 10 Point"/>
    <w:basedOn w:val="Bekezdsalapbettpusa"/>
    <w:uiPriority w:val="99"/>
    <w:unhideWhenUsed/>
    <w:rsid w:val="00114877"/>
    <w:rPr>
      <w:vertAlign w:val="superscript"/>
    </w:rPr>
  </w:style>
  <w:style w:type="character" w:styleId="Jegyzethivatkozs">
    <w:name w:val="annotation reference"/>
    <w:basedOn w:val="Bekezdsalapbettpusa"/>
    <w:uiPriority w:val="99"/>
    <w:semiHidden/>
    <w:unhideWhenUsed/>
    <w:rsid w:val="00955510"/>
    <w:rPr>
      <w:sz w:val="16"/>
      <w:szCs w:val="16"/>
    </w:rPr>
  </w:style>
  <w:style w:type="paragraph" w:styleId="Jegyzetszveg">
    <w:name w:val="annotation text"/>
    <w:basedOn w:val="Norml"/>
    <w:link w:val="JegyzetszvegChar"/>
    <w:uiPriority w:val="99"/>
    <w:unhideWhenUsed/>
    <w:rsid w:val="00955510"/>
    <w:pPr>
      <w:spacing w:line="240" w:lineRule="auto"/>
    </w:pPr>
    <w:rPr>
      <w:sz w:val="20"/>
      <w:szCs w:val="20"/>
    </w:rPr>
  </w:style>
  <w:style w:type="character" w:customStyle="1" w:styleId="JegyzetszvegChar">
    <w:name w:val="Jegyzetszöveg Char"/>
    <w:basedOn w:val="Bekezdsalapbettpusa"/>
    <w:link w:val="Jegyzetszveg"/>
    <w:uiPriority w:val="99"/>
    <w:rsid w:val="00955510"/>
    <w:rPr>
      <w:sz w:val="20"/>
      <w:szCs w:val="20"/>
    </w:rPr>
  </w:style>
  <w:style w:type="paragraph" w:styleId="Megjegyzstrgya">
    <w:name w:val="annotation subject"/>
    <w:basedOn w:val="Jegyzetszveg"/>
    <w:next w:val="Jegyzetszveg"/>
    <w:link w:val="MegjegyzstrgyaChar"/>
    <w:uiPriority w:val="99"/>
    <w:semiHidden/>
    <w:unhideWhenUsed/>
    <w:rsid w:val="00955510"/>
    <w:rPr>
      <w:b/>
      <w:bCs/>
    </w:rPr>
  </w:style>
  <w:style w:type="character" w:customStyle="1" w:styleId="MegjegyzstrgyaChar">
    <w:name w:val="Megjegyzés tárgya Char"/>
    <w:basedOn w:val="JegyzetszvegChar"/>
    <w:link w:val="Megjegyzstrgya"/>
    <w:uiPriority w:val="99"/>
    <w:semiHidden/>
    <w:rsid w:val="00955510"/>
    <w:rPr>
      <w:b/>
      <w:bCs/>
      <w:sz w:val="20"/>
      <w:szCs w:val="20"/>
    </w:rPr>
  </w:style>
  <w:style w:type="paragraph" w:styleId="Alcm">
    <w:name w:val="Subtitle"/>
    <w:basedOn w:val="Norml"/>
    <w:next w:val="Norml"/>
    <w:link w:val="AlcmChar"/>
    <w:uiPriority w:val="11"/>
    <w:qFormat/>
    <w:rsid w:val="00CE5170"/>
    <w:pPr>
      <w:numPr>
        <w:ilvl w:val="1"/>
      </w:numPr>
      <w:spacing w:after="200"/>
    </w:pPr>
    <w:rPr>
      <w:rFonts w:asciiTheme="majorHAnsi" w:eastAsiaTheme="majorEastAsia" w:hAnsiTheme="majorHAnsi" w:cstheme="majorBidi"/>
      <w:i/>
      <w:iCs/>
      <w:color w:val="4F81BD" w:themeColor="accent1"/>
      <w:spacing w:val="15"/>
      <w:sz w:val="24"/>
      <w:szCs w:val="24"/>
      <w:lang w:val="en-US" w:bidi="en-US"/>
    </w:rPr>
  </w:style>
  <w:style w:type="character" w:customStyle="1" w:styleId="AlcmChar">
    <w:name w:val="Alcím Char"/>
    <w:basedOn w:val="Bekezdsalapbettpusa"/>
    <w:link w:val="Alcm"/>
    <w:uiPriority w:val="11"/>
    <w:rsid w:val="00CE5170"/>
    <w:rPr>
      <w:rFonts w:asciiTheme="majorHAnsi" w:eastAsiaTheme="majorEastAsia" w:hAnsiTheme="majorHAnsi" w:cstheme="majorBidi"/>
      <w:i/>
      <w:iCs/>
      <w:color w:val="4F81BD" w:themeColor="accent1"/>
      <w:spacing w:val="15"/>
      <w:sz w:val="24"/>
      <w:szCs w:val="24"/>
      <w:lang w:val="en-US" w:bidi="en-US"/>
    </w:rPr>
  </w:style>
  <w:style w:type="character" w:styleId="Kiemels">
    <w:name w:val="Emphasis"/>
    <w:basedOn w:val="Bekezdsalapbettpusa"/>
    <w:uiPriority w:val="20"/>
    <w:qFormat/>
    <w:rsid w:val="008C7E54"/>
    <w:rPr>
      <w:i/>
      <w:iCs/>
    </w:rPr>
  </w:style>
  <w:style w:type="character" w:customStyle="1" w:styleId="shorttext">
    <w:name w:val="short_text"/>
    <w:basedOn w:val="Bekezdsalapbettpusa"/>
    <w:rsid w:val="00547075"/>
  </w:style>
  <w:style w:type="paragraph" w:customStyle="1" w:styleId="mellekletpontformazott">
    <w:name w:val="melleklet_pont_formazott"/>
    <w:basedOn w:val="Norml"/>
    <w:rsid w:val="0089208B"/>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9208B"/>
    <w:rPr>
      <w:b/>
      <w:bCs/>
    </w:rPr>
  </w:style>
  <w:style w:type="table" w:customStyle="1" w:styleId="NormalTablePHPDOCX">
    <w:name w:val="Normal Table PHPDOCX"/>
    <w:uiPriority w:val="99"/>
    <w:semiHidden/>
    <w:unhideWhenUsed/>
    <w:qFormat/>
    <w:rsid w:val="00475E60"/>
    <w:rPr>
      <w:rFonts w:cstheme="minorBidi"/>
      <w:lang w:val="en-US"/>
    </w:rPr>
    <w:tblPr>
      <w:tblInd w:w="0" w:type="dxa"/>
      <w:tblCellMar>
        <w:top w:w="0" w:type="dxa"/>
        <w:left w:w="108" w:type="dxa"/>
        <w:bottom w:w="0" w:type="dxa"/>
        <w:right w:w="108" w:type="dxa"/>
      </w:tblCellMar>
    </w:tblPr>
  </w:style>
  <w:style w:type="paragraph" w:styleId="Vltozat">
    <w:name w:val="Revision"/>
    <w:hidden/>
    <w:uiPriority w:val="99"/>
    <w:semiHidden/>
    <w:rsid w:val="00CD4DFB"/>
    <w:pPr>
      <w:spacing w:after="0" w:line="240" w:lineRule="auto"/>
    </w:pPr>
  </w:style>
  <w:style w:type="table" w:styleId="Tblzatrcsosvilgos">
    <w:name w:val="Grid Table Light"/>
    <w:basedOn w:val="Normltblzat"/>
    <w:uiPriority w:val="40"/>
    <w:rsid w:val="00121B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iiyi">
    <w:name w:val="viiyi"/>
    <w:basedOn w:val="Bekezdsalapbettpusa"/>
    <w:rsid w:val="00E8578F"/>
  </w:style>
  <w:style w:type="character" w:customStyle="1" w:styleId="jlqj4b">
    <w:name w:val="jlqj4b"/>
    <w:basedOn w:val="Bekezdsalapbettpusa"/>
    <w:rsid w:val="00E85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7177">
      <w:bodyDiv w:val="1"/>
      <w:marLeft w:val="0"/>
      <w:marRight w:val="0"/>
      <w:marTop w:val="0"/>
      <w:marBottom w:val="0"/>
      <w:divBdr>
        <w:top w:val="none" w:sz="0" w:space="0" w:color="auto"/>
        <w:left w:val="none" w:sz="0" w:space="0" w:color="auto"/>
        <w:bottom w:val="none" w:sz="0" w:space="0" w:color="auto"/>
        <w:right w:val="none" w:sz="0" w:space="0" w:color="auto"/>
      </w:divBdr>
    </w:div>
    <w:div w:id="140081595">
      <w:bodyDiv w:val="1"/>
      <w:marLeft w:val="0"/>
      <w:marRight w:val="0"/>
      <w:marTop w:val="0"/>
      <w:marBottom w:val="0"/>
      <w:divBdr>
        <w:top w:val="none" w:sz="0" w:space="0" w:color="auto"/>
        <w:left w:val="none" w:sz="0" w:space="0" w:color="auto"/>
        <w:bottom w:val="none" w:sz="0" w:space="0" w:color="auto"/>
        <w:right w:val="none" w:sz="0" w:space="0" w:color="auto"/>
      </w:divBdr>
    </w:div>
    <w:div w:id="178400206">
      <w:bodyDiv w:val="1"/>
      <w:marLeft w:val="0"/>
      <w:marRight w:val="0"/>
      <w:marTop w:val="0"/>
      <w:marBottom w:val="0"/>
      <w:divBdr>
        <w:top w:val="none" w:sz="0" w:space="0" w:color="auto"/>
        <w:left w:val="none" w:sz="0" w:space="0" w:color="auto"/>
        <w:bottom w:val="none" w:sz="0" w:space="0" w:color="auto"/>
        <w:right w:val="none" w:sz="0" w:space="0" w:color="auto"/>
      </w:divBdr>
      <w:divsChild>
        <w:div w:id="195851903">
          <w:marLeft w:val="0"/>
          <w:marRight w:val="0"/>
          <w:marTop w:val="0"/>
          <w:marBottom w:val="0"/>
          <w:divBdr>
            <w:top w:val="none" w:sz="0" w:space="0" w:color="auto"/>
            <w:left w:val="none" w:sz="0" w:space="0" w:color="auto"/>
            <w:bottom w:val="none" w:sz="0" w:space="0" w:color="auto"/>
            <w:right w:val="none" w:sz="0" w:space="0" w:color="auto"/>
          </w:divBdr>
        </w:div>
        <w:div w:id="382413315">
          <w:marLeft w:val="0"/>
          <w:marRight w:val="0"/>
          <w:marTop w:val="0"/>
          <w:marBottom w:val="0"/>
          <w:divBdr>
            <w:top w:val="none" w:sz="0" w:space="0" w:color="auto"/>
            <w:left w:val="none" w:sz="0" w:space="0" w:color="auto"/>
            <w:bottom w:val="none" w:sz="0" w:space="0" w:color="auto"/>
            <w:right w:val="none" w:sz="0" w:space="0" w:color="auto"/>
          </w:divBdr>
        </w:div>
        <w:div w:id="996222482">
          <w:marLeft w:val="0"/>
          <w:marRight w:val="0"/>
          <w:marTop w:val="0"/>
          <w:marBottom w:val="0"/>
          <w:divBdr>
            <w:top w:val="none" w:sz="0" w:space="0" w:color="auto"/>
            <w:left w:val="none" w:sz="0" w:space="0" w:color="auto"/>
            <w:bottom w:val="none" w:sz="0" w:space="0" w:color="auto"/>
            <w:right w:val="none" w:sz="0" w:space="0" w:color="auto"/>
          </w:divBdr>
        </w:div>
      </w:divsChild>
    </w:div>
    <w:div w:id="238638878">
      <w:bodyDiv w:val="1"/>
      <w:marLeft w:val="0"/>
      <w:marRight w:val="0"/>
      <w:marTop w:val="0"/>
      <w:marBottom w:val="0"/>
      <w:divBdr>
        <w:top w:val="none" w:sz="0" w:space="0" w:color="auto"/>
        <w:left w:val="none" w:sz="0" w:space="0" w:color="auto"/>
        <w:bottom w:val="none" w:sz="0" w:space="0" w:color="auto"/>
        <w:right w:val="none" w:sz="0" w:space="0" w:color="auto"/>
      </w:divBdr>
      <w:divsChild>
        <w:div w:id="1599868381">
          <w:marLeft w:val="0"/>
          <w:marRight w:val="0"/>
          <w:marTop w:val="0"/>
          <w:marBottom w:val="0"/>
          <w:divBdr>
            <w:top w:val="none" w:sz="0" w:space="0" w:color="auto"/>
            <w:left w:val="none" w:sz="0" w:space="0" w:color="auto"/>
            <w:bottom w:val="none" w:sz="0" w:space="0" w:color="auto"/>
            <w:right w:val="none" w:sz="0" w:space="0" w:color="auto"/>
          </w:divBdr>
        </w:div>
        <w:div w:id="1926499719">
          <w:marLeft w:val="0"/>
          <w:marRight w:val="0"/>
          <w:marTop w:val="0"/>
          <w:marBottom w:val="0"/>
          <w:divBdr>
            <w:top w:val="none" w:sz="0" w:space="0" w:color="auto"/>
            <w:left w:val="none" w:sz="0" w:space="0" w:color="auto"/>
            <w:bottom w:val="none" w:sz="0" w:space="0" w:color="auto"/>
            <w:right w:val="none" w:sz="0" w:space="0" w:color="auto"/>
          </w:divBdr>
        </w:div>
      </w:divsChild>
    </w:div>
    <w:div w:id="288168157">
      <w:bodyDiv w:val="1"/>
      <w:marLeft w:val="0"/>
      <w:marRight w:val="0"/>
      <w:marTop w:val="0"/>
      <w:marBottom w:val="0"/>
      <w:divBdr>
        <w:top w:val="none" w:sz="0" w:space="0" w:color="auto"/>
        <w:left w:val="none" w:sz="0" w:space="0" w:color="auto"/>
        <w:bottom w:val="none" w:sz="0" w:space="0" w:color="auto"/>
        <w:right w:val="none" w:sz="0" w:space="0" w:color="auto"/>
      </w:divBdr>
    </w:div>
    <w:div w:id="319113571">
      <w:bodyDiv w:val="1"/>
      <w:marLeft w:val="0"/>
      <w:marRight w:val="0"/>
      <w:marTop w:val="0"/>
      <w:marBottom w:val="0"/>
      <w:divBdr>
        <w:top w:val="none" w:sz="0" w:space="0" w:color="auto"/>
        <w:left w:val="none" w:sz="0" w:space="0" w:color="auto"/>
        <w:bottom w:val="none" w:sz="0" w:space="0" w:color="auto"/>
        <w:right w:val="none" w:sz="0" w:space="0" w:color="auto"/>
      </w:divBdr>
    </w:div>
    <w:div w:id="350569063">
      <w:bodyDiv w:val="1"/>
      <w:marLeft w:val="0"/>
      <w:marRight w:val="0"/>
      <w:marTop w:val="0"/>
      <w:marBottom w:val="0"/>
      <w:divBdr>
        <w:top w:val="none" w:sz="0" w:space="0" w:color="auto"/>
        <w:left w:val="none" w:sz="0" w:space="0" w:color="auto"/>
        <w:bottom w:val="none" w:sz="0" w:space="0" w:color="auto"/>
        <w:right w:val="none" w:sz="0" w:space="0" w:color="auto"/>
      </w:divBdr>
    </w:div>
    <w:div w:id="485560958">
      <w:bodyDiv w:val="1"/>
      <w:marLeft w:val="0"/>
      <w:marRight w:val="0"/>
      <w:marTop w:val="0"/>
      <w:marBottom w:val="0"/>
      <w:divBdr>
        <w:top w:val="none" w:sz="0" w:space="0" w:color="auto"/>
        <w:left w:val="none" w:sz="0" w:space="0" w:color="auto"/>
        <w:bottom w:val="none" w:sz="0" w:space="0" w:color="auto"/>
        <w:right w:val="none" w:sz="0" w:space="0" w:color="auto"/>
      </w:divBdr>
    </w:div>
    <w:div w:id="573202463">
      <w:bodyDiv w:val="1"/>
      <w:marLeft w:val="0"/>
      <w:marRight w:val="0"/>
      <w:marTop w:val="0"/>
      <w:marBottom w:val="0"/>
      <w:divBdr>
        <w:top w:val="none" w:sz="0" w:space="0" w:color="auto"/>
        <w:left w:val="none" w:sz="0" w:space="0" w:color="auto"/>
        <w:bottom w:val="none" w:sz="0" w:space="0" w:color="auto"/>
        <w:right w:val="none" w:sz="0" w:space="0" w:color="auto"/>
      </w:divBdr>
    </w:div>
    <w:div w:id="642123367">
      <w:bodyDiv w:val="1"/>
      <w:marLeft w:val="0"/>
      <w:marRight w:val="0"/>
      <w:marTop w:val="0"/>
      <w:marBottom w:val="0"/>
      <w:divBdr>
        <w:top w:val="none" w:sz="0" w:space="0" w:color="auto"/>
        <w:left w:val="none" w:sz="0" w:space="0" w:color="auto"/>
        <w:bottom w:val="none" w:sz="0" w:space="0" w:color="auto"/>
        <w:right w:val="none" w:sz="0" w:space="0" w:color="auto"/>
      </w:divBdr>
    </w:div>
    <w:div w:id="856774722">
      <w:bodyDiv w:val="1"/>
      <w:marLeft w:val="0"/>
      <w:marRight w:val="0"/>
      <w:marTop w:val="0"/>
      <w:marBottom w:val="0"/>
      <w:divBdr>
        <w:top w:val="none" w:sz="0" w:space="0" w:color="auto"/>
        <w:left w:val="none" w:sz="0" w:space="0" w:color="auto"/>
        <w:bottom w:val="none" w:sz="0" w:space="0" w:color="auto"/>
        <w:right w:val="none" w:sz="0" w:space="0" w:color="auto"/>
      </w:divBdr>
    </w:div>
    <w:div w:id="872687799">
      <w:bodyDiv w:val="1"/>
      <w:marLeft w:val="0"/>
      <w:marRight w:val="0"/>
      <w:marTop w:val="0"/>
      <w:marBottom w:val="0"/>
      <w:divBdr>
        <w:top w:val="none" w:sz="0" w:space="0" w:color="auto"/>
        <w:left w:val="none" w:sz="0" w:space="0" w:color="auto"/>
        <w:bottom w:val="none" w:sz="0" w:space="0" w:color="auto"/>
        <w:right w:val="none" w:sz="0" w:space="0" w:color="auto"/>
      </w:divBdr>
      <w:divsChild>
        <w:div w:id="365522334">
          <w:marLeft w:val="0"/>
          <w:marRight w:val="0"/>
          <w:marTop w:val="0"/>
          <w:marBottom w:val="0"/>
          <w:divBdr>
            <w:top w:val="none" w:sz="0" w:space="0" w:color="auto"/>
            <w:left w:val="none" w:sz="0" w:space="0" w:color="auto"/>
            <w:bottom w:val="none" w:sz="0" w:space="0" w:color="auto"/>
            <w:right w:val="none" w:sz="0" w:space="0" w:color="auto"/>
          </w:divBdr>
        </w:div>
        <w:div w:id="1248729282">
          <w:marLeft w:val="0"/>
          <w:marRight w:val="0"/>
          <w:marTop w:val="0"/>
          <w:marBottom w:val="0"/>
          <w:divBdr>
            <w:top w:val="none" w:sz="0" w:space="0" w:color="auto"/>
            <w:left w:val="none" w:sz="0" w:space="0" w:color="auto"/>
            <w:bottom w:val="none" w:sz="0" w:space="0" w:color="auto"/>
            <w:right w:val="none" w:sz="0" w:space="0" w:color="auto"/>
          </w:divBdr>
        </w:div>
        <w:div w:id="1309239470">
          <w:marLeft w:val="0"/>
          <w:marRight w:val="0"/>
          <w:marTop w:val="0"/>
          <w:marBottom w:val="0"/>
          <w:divBdr>
            <w:top w:val="none" w:sz="0" w:space="0" w:color="auto"/>
            <w:left w:val="none" w:sz="0" w:space="0" w:color="auto"/>
            <w:bottom w:val="none" w:sz="0" w:space="0" w:color="auto"/>
            <w:right w:val="none" w:sz="0" w:space="0" w:color="auto"/>
          </w:divBdr>
        </w:div>
        <w:div w:id="1719940418">
          <w:marLeft w:val="0"/>
          <w:marRight w:val="0"/>
          <w:marTop w:val="0"/>
          <w:marBottom w:val="0"/>
          <w:divBdr>
            <w:top w:val="none" w:sz="0" w:space="0" w:color="auto"/>
            <w:left w:val="none" w:sz="0" w:space="0" w:color="auto"/>
            <w:bottom w:val="none" w:sz="0" w:space="0" w:color="auto"/>
            <w:right w:val="none" w:sz="0" w:space="0" w:color="auto"/>
          </w:divBdr>
        </w:div>
        <w:div w:id="1936014941">
          <w:marLeft w:val="0"/>
          <w:marRight w:val="0"/>
          <w:marTop w:val="0"/>
          <w:marBottom w:val="0"/>
          <w:divBdr>
            <w:top w:val="none" w:sz="0" w:space="0" w:color="auto"/>
            <w:left w:val="none" w:sz="0" w:space="0" w:color="auto"/>
            <w:bottom w:val="none" w:sz="0" w:space="0" w:color="auto"/>
            <w:right w:val="none" w:sz="0" w:space="0" w:color="auto"/>
          </w:divBdr>
        </w:div>
        <w:div w:id="2034073035">
          <w:marLeft w:val="0"/>
          <w:marRight w:val="0"/>
          <w:marTop w:val="0"/>
          <w:marBottom w:val="0"/>
          <w:divBdr>
            <w:top w:val="none" w:sz="0" w:space="0" w:color="auto"/>
            <w:left w:val="none" w:sz="0" w:space="0" w:color="auto"/>
            <w:bottom w:val="none" w:sz="0" w:space="0" w:color="auto"/>
            <w:right w:val="none" w:sz="0" w:space="0" w:color="auto"/>
          </w:divBdr>
        </w:div>
        <w:div w:id="2080402137">
          <w:marLeft w:val="0"/>
          <w:marRight w:val="0"/>
          <w:marTop w:val="0"/>
          <w:marBottom w:val="0"/>
          <w:divBdr>
            <w:top w:val="none" w:sz="0" w:space="0" w:color="auto"/>
            <w:left w:val="none" w:sz="0" w:space="0" w:color="auto"/>
            <w:bottom w:val="none" w:sz="0" w:space="0" w:color="auto"/>
            <w:right w:val="none" w:sz="0" w:space="0" w:color="auto"/>
          </w:divBdr>
        </w:div>
      </w:divsChild>
    </w:div>
    <w:div w:id="920716897">
      <w:bodyDiv w:val="1"/>
      <w:marLeft w:val="0"/>
      <w:marRight w:val="0"/>
      <w:marTop w:val="0"/>
      <w:marBottom w:val="0"/>
      <w:divBdr>
        <w:top w:val="none" w:sz="0" w:space="0" w:color="auto"/>
        <w:left w:val="none" w:sz="0" w:space="0" w:color="auto"/>
        <w:bottom w:val="none" w:sz="0" w:space="0" w:color="auto"/>
        <w:right w:val="none" w:sz="0" w:space="0" w:color="auto"/>
      </w:divBdr>
    </w:div>
    <w:div w:id="999117059">
      <w:bodyDiv w:val="1"/>
      <w:marLeft w:val="0"/>
      <w:marRight w:val="0"/>
      <w:marTop w:val="0"/>
      <w:marBottom w:val="0"/>
      <w:divBdr>
        <w:top w:val="none" w:sz="0" w:space="0" w:color="auto"/>
        <w:left w:val="none" w:sz="0" w:space="0" w:color="auto"/>
        <w:bottom w:val="none" w:sz="0" w:space="0" w:color="auto"/>
        <w:right w:val="none" w:sz="0" w:space="0" w:color="auto"/>
      </w:divBdr>
    </w:div>
    <w:div w:id="1033310374">
      <w:bodyDiv w:val="1"/>
      <w:marLeft w:val="0"/>
      <w:marRight w:val="0"/>
      <w:marTop w:val="0"/>
      <w:marBottom w:val="0"/>
      <w:divBdr>
        <w:top w:val="none" w:sz="0" w:space="0" w:color="auto"/>
        <w:left w:val="none" w:sz="0" w:space="0" w:color="auto"/>
        <w:bottom w:val="none" w:sz="0" w:space="0" w:color="auto"/>
        <w:right w:val="none" w:sz="0" w:space="0" w:color="auto"/>
      </w:divBdr>
    </w:div>
    <w:div w:id="1048383334">
      <w:bodyDiv w:val="1"/>
      <w:marLeft w:val="0"/>
      <w:marRight w:val="0"/>
      <w:marTop w:val="0"/>
      <w:marBottom w:val="0"/>
      <w:divBdr>
        <w:top w:val="none" w:sz="0" w:space="0" w:color="auto"/>
        <w:left w:val="none" w:sz="0" w:space="0" w:color="auto"/>
        <w:bottom w:val="none" w:sz="0" w:space="0" w:color="auto"/>
        <w:right w:val="none" w:sz="0" w:space="0" w:color="auto"/>
      </w:divBdr>
    </w:div>
    <w:div w:id="1121995944">
      <w:bodyDiv w:val="1"/>
      <w:marLeft w:val="0"/>
      <w:marRight w:val="0"/>
      <w:marTop w:val="0"/>
      <w:marBottom w:val="0"/>
      <w:divBdr>
        <w:top w:val="none" w:sz="0" w:space="0" w:color="auto"/>
        <w:left w:val="none" w:sz="0" w:space="0" w:color="auto"/>
        <w:bottom w:val="none" w:sz="0" w:space="0" w:color="auto"/>
        <w:right w:val="none" w:sz="0" w:space="0" w:color="auto"/>
      </w:divBdr>
    </w:div>
    <w:div w:id="1193035548">
      <w:bodyDiv w:val="1"/>
      <w:marLeft w:val="0"/>
      <w:marRight w:val="0"/>
      <w:marTop w:val="0"/>
      <w:marBottom w:val="0"/>
      <w:divBdr>
        <w:top w:val="none" w:sz="0" w:space="0" w:color="auto"/>
        <w:left w:val="none" w:sz="0" w:space="0" w:color="auto"/>
        <w:bottom w:val="none" w:sz="0" w:space="0" w:color="auto"/>
        <w:right w:val="none" w:sz="0" w:space="0" w:color="auto"/>
      </w:divBdr>
    </w:div>
    <w:div w:id="1285848522">
      <w:bodyDiv w:val="1"/>
      <w:marLeft w:val="0"/>
      <w:marRight w:val="0"/>
      <w:marTop w:val="0"/>
      <w:marBottom w:val="0"/>
      <w:divBdr>
        <w:top w:val="none" w:sz="0" w:space="0" w:color="auto"/>
        <w:left w:val="none" w:sz="0" w:space="0" w:color="auto"/>
        <w:bottom w:val="none" w:sz="0" w:space="0" w:color="auto"/>
        <w:right w:val="none" w:sz="0" w:space="0" w:color="auto"/>
      </w:divBdr>
    </w:div>
    <w:div w:id="1318151663">
      <w:bodyDiv w:val="1"/>
      <w:marLeft w:val="0"/>
      <w:marRight w:val="0"/>
      <w:marTop w:val="0"/>
      <w:marBottom w:val="0"/>
      <w:divBdr>
        <w:top w:val="none" w:sz="0" w:space="0" w:color="auto"/>
        <w:left w:val="none" w:sz="0" w:space="0" w:color="auto"/>
        <w:bottom w:val="none" w:sz="0" w:space="0" w:color="auto"/>
        <w:right w:val="none" w:sz="0" w:space="0" w:color="auto"/>
      </w:divBdr>
    </w:div>
    <w:div w:id="1320189781">
      <w:bodyDiv w:val="1"/>
      <w:marLeft w:val="0"/>
      <w:marRight w:val="0"/>
      <w:marTop w:val="0"/>
      <w:marBottom w:val="0"/>
      <w:divBdr>
        <w:top w:val="none" w:sz="0" w:space="0" w:color="auto"/>
        <w:left w:val="none" w:sz="0" w:space="0" w:color="auto"/>
        <w:bottom w:val="none" w:sz="0" w:space="0" w:color="auto"/>
        <w:right w:val="none" w:sz="0" w:space="0" w:color="auto"/>
      </w:divBdr>
      <w:divsChild>
        <w:div w:id="55278336">
          <w:marLeft w:val="0"/>
          <w:marRight w:val="0"/>
          <w:marTop w:val="0"/>
          <w:marBottom w:val="0"/>
          <w:divBdr>
            <w:top w:val="none" w:sz="0" w:space="0" w:color="auto"/>
            <w:left w:val="none" w:sz="0" w:space="0" w:color="auto"/>
            <w:bottom w:val="none" w:sz="0" w:space="0" w:color="auto"/>
            <w:right w:val="none" w:sz="0" w:space="0" w:color="auto"/>
          </w:divBdr>
        </w:div>
        <w:div w:id="420880583">
          <w:marLeft w:val="0"/>
          <w:marRight w:val="0"/>
          <w:marTop w:val="0"/>
          <w:marBottom w:val="0"/>
          <w:divBdr>
            <w:top w:val="none" w:sz="0" w:space="0" w:color="auto"/>
            <w:left w:val="none" w:sz="0" w:space="0" w:color="auto"/>
            <w:bottom w:val="none" w:sz="0" w:space="0" w:color="auto"/>
            <w:right w:val="none" w:sz="0" w:space="0" w:color="auto"/>
          </w:divBdr>
        </w:div>
        <w:div w:id="598104105">
          <w:marLeft w:val="0"/>
          <w:marRight w:val="0"/>
          <w:marTop w:val="0"/>
          <w:marBottom w:val="0"/>
          <w:divBdr>
            <w:top w:val="none" w:sz="0" w:space="0" w:color="auto"/>
            <w:left w:val="none" w:sz="0" w:space="0" w:color="auto"/>
            <w:bottom w:val="none" w:sz="0" w:space="0" w:color="auto"/>
            <w:right w:val="none" w:sz="0" w:space="0" w:color="auto"/>
          </w:divBdr>
        </w:div>
        <w:div w:id="716121025">
          <w:marLeft w:val="0"/>
          <w:marRight w:val="0"/>
          <w:marTop w:val="0"/>
          <w:marBottom w:val="0"/>
          <w:divBdr>
            <w:top w:val="none" w:sz="0" w:space="0" w:color="auto"/>
            <w:left w:val="none" w:sz="0" w:space="0" w:color="auto"/>
            <w:bottom w:val="none" w:sz="0" w:space="0" w:color="auto"/>
            <w:right w:val="none" w:sz="0" w:space="0" w:color="auto"/>
          </w:divBdr>
        </w:div>
        <w:div w:id="837692773">
          <w:marLeft w:val="0"/>
          <w:marRight w:val="0"/>
          <w:marTop w:val="0"/>
          <w:marBottom w:val="0"/>
          <w:divBdr>
            <w:top w:val="none" w:sz="0" w:space="0" w:color="auto"/>
            <w:left w:val="none" w:sz="0" w:space="0" w:color="auto"/>
            <w:bottom w:val="none" w:sz="0" w:space="0" w:color="auto"/>
            <w:right w:val="none" w:sz="0" w:space="0" w:color="auto"/>
          </w:divBdr>
        </w:div>
        <w:div w:id="1369261657">
          <w:marLeft w:val="0"/>
          <w:marRight w:val="0"/>
          <w:marTop w:val="0"/>
          <w:marBottom w:val="0"/>
          <w:divBdr>
            <w:top w:val="none" w:sz="0" w:space="0" w:color="auto"/>
            <w:left w:val="none" w:sz="0" w:space="0" w:color="auto"/>
            <w:bottom w:val="none" w:sz="0" w:space="0" w:color="auto"/>
            <w:right w:val="none" w:sz="0" w:space="0" w:color="auto"/>
          </w:divBdr>
        </w:div>
      </w:divsChild>
    </w:div>
    <w:div w:id="1381707246">
      <w:bodyDiv w:val="1"/>
      <w:marLeft w:val="0"/>
      <w:marRight w:val="0"/>
      <w:marTop w:val="0"/>
      <w:marBottom w:val="0"/>
      <w:divBdr>
        <w:top w:val="none" w:sz="0" w:space="0" w:color="auto"/>
        <w:left w:val="none" w:sz="0" w:space="0" w:color="auto"/>
        <w:bottom w:val="none" w:sz="0" w:space="0" w:color="auto"/>
        <w:right w:val="none" w:sz="0" w:space="0" w:color="auto"/>
      </w:divBdr>
    </w:div>
    <w:div w:id="1395349365">
      <w:bodyDiv w:val="1"/>
      <w:marLeft w:val="0"/>
      <w:marRight w:val="0"/>
      <w:marTop w:val="0"/>
      <w:marBottom w:val="0"/>
      <w:divBdr>
        <w:top w:val="none" w:sz="0" w:space="0" w:color="auto"/>
        <w:left w:val="none" w:sz="0" w:space="0" w:color="auto"/>
        <w:bottom w:val="none" w:sz="0" w:space="0" w:color="auto"/>
        <w:right w:val="none" w:sz="0" w:space="0" w:color="auto"/>
      </w:divBdr>
    </w:div>
    <w:div w:id="1412237218">
      <w:bodyDiv w:val="1"/>
      <w:marLeft w:val="0"/>
      <w:marRight w:val="0"/>
      <w:marTop w:val="0"/>
      <w:marBottom w:val="0"/>
      <w:divBdr>
        <w:top w:val="none" w:sz="0" w:space="0" w:color="auto"/>
        <w:left w:val="none" w:sz="0" w:space="0" w:color="auto"/>
        <w:bottom w:val="none" w:sz="0" w:space="0" w:color="auto"/>
        <w:right w:val="none" w:sz="0" w:space="0" w:color="auto"/>
      </w:divBdr>
      <w:divsChild>
        <w:div w:id="688138859">
          <w:marLeft w:val="0"/>
          <w:marRight w:val="0"/>
          <w:marTop w:val="0"/>
          <w:marBottom w:val="0"/>
          <w:divBdr>
            <w:top w:val="none" w:sz="0" w:space="0" w:color="auto"/>
            <w:left w:val="none" w:sz="0" w:space="0" w:color="auto"/>
            <w:bottom w:val="none" w:sz="0" w:space="0" w:color="auto"/>
            <w:right w:val="none" w:sz="0" w:space="0" w:color="auto"/>
          </w:divBdr>
        </w:div>
        <w:div w:id="1865709485">
          <w:marLeft w:val="0"/>
          <w:marRight w:val="0"/>
          <w:marTop w:val="0"/>
          <w:marBottom w:val="0"/>
          <w:divBdr>
            <w:top w:val="none" w:sz="0" w:space="0" w:color="auto"/>
            <w:left w:val="none" w:sz="0" w:space="0" w:color="auto"/>
            <w:bottom w:val="none" w:sz="0" w:space="0" w:color="auto"/>
            <w:right w:val="none" w:sz="0" w:space="0" w:color="auto"/>
          </w:divBdr>
        </w:div>
      </w:divsChild>
    </w:div>
    <w:div w:id="1438599711">
      <w:bodyDiv w:val="1"/>
      <w:marLeft w:val="0"/>
      <w:marRight w:val="0"/>
      <w:marTop w:val="0"/>
      <w:marBottom w:val="0"/>
      <w:divBdr>
        <w:top w:val="none" w:sz="0" w:space="0" w:color="auto"/>
        <w:left w:val="none" w:sz="0" w:space="0" w:color="auto"/>
        <w:bottom w:val="none" w:sz="0" w:space="0" w:color="auto"/>
        <w:right w:val="none" w:sz="0" w:space="0" w:color="auto"/>
      </w:divBdr>
    </w:div>
    <w:div w:id="1508397764">
      <w:bodyDiv w:val="1"/>
      <w:marLeft w:val="0"/>
      <w:marRight w:val="0"/>
      <w:marTop w:val="0"/>
      <w:marBottom w:val="0"/>
      <w:divBdr>
        <w:top w:val="none" w:sz="0" w:space="0" w:color="auto"/>
        <w:left w:val="none" w:sz="0" w:space="0" w:color="auto"/>
        <w:bottom w:val="none" w:sz="0" w:space="0" w:color="auto"/>
        <w:right w:val="none" w:sz="0" w:space="0" w:color="auto"/>
      </w:divBdr>
    </w:div>
    <w:div w:id="1548494709">
      <w:bodyDiv w:val="1"/>
      <w:marLeft w:val="0"/>
      <w:marRight w:val="0"/>
      <w:marTop w:val="0"/>
      <w:marBottom w:val="0"/>
      <w:divBdr>
        <w:top w:val="none" w:sz="0" w:space="0" w:color="auto"/>
        <w:left w:val="none" w:sz="0" w:space="0" w:color="auto"/>
        <w:bottom w:val="none" w:sz="0" w:space="0" w:color="auto"/>
        <w:right w:val="none" w:sz="0" w:space="0" w:color="auto"/>
      </w:divBdr>
    </w:div>
    <w:div w:id="1578898052">
      <w:bodyDiv w:val="1"/>
      <w:marLeft w:val="0"/>
      <w:marRight w:val="0"/>
      <w:marTop w:val="0"/>
      <w:marBottom w:val="0"/>
      <w:divBdr>
        <w:top w:val="none" w:sz="0" w:space="0" w:color="auto"/>
        <w:left w:val="none" w:sz="0" w:space="0" w:color="auto"/>
        <w:bottom w:val="none" w:sz="0" w:space="0" w:color="auto"/>
        <w:right w:val="none" w:sz="0" w:space="0" w:color="auto"/>
      </w:divBdr>
      <w:divsChild>
        <w:div w:id="889415106">
          <w:marLeft w:val="0"/>
          <w:marRight w:val="0"/>
          <w:marTop w:val="0"/>
          <w:marBottom w:val="0"/>
          <w:divBdr>
            <w:top w:val="none" w:sz="0" w:space="0" w:color="auto"/>
            <w:left w:val="none" w:sz="0" w:space="0" w:color="auto"/>
            <w:bottom w:val="none" w:sz="0" w:space="0" w:color="auto"/>
            <w:right w:val="none" w:sz="0" w:space="0" w:color="auto"/>
          </w:divBdr>
        </w:div>
        <w:div w:id="1920167679">
          <w:marLeft w:val="0"/>
          <w:marRight w:val="0"/>
          <w:marTop w:val="0"/>
          <w:marBottom w:val="0"/>
          <w:divBdr>
            <w:top w:val="none" w:sz="0" w:space="0" w:color="auto"/>
            <w:left w:val="none" w:sz="0" w:space="0" w:color="auto"/>
            <w:bottom w:val="none" w:sz="0" w:space="0" w:color="auto"/>
            <w:right w:val="none" w:sz="0" w:space="0" w:color="auto"/>
          </w:divBdr>
        </w:div>
      </w:divsChild>
    </w:div>
    <w:div w:id="1615793152">
      <w:bodyDiv w:val="1"/>
      <w:marLeft w:val="0"/>
      <w:marRight w:val="0"/>
      <w:marTop w:val="0"/>
      <w:marBottom w:val="0"/>
      <w:divBdr>
        <w:top w:val="none" w:sz="0" w:space="0" w:color="auto"/>
        <w:left w:val="none" w:sz="0" w:space="0" w:color="auto"/>
        <w:bottom w:val="none" w:sz="0" w:space="0" w:color="auto"/>
        <w:right w:val="none" w:sz="0" w:space="0" w:color="auto"/>
      </w:divBdr>
    </w:div>
    <w:div w:id="1623921434">
      <w:bodyDiv w:val="1"/>
      <w:marLeft w:val="0"/>
      <w:marRight w:val="0"/>
      <w:marTop w:val="0"/>
      <w:marBottom w:val="0"/>
      <w:divBdr>
        <w:top w:val="none" w:sz="0" w:space="0" w:color="auto"/>
        <w:left w:val="none" w:sz="0" w:space="0" w:color="auto"/>
        <w:bottom w:val="none" w:sz="0" w:space="0" w:color="auto"/>
        <w:right w:val="none" w:sz="0" w:space="0" w:color="auto"/>
      </w:divBdr>
    </w:div>
    <w:div w:id="1634940746">
      <w:bodyDiv w:val="1"/>
      <w:marLeft w:val="0"/>
      <w:marRight w:val="0"/>
      <w:marTop w:val="0"/>
      <w:marBottom w:val="0"/>
      <w:divBdr>
        <w:top w:val="none" w:sz="0" w:space="0" w:color="auto"/>
        <w:left w:val="none" w:sz="0" w:space="0" w:color="auto"/>
        <w:bottom w:val="none" w:sz="0" w:space="0" w:color="auto"/>
        <w:right w:val="none" w:sz="0" w:space="0" w:color="auto"/>
      </w:divBdr>
    </w:div>
    <w:div w:id="1654489084">
      <w:bodyDiv w:val="1"/>
      <w:marLeft w:val="0"/>
      <w:marRight w:val="0"/>
      <w:marTop w:val="0"/>
      <w:marBottom w:val="0"/>
      <w:divBdr>
        <w:top w:val="none" w:sz="0" w:space="0" w:color="auto"/>
        <w:left w:val="none" w:sz="0" w:space="0" w:color="auto"/>
        <w:bottom w:val="none" w:sz="0" w:space="0" w:color="auto"/>
        <w:right w:val="none" w:sz="0" w:space="0" w:color="auto"/>
      </w:divBdr>
      <w:divsChild>
        <w:div w:id="1946493466">
          <w:marLeft w:val="547"/>
          <w:marRight w:val="0"/>
          <w:marTop w:val="0"/>
          <w:marBottom w:val="0"/>
          <w:divBdr>
            <w:top w:val="none" w:sz="0" w:space="0" w:color="auto"/>
            <w:left w:val="none" w:sz="0" w:space="0" w:color="auto"/>
            <w:bottom w:val="none" w:sz="0" w:space="0" w:color="auto"/>
            <w:right w:val="none" w:sz="0" w:space="0" w:color="auto"/>
          </w:divBdr>
        </w:div>
      </w:divsChild>
    </w:div>
    <w:div w:id="1683312550">
      <w:bodyDiv w:val="1"/>
      <w:marLeft w:val="0"/>
      <w:marRight w:val="0"/>
      <w:marTop w:val="0"/>
      <w:marBottom w:val="0"/>
      <w:divBdr>
        <w:top w:val="none" w:sz="0" w:space="0" w:color="auto"/>
        <w:left w:val="none" w:sz="0" w:space="0" w:color="auto"/>
        <w:bottom w:val="none" w:sz="0" w:space="0" w:color="auto"/>
        <w:right w:val="none" w:sz="0" w:space="0" w:color="auto"/>
      </w:divBdr>
      <w:divsChild>
        <w:div w:id="233470138">
          <w:marLeft w:val="0"/>
          <w:marRight w:val="0"/>
          <w:marTop w:val="0"/>
          <w:marBottom w:val="0"/>
          <w:divBdr>
            <w:top w:val="none" w:sz="0" w:space="0" w:color="auto"/>
            <w:left w:val="none" w:sz="0" w:space="0" w:color="auto"/>
            <w:bottom w:val="none" w:sz="0" w:space="0" w:color="auto"/>
            <w:right w:val="none" w:sz="0" w:space="0" w:color="auto"/>
          </w:divBdr>
        </w:div>
        <w:div w:id="290551402">
          <w:marLeft w:val="0"/>
          <w:marRight w:val="0"/>
          <w:marTop w:val="0"/>
          <w:marBottom w:val="0"/>
          <w:divBdr>
            <w:top w:val="none" w:sz="0" w:space="0" w:color="auto"/>
            <w:left w:val="none" w:sz="0" w:space="0" w:color="auto"/>
            <w:bottom w:val="none" w:sz="0" w:space="0" w:color="auto"/>
            <w:right w:val="none" w:sz="0" w:space="0" w:color="auto"/>
          </w:divBdr>
        </w:div>
        <w:div w:id="594751767">
          <w:marLeft w:val="0"/>
          <w:marRight w:val="0"/>
          <w:marTop w:val="0"/>
          <w:marBottom w:val="0"/>
          <w:divBdr>
            <w:top w:val="none" w:sz="0" w:space="0" w:color="auto"/>
            <w:left w:val="none" w:sz="0" w:space="0" w:color="auto"/>
            <w:bottom w:val="none" w:sz="0" w:space="0" w:color="auto"/>
            <w:right w:val="none" w:sz="0" w:space="0" w:color="auto"/>
          </w:divBdr>
        </w:div>
        <w:div w:id="1416392148">
          <w:marLeft w:val="0"/>
          <w:marRight w:val="0"/>
          <w:marTop w:val="0"/>
          <w:marBottom w:val="0"/>
          <w:divBdr>
            <w:top w:val="none" w:sz="0" w:space="0" w:color="auto"/>
            <w:left w:val="none" w:sz="0" w:space="0" w:color="auto"/>
            <w:bottom w:val="none" w:sz="0" w:space="0" w:color="auto"/>
            <w:right w:val="none" w:sz="0" w:space="0" w:color="auto"/>
          </w:divBdr>
        </w:div>
      </w:divsChild>
    </w:div>
    <w:div w:id="1720275202">
      <w:bodyDiv w:val="1"/>
      <w:marLeft w:val="0"/>
      <w:marRight w:val="0"/>
      <w:marTop w:val="0"/>
      <w:marBottom w:val="0"/>
      <w:divBdr>
        <w:top w:val="none" w:sz="0" w:space="0" w:color="auto"/>
        <w:left w:val="none" w:sz="0" w:space="0" w:color="auto"/>
        <w:bottom w:val="none" w:sz="0" w:space="0" w:color="auto"/>
        <w:right w:val="none" w:sz="0" w:space="0" w:color="auto"/>
      </w:divBdr>
    </w:div>
    <w:div w:id="1788499210">
      <w:bodyDiv w:val="1"/>
      <w:marLeft w:val="0"/>
      <w:marRight w:val="0"/>
      <w:marTop w:val="0"/>
      <w:marBottom w:val="0"/>
      <w:divBdr>
        <w:top w:val="none" w:sz="0" w:space="0" w:color="auto"/>
        <w:left w:val="none" w:sz="0" w:space="0" w:color="auto"/>
        <w:bottom w:val="none" w:sz="0" w:space="0" w:color="auto"/>
        <w:right w:val="none" w:sz="0" w:space="0" w:color="auto"/>
      </w:divBdr>
    </w:div>
    <w:div w:id="1845197891">
      <w:bodyDiv w:val="1"/>
      <w:marLeft w:val="0"/>
      <w:marRight w:val="0"/>
      <w:marTop w:val="0"/>
      <w:marBottom w:val="0"/>
      <w:divBdr>
        <w:top w:val="none" w:sz="0" w:space="0" w:color="auto"/>
        <w:left w:val="none" w:sz="0" w:space="0" w:color="auto"/>
        <w:bottom w:val="none" w:sz="0" w:space="0" w:color="auto"/>
        <w:right w:val="none" w:sz="0" w:space="0" w:color="auto"/>
      </w:divBdr>
    </w:div>
    <w:div w:id="1939286203">
      <w:bodyDiv w:val="1"/>
      <w:marLeft w:val="0"/>
      <w:marRight w:val="0"/>
      <w:marTop w:val="0"/>
      <w:marBottom w:val="0"/>
      <w:divBdr>
        <w:top w:val="none" w:sz="0" w:space="0" w:color="auto"/>
        <w:left w:val="none" w:sz="0" w:space="0" w:color="auto"/>
        <w:bottom w:val="none" w:sz="0" w:space="0" w:color="auto"/>
        <w:right w:val="none" w:sz="0" w:space="0" w:color="auto"/>
      </w:divBdr>
      <w:divsChild>
        <w:div w:id="101581997">
          <w:marLeft w:val="0"/>
          <w:marRight w:val="0"/>
          <w:marTop w:val="0"/>
          <w:marBottom w:val="0"/>
          <w:divBdr>
            <w:top w:val="none" w:sz="0" w:space="0" w:color="auto"/>
            <w:left w:val="none" w:sz="0" w:space="0" w:color="auto"/>
            <w:bottom w:val="none" w:sz="0" w:space="0" w:color="auto"/>
            <w:right w:val="none" w:sz="0" w:space="0" w:color="auto"/>
          </w:divBdr>
        </w:div>
        <w:div w:id="630479239">
          <w:marLeft w:val="0"/>
          <w:marRight w:val="0"/>
          <w:marTop w:val="0"/>
          <w:marBottom w:val="0"/>
          <w:divBdr>
            <w:top w:val="none" w:sz="0" w:space="0" w:color="auto"/>
            <w:left w:val="none" w:sz="0" w:space="0" w:color="auto"/>
            <w:bottom w:val="none" w:sz="0" w:space="0" w:color="auto"/>
            <w:right w:val="none" w:sz="0" w:space="0" w:color="auto"/>
          </w:divBdr>
        </w:div>
        <w:div w:id="903956085">
          <w:marLeft w:val="0"/>
          <w:marRight w:val="0"/>
          <w:marTop w:val="0"/>
          <w:marBottom w:val="0"/>
          <w:divBdr>
            <w:top w:val="none" w:sz="0" w:space="0" w:color="auto"/>
            <w:left w:val="none" w:sz="0" w:space="0" w:color="auto"/>
            <w:bottom w:val="none" w:sz="0" w:space="0" w:color="auto"/>
            <w:right w:val="none" w:sz="0" w:space="0" w:color="auto"/>
          </w:divBdr>
        </w:div>
        <w:div w:id="954098278">
          <w:marLeft w:val="0"/>
          <w:marRight w:val="0"/>
          <w:marTop w:val="0"/>
          <w:marBottom w:val="0"/>
          <w:divBdr>
            <w:top w:val="none" w:sz="0" w:space="0" w:color="auto"/>
            <w:left w:val="none" w:sz="0" w:space="0" w:color="auto"/>
            <w:bottom w:val="none" w:sz="0" w:space="0" w:color="auto"/>
            <w:right w:val="none" w:sz="0" w:space="0" w:color="auto"/>
          </w:divBdr>
        </w:div>
        <w:div w:id="1480227750">
          <w:marLeft w:val="0"/>
          <w:marRight w:val="0"/>
          <w:marTop w:val="0"/>
          <w:marBottom w:val="0"/>
          <w:divBdr>
            <w:top w:val="none" w:sz="0" w:space="0" w:color="auto"/>
            <w:left w:val="none" w:sz="0" w:space="0" w:color="auto"/>
            <w:bottom w:val="none" w:sz="0" w:space="0" w:color="auto"/>
            <w:right w:val="none" w:sz="0" w:space="0" w:color="auto"/>
          </w:divBdr>
        </w:div>
      </w:divsChild>
    </w:div>
    <w:div w:id="1951547733">
      <w:bodyDiv w:val="1"/>
      <w:marLeft w:val="0"/>
      <w:marRight w:val="0"/>
      <w:marTop w:val="0"/>
      <w:marBottom w:val="0"/>
      <w:divBdr>
        <w:top w:val="none" w:sz="0" w:space="0" w:color="auto"/>
        <w:left w:val="none" w:sz="0" w:space="0" w:color="auto"/>
        <w:bottom w:val="none" w:sz="0" w:space="0" w:color="auto"/>
        <w:right w:val="none" w:sz="0" w:space="0" w:color="auto"/>
      </w:divBdr>
    </w:div>
    <w:div w:id="1987975907">
      <w:bodyDiv w:val="1"/>
      <w:marLeft w:val="0"/>
      <w:marRight w:val="0"/>
      <w:marTop w:val="0"/>
      <w:marBottom w:val="0"/>
      <w:divBdr>
        <w:top w:val="none" w:sz="0" w:space="0" w:color="auto"/>
        <w:left w:val="none" w:sz="0" w:space="0" w:color="auto"/>
        <w:bottom w:val="none" w:sz="0" w:space="0" w:color="auto"/>
        <w:right w:val="none" w:sz="0" w:space="0" w:color="auto"/>
      </w:divBdr>
    </w:div>
    <w:div w:id="20293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portal.3gpp.org/ChangeRequests.aspx?q=1&amp;versionId=39719&amp;release=182" TargetMode="External"/><Relationship Id="rId2" Type="http://schemas.openxmlformats.org/officeDocument/2006/relationships/hyperlink" Target="https://circabc.europa.eu/sd/d/3958ecef-c25e-4e4f-8e3b-469d1db6bc07/RSPG13-538_RSPG-Opinion-on-LSA%20.pdf" TargetMode="External"/><Relationship Id="rId1" Type="http://schemas.openxmlformats.org/officeDocument/2006/relationships/hyperlink" Target="https://ec.europa.eu/digital-single-market/en/news/radio-spectrum-cept-mandate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F1B3B340945E8AC20E073004A5FB4"/>
        <w:category>
          <w:name w:val="Általános"/>
          <w:gallery w:val="placeholder"/>
        </w:category>
        <w:types>
          <w:type w:val="bbPlcHdr"/>
        </w:types>
        <w:behaviors>
          <w:behavior w:val="content"/>
        </w:behaviors>
        <w:guid w:val="{EFF34B26-AB2A-4A79-A2E2-7FF84DA89C4C}"/>
      </w:docPartPr>
      <w:docPartBody>
        <w:p w:rsidR="007E100F" w:rsidRDefault="00157177" w:rsidP="00157177">
          <w:pPr>
            <w:pStyle w:val="060F1B3B340945E8AC20E073004A5FB4"/>
          </w:pPr>
          <w:r>
            <w:t>A dokumentum címének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Times New Roman"/>
    <w:panose1 w:val="02040503050201020203"/>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77"/>
    <w:rsid w:val="0007559E"/>
    <w:rsid w:val="00157177"/>
    <w:rsid w:val="0019022D"/>
    <w:rsid w:val="002D0CBF"/>
    <w:rsid w:val="003B28DF"/>
    <w:rsid w:val="003E57CF"/>
    <w:rsid w:val="003F54E8"/>
    <w:rsid w:val="005E6C27"/>
    <w:rsid w:val="007E100F"/>
    <w:rsid w:val="008E2BC1"/>
    <w:rsid w:val="00B54D2E"/>
    <w:rsid w:val="00DD0B29"/>
    <w:rsid w:val="00DD4B94"/>
    <w:rsid w:val="00F012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083EDA6D0B54F96B4822BDC9D0634C5">
    <w:name w:val="B083EDA6D0B54F96B4822BDC9D0634C5"/>
    <w:rsid w:val="00157177"/>
  </w:style>
  <w:style w:type="paragraph" w:customStyle="1" w:styleId="060F1B3B340945E8AC20E073004A5FB4">
    <w:name w:val="060F1B3B340945E8AC20E073004A5FB4"/>
    <w:rsid w:val="00157177"/>
  </w:style>
  <w:style w:type="character" w:styleId="Helyrzszveg">
    <w:name w:val="Placeholder Text"/>
    <w:basedOn w:val="Bekezdsalapbettpusa"/>
    <w:uiPriority w:val="99"/>
    <w:semiHidden/>
    <w:rsid w:val="00157177"/>
    <w:rPr>
      <w:color w:val="808080"/>
    </w:rPr>
  </w:style>
  <w:style w:type="paragraph" w:customStyle="1" w:styleId="BA80FD328D9F42458069103E0AD7A6CE">
    <w:name w:val="BA80FD328D9F42458069103E0AD7A6CE"/>
    <w:rsid w:val="00157177"/>
  </w:style>
  <w:style w:type="paragraph" w:customStyle="1" w:styleId="2E9DF88A064943DBACA9461F0260B953">
    <w:name w:val="2E9DF88A064943DBACA9461F0260B953"/>
    <w:rsid w:val="00157177"/>
  </w:style>
  <w:style w:type="paragraph" w:customStyle="1" w:styleId="DCAF81B2638F465FB0D387122E33AC2F">
    <w:name w:val="DCAF81B2638F465FB0D387122E33AC2F"/>
    <w:rsid w:val="00157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Egyéni 1. séma">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MH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C881-F679-4EB8-92D5-1A2E22EE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3459</Words>
  <Characters>23871</Characters>
  <Application>Microsoft Office Word</Application>
  <DocSecurity>0</DocSecurity>
  <Lines>198</Lines>
  <Paragraphs>54</Paragraphs>
  <ScaleCrop>false</ScaleCrop>
  <HeadingPairs>
    <vt:vector size="2" baseType="variant">
      <vt:variant>
        <vt:lpstr>Cím</vt:lpstr>
      </vt:variant>
      <vt:variant>
        <vt:i4>1</vt:i4>
      </vt:variant>
    </vt:vector>
  </HeadingPairs>
  <TitlesOfParts>
    <vt:vector size="1" baseType="lpstr">
      <vt:lpstr/>
    </vt:vector>
  </TitlesOfParts>
  <Company>NMHH</Company>
  <LinksUpToDate>false</LinksUpToDate>
  <CharactersWithSpaces>27276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Spektrumgazdálkodási osztály</dc:creator>
  <cp:keywords/>
  <dc:description/>
  <cp:lastModifiedBy>Szőgyényi Szilvia</cp:lastModifiedBy>
  <cp:revision>3</cp:revision>
  <cp:lastPrinted>2017-10-24T11:15:00Z</cp:lastPrinted>
  <dcterms:created xsi:type="dcterms:W3CDTF">2022-02-17T17:54:00Z</dcterms:created>
  <dcterms:modified xsi:type="dcterms:W3CDTF">2022-02-18T10:21:00Z</dcterms:modified>
</cp:coreProperties>
</file>