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240C" w14:textId="342C56CC" w:rsidR="00DA6C1B" w:rsidRPr="00DA6C1B" w:rsidRDefault="00453105">
      <w:pPr>
        <w:rPr>
          <w:rFonts w:ascii="Arial" w:hAnsi="Arial" w:cs="Arial"/>
        </w:rPr>
      </w:pPr>
      <w:r w:rsidRPr="00453105">
        <w:rPr>
          <w:rFonts w:ascii="Arial" w:eastAsia="Arial" w:hAnsi="Arial" w:cs="Arial"/>
          <w:noProof/>
          <w:lang w:eastAsia="hu-HU"/>
        </w:rPr>
        <w:drawing>
          <wp:anchor distT="0" distB="1011555" distL="114300" distR="114300" simplePos="0" relativeHeight="251659264" behindDoc="1" locked="0" layoutInCell="1" allowOverlap="1" wp14:anchorId="28EEE865" wp14:editId="010A7C80">
            <wp:simplePos x="0" y="0"/>
            <wp:positionH relativeFrom="page">
              <wp:posOffset>4526</wp:posOffset>
            </wp:positionH>
            <wp:positionV relativeFrom="page">
              <wp:posOffset>9128</wp:posOffset>
            </wp:positionV>
            <wp:extent cx="7556500" cy="3351530"/>
            <wp:effectExtent l="0" t="0" r="6350" b="1270"/>
            <wp:wrapTopAndBottom/>
            <wp:docPr id="6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hh_ostrom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0D9687" w14:textId="77777777" w:rsidR="00DA6C1B" w:rsidRPr="00DA6C1B" w:rsidRDefault="00DA6C1B">
      <w:pPr>
        <w:rPr>
          <w:rFonts w:ascii="Arial" w:hAnsi="Arial" w:cs="Arial"/>
        </w:rPr>
      </w:pPr>
    </w:p>
    <w:p w14:paraId="3054C5C2" w14:textId="6752C553" w:rsidR="00DA6C1B" w:rsidRDefault="00DA6C1B" w:rsidP="00DA6C1B">
      <w:pPr>
        <w:jc w:val="center"/>
        <w:rPr>
          <w:rFonts w:ascii="Arial" w:hAnsi="Arial" w:cs="Arial"/>
          <w:b/>
          <w:sz w:val="32"/>
        </w:rPr>
      </w:pPr>
      <w:r w:rsidRPr="00DA6C1B">
        <w:rPr>
          <w:rFonts w:ascii="Arial" w:hAnsi="Arial" w:cs="Arial"/>
          <w:b/>
          <w:sz w:val="32"/>
        </w:rPr>
        <w:t>Nyilvános meghallgatás</w:t>
      </w:r>
    </w:p>
    <w:p w14:paraId="7B227961" w14:textId="77777777" w:rsidR="00453105" w:rsidRPr="00DA6C1B" w:rsidRDefault="00453105" w:rsidP="00DA6C1B">
      <w:pPr>
        <w:jc w:val="center"/>
        <w:rPr>
          <w:rFonts w:ascii="Arial" w:hAnsi="Arial" w:cs="Arial"/>
          <w:b/>
          <w:sz w:val="32"/>
        </w:rPr>
      </w:pPr>
    </w:p>
    <w:p w14:paraId="2F13692E" w14:textId="584DA116" w:rsidR="00B45A56" w:rsidRDefault="00DA6C1B" w:rsidP="00453105">
      <w:pPr>
        <w:jc w:val="center"/>
        <w:rPr>
          <w:rFonts w:ascii="Arial" w:hAnsi="Arial" w:cs="Arial"/>
          <w:sz w:val="32"/>
        </w:rPr>
      </w:pPr>
      <w:proofErr w:type="gramStart"/>
      <w:r w:rsidRPr="00DA6C1B">
        <w:rPr>
          <w:rFonts w:ascii="Arial" w:hAnsi="Arial" w:cs="Arial"/>
          <w:sz w:val="32"/>
        </w:rPr>
        <w:t>a</w:t>
      </w:r>
      <w:proofErr w:type="gramEnd"/>
      <w:r w:rsidRPr="00DA6C1B">
        <w:rPr>
          <w:rFonts w:ascii="Arial" w:hAnsi="Arial" w:cs="Arial"/>
          <w:sz w:val="32"/>
        </w:rPr>
        <w:t xml:space="preserve"> vezetéknélküli széles</w:t>
      </w:r>
      <w:r w:rsidR="00453105">
        <w:rPr>
          <w:rFonts w:ascii="Arial" w:hAnsi="Arial" w:cs="Arial"/>
          <w:sz w:val="32"/>
        </w:rPr>
        <w:t xml:space="preserve">sávú szolgáltatások nyújtására </w:t>
      </w:r>
      <w:r w:rsidRPr="00DA6C1B">
        <w:rPr>
          <w:rFonts w:ascii="Arial" w:hAnsi="Arial" w:cs="Arial"/>
          <w:sz w:val="32"/>
        </w:rPr>
        <w:t xml:space="preserve">használható </w:t>
      </w:r>
      <w:r>
        <w:rPr>
          <w:rFonts w:ascii="Arial" w:hAnsi="Arial" w:cs="Arial"/>
          <w:sz w:val="32"/>
        </w:rPr>
        <w:t>frekvencia</w:t>
      </w:r>
      <w:r w:rsidRPr="00DA6C1B">
        <w:rPr>
          <w:rFonts w:ascii="Arial" w:hAnsi="Arial" w:cs="Arial"/>
          <w:sz w:val="32"/>
        </w:rPr>
        <w:t>sávok</w:t>
      </w:r>
      <w:r>
        <w:rPr>
          <w:rFonts w:ascii="Arial" w:hAnsi="Arial" w:cs="Arial"/>
          <w:sz w:val="32"/>
        </w:rPr>
        <w:t>kal</w:t>
      </w:r>
      <w:r w:rsidRPr="00DA6C1B">
        <w:rPr>
          <w:rFonts w:ascii="Arial" w:hAnsi="Arial" w:cs="Arial"/>
          <w:sz w:val="32"/>
        </w:rPr>
        <w:t xml:space="preserve"> kapcsolatos elképzelésekről</w:t>
      </w:r>
      <w:r w:rsidR="00453105">
        <w:rPr>
          <w:rFonts w:ascii="Arial" w:hAnsi="Arial" w:cs="Arial"/>
          <w:sz w:val="32"/>
        </w:rPr>
        <w:t>, piaci igényekről</w:t>
      </w:r>
    </w:p>
    <w:p w14:paraId="3529A023" w14:textId="22078A76" w:rsidR="00453105" w:rsidRDefault="00453105" w:rsidP="00453105">
      <w:pPr>
        <w:jc w:val="center"/>
        <w:rPr>
          <w:rFonts w:ascii="Arial" w:hAnsi="Arial" w:cs="Arial"/>
          <w:sz w:val="32"/>
        </w:rPr>
      </w:pPr>
    </w:p>
    <w:p w14:paraId="1657A850" w14:textId="08E5F2A7" w:rsidR="00453105" w:rsidRDefault="00453105" w:rsidP="00453105">
      <w:pPr>
        <w:jc w:val="center"/>
        <w:rPr>
          <w:rFonts w:ascii="Arial" w:hAnsi="Arial" w:cs="Arial"/>
          <w:sz w:val="32"/>
        </w:rPr>
      </w:pPr>
    </w:p>
    <w:p w14:paraId="789A93A8" w14:textId="1CDFA070" w:rsidR="00453105" w:rsidRDefault="00453105" w:rsidP="0045310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Előkészítő dokumentum</w:t>
      </w:r>
    </w:p>
    <w:p w14:paraId="0812F283" w14:textId="1F3025D3" w:rsidR="00453105" w:rsidRDefault="00453105" w:rsidP="00453105">
      <w:pPr>
        <w:jc w:val="center"/>
        <w:rPr>
          <w:rFonts w:ascii="Arial" w:hAnsi="Arial" w:cs="Arial"/>
          <w:sz w:val="32"/>
        </w:rPr>
      </w:pPr>
    </w:p>
    <w:p w14:paraId="1416A44F" w14:textId="77777777" w:rsidR="00453105" w:rsidRDefault="00453105" w:rsidP="00453105">
      <w:pPr>
        <w:jc w:val="center"/>
        <w:rPr>
          <w:rFonts w:ascii="Arial" w:hAnsi="Arial" w:cs="Arial"/>
          <w:sz w:val="32"/>
        </w:rPr>
      </w:pPr>
    </w:p>
    <w:p w14:paraId="53FC3C7B" w14:textId="16C9B2DA" w:rsidR="00453105" w:rsidRDefault="00453105" w:rsidP="00453105">
      <w:pPr>
        <w:jc w:val="center"/>
        <w:rPr>
          <w:rFonts w:ascii="Arial" w:hAnsi="Arial" w:cs="Arial"/>
          <w:sz w:val="32"/>
        </w:rPr>
      </w:pPr>
    </w:p>
    <w:p w14:paraId="52DF20CC" w14:textId="5A0B467A" w:rsidR="00453105" w:rsidRPr="00DA6C1B" w:rsidRDefault="00453105" w:rsidP="0045310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2022. február 16.</w:t>
      </w:r>
    </w:p>
    <w:p w14:paraId="361355D2" w14:textId="77777777" w:rsidR="00DA6C1B" w:rsidRPr="00DA6C1B" w:rsidRDefault="00DA6C1B">
      <w:pPr>
        <w:rPr>
          <w:rFonts w:ascii="Arial" w:hAnsi="Arial" w:cs="Arial"/>
        </w:rPr>
      </w:pPr>
      <w:r w:rsidRPr="00DA6C1B">
        <w:rPr>
          <w:rFonts w:ascii="Arial" w:hAnsi="Arial" w:cs="Arial"/>
        </w:rPr>
        <w:br w:type="page"/>
      </w:r>
    </w:p>
    <w:p w14:paraId="1ED0377A" w14:textId="77777777" w:rsidR="003800F3" w:rsidRPr="006E7860" w:rsidRDefault="003800F3" w:rsidP="003800F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E7860">
        <w:rPr>
          <w:rFonts w:ascii="Arial" w:hAnsi="Arial" w:cs="Arial"/>
          <w:b/>
        </w:rPr>
        <w:lastRenderedPageBreak/>
        <w:t>Bevezető</w:t>
      </w:r>
    </w:p>
    <w:p w14:paraId="0EED82FF" w14:textId="4D96BE00" w:rsidR="001A0C7E" w:rsidRDefault="00F1262E" w:rsidP="009E752F">
      <w:pPr>
        <w:spacing w:before="120" w:line="259" w:lineRule="auto"/>
        <w:ind w:firstLine="360"/>
        <w:jc w:val="both"/>
        <w:rPr>
          <w:rFonts w:ascii="Arial" w:eastAsia="Calibri" w:hAnsi="Arial" w:cs="Arial"/>
        </w:rPr>
      </w:pPr>
      <w:r w:rsidRPr="00F1262E">
        <w:rPr>
          <w:rFonts w:ascii="Arial" w:eastAsia="Calibri" w:hAnsi="Arial" w:cs="Arial"/>
        </w:rPr>
        <w:t xml:space="preserve">A Nemzeti Média- és Hírközlési Hatóság </w:t>
      </w:r>
      <w:r w:rsidR="00ED12D0">
        <w:rPr>
          <w:rFonts w:ascii="Arial" w:eastAsia="Calibri" w:hAnsi="Arial" w:cs="Arial"/>
        </w:rPr>
        <w:t xml:space="preserve">(a továbbiakban: NMHH) </w:t>
      </w:r>
      <w:r w:rsidR="001A0C7E">
        <w:rPr>
          <w:rFonts w:ascii="Arial" w:eastAsia="Calibri" w:hAnsi="Arial" w:cs="Arial"/>
        </w:rPr>
        <w:t xml:space="preserve">küldetése, hogy </w:t>
      </w:r>
      <w:r w:rsidR="00454A69" w:rsidRPr="00454A69">
        <w:rPr>
          <w:rFonts w:ascii="Arial" w:eastAsia="Calibri" w:hAnsi="Arial" w:cs="Arial"/>
        </w:rPr>
        <w:t xml:space="preserve">az elektronikus hírközlési szektorban </w:t>
      </w:r>
      <w:r w:rsidR="001A0C7E">
        <w:rPr>
          <w:rFonts w:ascii="Arial" w:eastAsia="Calibri" w:hAnsi="Arial" w:cs="Arial"/>
        </w:rPr>
        <w:t xml:space="preserve">biztosítsa a </w:t>
      </w:r>
      <w:r w:rsidR="001A0C7E" w:rsidRPr="001A0C7E">
        <w:rPr>
          <w:rFonts w:ascii="Arial" w:eastAsia="Calibri" w:hAnsi="Arial" w:cs="Arial"/>
        </w:rPr>
        <w:t>hatékony verseny feltételei</w:t>
      </w:r>
      <w:r w:rsidR="001A0C7E">
        <w:rPr>
          <w:rFonts w:ascii="Arial" w:eastAsia="Calibri" w:hAnsi="Arial" w:cs="Arial"/>
        </w:rPr>
        <w:t>t</w:t>
      </w:r>
      <w:r w:rsidR="001A0C7E" w:rsidRPr="001A0C7E">
        <w:rPr>
          <w:rFonts w:ascii="Arial" w:eastAsia="Calibri" w:hAnsi="Arial" w:cs="Arial"/>
        </w:rPr>
        <w:t xml:space="preserve"> a fogyasztók és felhasználók jóléte érdekében</w:t>
      </w:r>
      <w:r w:rsidR="001A0C7E">
        <w:rPr>
          <w:rFonts w:ascii="Arial" w:eastAsia="Calibri" w:hAnsi="Arial" w:cs="Arial"/>
        </w:rPr>
        <w:t xml:space="preserve">. </w:t>
      </w:r>
      <w:r w:rsidR="000A7E2D" w:rsidRPr="00F1262E">
        <w:rPr>
          <w:rFonts w:ascii="Arial" w:eastAsia="Calibri" w:hAnsi="Arial" w:cs="Arial"/>
        </w:rPr>
        <w:t xml:space="preserve">A </w:t>
      </w:r>
      <w:r w:rsidR="000A7E2D">
        <w:rPr>
          <w:rFonts w:ascii="Arial" w:eastAsia="Calibri" w:hAnsi="Arial" w:cs="Arial"/>
        </w:rPr>
        <w:t xml:space="preserve">zavartalan működés, a </w:t>
      </w:r>
      <w:r w:rsidR="000A7E2D" w:rsidRPr="00F1262E">
        <w:rPr>
          <w:rFonts w:ascii="Arial" w:eastAsia="Calibri" w:hAnsi="Arial" w:cs="Arial"/>
        </w:rPr>
        <w:t>fejlesztések kulcskérdése a vezetéknélküli megoldások esetén a felelős és</w:t>
      </w:r>
      <w:r w:rsidR="000A7E2D">
        <w:rPr>
          <w:rFonts w:ascii="Arial" w:eastAsia="Calibri" w:hAnsi="Arial" w:cs="Arial"/>
        </w:rPr>
        <w:t xml:space="preserve"> hatékony frekvenciagazdálkodás</w:t>
      </w:r>
      <w:r w:rsidR="001A0C7E">
        <w:rPr>
          <w:rFonts w:ascii="Arial" w:eastAsia="Calibri" w:hAnsi="Arial" w:cs="Arial"/>
        </w:rPr>
        <w:t xml:space="preserve">. </w:t>
      </w:r>
      <w:r w:rsidR="001A0C7E" w:rsidRPr="001A0C7E">
        <w:rPr>
          <w:rFonts w:ascii="Arial" w:eastAsia="Calibri" w:hAnsi="Arial" w:cs="Arial"/>
        </w:rPr>
        <w:t>A korlátos erőforrásokkal való hatékony gazdálkodás kiemelkedő szerepet kap a versenyélénkítés és beruházásösztönzés átfogó stratégiai céljának megvalósításában</w:t>
      </w:r>
      <w:r w:rsidR="000A7E2D">
        <w:rPr>
          <w:rFonts w:ascii="Arial" w:eastAsia="Calibri" w:hAnsi="Arial" w:cs="Arial"/>
        </w:rPr>
        <w:t xml:space="preserve"> is</w:t>
      </w:r>
      <w:r w:rsidR="001A0C7E" w:rsidRPr="001A0C7E">
        <w:rPr>
          <w:rFonts w:ascii="Arial" w:eastAsia="Calibri" w:hAnsi="Arial" w:cs="Arial"/>
        </w:rPr>
        <w:t xml:space="preserve">. </w:t>
      </w:r>
    </w:p>
    <w:p w14:paraId="1B513423" w14:textId="6D54B5D0" w:rsidR="00071FBD" w:rsidRDefault="00071FBD" w:rsidP="009E752F">
      <w:pPr>
        <w:spacing w:before="120" w:line="259" w:lineRule="auto"/>
        <w:ind w:firstLine="360"/>
        <w:jc w:val="both"/>
        <w:rPr>
          <w:rFonts w:ascii="Arial" w:eastAsia="Calibri" w:hAnsi="Arial" w:cs="Arial"/>
        </w:rPr>
      </w:pPr>
      <w:r w:rsidRPr="00071FBD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z NMHH</w:t>
      </w:r>
      <w:r w:rsidRPr="00071FBD">
        <w:rPr>
          <w:rFonts w:ascii="Arial" w:eastAsia="Calibri" w:hAnsi="Arial" w:cs="Arial"/>
        </w:rPr>
        <w:t xml:space="preserve"> 2021-25 közötti</w:t>
      </w:r>
      <w:r>
        <w:rPr>
          <w:rFonts w:ascii="Arial" w:eastAsia="Calibri" w:hAnsi="Arial" w:cs="Arial"/>
        </w:rPr>
        <w:t xml:space="preserve"> időszakra szóló </w:t>
      </w:r>
      <w:r w:rsidR="007315C3">
        <w:rPr>
          <w:rFonts w:ascii="Arial" w:eastAsia="Calibri" w:hAnsi="Arial" w:cs="Arial"/>
        </w:rPr>
        <w:t>rádió</w:t>
      </w:r>
      <w:r>
        <w:rPr>
          <w:rFonts w:ascii="Arial" w:eastAsia="Calibri" w:hAnsi="Arial" w:cs="Arial"/>
        </w:rPr>
        <w:t>spektrum</w:t>
      </w:r>
      <w:r w:rsidR="007315C3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stratégiája szerinti</w:t>
      </w:r>
      <w:r w:rsidRPr="00071FBD">
        <w:rPr>
          <w:rFonts w:ascii="Arial" w:eastAsia="Calibri" w:hAnsi="Arial" w:cs="Arial"/>
        </w:rPr>
        <w:t xml:space="preserve"> legfőbb </w:t>
      </w:r>
      <w:proofErr w:type="gramStart"/>
      <w:r w:rsidRPr="00071FBD">
        <w:rPr>
          <w:rFonts w:ascii="Arial" w:eastAsia="Calibri" w:hAnsi="Arial" w:cs="Arial"/>
        </w:rPr>
        <w:t>célja  felelős</w:t>
      </w:r>
      <w:proofErr w:type="gramEnd"/>
      <w:r w:rsidRPr="00071FBD">
        <w:rPr>
          <w:rFonts w:ascii="Arial" w:eastAsia="Calibri" w:hAnsi="Arial" w:cs="Arial"/>
        </w:rPr>
        <w:t xml:space="preserve"> spektrumgazdálkodással biztosít</w:t>
      </w:r>
      <w:r w:rsidR="00454A69">
        <w:rPr>
          <w:rFonts w:ascii="Arial" w:eastAsia="Calibri" w:hAnsi="Arial" w:cs="Arial"/>
        </w:rPr>
        <w:t>ani</w:t>
      </w:r>
      <w:r w:rsidRPr="00071FBD">
        <w:rPr>
          <w:rFonts w:ascii="Arial" w:eastAsia="Calibri" w:hAnsi="Arial" w:cs="Arial"/>
        </w:rPr>
        <w:t>, hogy a digitális ökoszisztéma fejlődése szempontjából a korlátos erőforrásnak számító frekvenciakészlet elérhetősége és felhasználhatósága sem rövid, sem középtávon ne jelentsen szűk keresztmetszetet.</w:t>
      </w:r>
      <w:r w:rsidR="001A0C7E" w:rsidRPr="001A0C7E">
        <w:rPr>
          <w:rFonts w:ascii="Arial" w:eastAsia="Calibri" w:hAnsi="Arial" w:cs="Arial"/>
        </w:rPr>
        <w:t xml:space="preserve"> </w:t>
      </w:r>
      <w:r w:rsidR="007315C3" w:rsidRPr="007315C3">
        <w:rPr>
          <w:rFonts w:ascii="Arial" w:eastAsia="Calibri" w:hAnsi="Arial" w:cs="Arial"/>
        </w:rPr>
        <w:t>A rádióspektrum-stratégia kiemelt célterületei</w:t>
      </w:r>
      <w:r w:rsidR="007315C3">
        <w:rPr>
          <w:rFonts w:ascii="Arial" w:eastAsia="Calibri" w:hAnsi="Arial" w:cs="Arial"/>
        </w:rPr>
        <w:t xml:space="preserve"> között szerepel a </w:t>
      </w:r>
      <w:r w:rsidR="007315C3" w:rsidRPr="007315C3">
        <w:rPr>
          <w:rFonts w:ascii="Arial" w:eastAsia="Calibri" w:hAnsi="Arial" w:cs="Arial"/>
        </w:rPr>
        <w:t>mobil</w:t>
      </w:r>
      <w:proofErr w:type="gramStart"/>
      <w:r w:rsidR="00454A69">
        <w:rPr>
          <w:rFonts w:ascii="Arial" w:eastAsia="Calibri" w:hAnsi="Arial" w:cs="Arial"/>
        </w:rPr>
        <w:t>,</w:t>
      </w:r>
      <w:r w:rsidR="007315C3" w:rsidRPr="007315C3">
        <w:rPr>
          <w:rFonts w:ascii="Arial" w:eastAsia="Calibri" w:hAnsi="Arial" w:cs="Arial"/>
        </w:rPr>
        <w:t xml:space="preserve"> </w:t>
      </w:r>
      <w:r w:rsidR="007315C3">
        <w:rPr>
          <w:rFonts w:ascii="Arial" w:eastAsia="Calibri" w:hAnsi="Arial" w:cs="Arial"/>
        </w:rPr>
        <w:t xml:space="preserve"> a</w:t>
      </w:r>
      <w:proofErr w:type="gramEnd"/>
      <w:r w:rsidR="007315C3">
        <w:rPr>
          <w:rFonts w:ascii="Arial" w:eastAsia="Calibri" w:hAnsi="Arial" w:cs="Arial"/>
        </w:rPr>
        <w:t xml:space="preserve"> </w:t>
      </w:r>
      <w:r w:rsidR="007315C3" w:rsidRPr="007315C3">
        <w:rPr>
          <w:rFonts w:ascii="Arial" w:eastAsia="Calibri" w:hAnsi="Arial" w:cs="Arial"/>
        </w:rPr>
        <w:t>PPDR</w:t>
      </w:r>
      <w:r w:rsidR="00664028">
        <w:rPr>
          <w:rStyle w:val="Lbjegyzet-hivatkozs"/>
          <w:rFonts w:ascii="Arial" w:eastAsia="Calibri" w:hAnsi="Arial" w:cs="Arial"/>
        </w:rPr>
        <w:footnoteReference w:id="1"/>
      </w:r>
      <w:r w:rsidR="007315C3" w:rsidRPr="007315C3">
        <w:rPr>
          <w:rFonts w:ascii="Arial" w:eastAsia="Calibri" w:hAnsi="Arial" w:cs="Arial"/>
        </w:rPr>
        <w:t xml:space="preserve"> és egyéb kormányzati spektrumigény</w:t>
      </w:r>
      <w:r w:rsidR="00454A69">
        <w:rPr>
          <w:rFonts w:ascii="Arial" w:eastAsia="Calibri" w:hAnsi="Arial" w:cs="Arial"/>
        </w:rPr>
        <w:t>ek</w:t>
      </w:r>
      <w:r w:rsidR="007315C3" w:rsidRPr="007315C3">
        <w:rPr>
          <w:rFonts w:ascii="Arial" w:eastAsia="Calibri" w:hAnsi="Arial" w:cs="Arial"/>
        </w:rPr>
        <w:t xml:space="preserve"> kielégítése</w:t>
      </w:r>
      <w:r w:rsidR="007315C3">
        <w:rPr>
          <w:rFonts w:ascii="Arial" w:eastAsia="Calibri" w:hAnsi="Arial" w:cs="Arial"/>
        </w:rPr>
        <w:t xml:space="preserve"> is.</w:t>
      </w:r>
    </w:p>
    <w:p w14:paraId="60398D5D" w14:textId="685F576B" w:rsidR="009E752F" w:rsidRDefault="009E752F" w:rsidP="00E30AFF">
      <w:pPr>
        <w:spacing w:before="120" w:after="120" w:line="259" w:lineRule="auto"/>
        <w:ind w:firstLine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Az NMHH a nemzetközi szabályozási környezetre, különösen az európai uniós kötelezettségekre tekintettel</w:t>
      </w:r>
      <w:r w:rsidR="00FA098A">
        <w:rPr>
          <w:rFonts w:ascii="Arial" w:eastAsia="Calibri" w:hAnsi="Arial" w:cs="Arial"/>
        </w:rPr>
        <w:t xml:space="preserve"> tűzte zászlajára, hogy a </w:t>
      </w:r>
      <w:r w:rsidR="00FA098A" w:rsidRPr="00FA098A">
        <w:rPr>
          <w:rFonts w:ascii="Arial" w:eastAsia="Calibri" w:hAnsi="Arial" w:cs="Arial"/>
        </w:rPr>
        <w:t xml:space="preserve">mobil szolgáltatásokhoz, </w:t>
      </w:r>
      <w:r w:rsidR="00454A69">
        <w:rPr>
          <w:rFonts w:ascii="Arial" w:eastAsia="Calibri" w:hAnsi="Arial" w:cs="Arial"/>
        </w:rPr>
        <w:t xml:space="preserve">különösen </w:t>
      </w:r>
      <w:r w:rsidR="00FA098A" w:rsidRPr="00FA098A">
        <w:rPr>
          <w:rFonts w:ascii="Arial" w:eastAsia="Calibri" w:hAnsi="Arial" w:cs="Arial"/>
        </w:rPr>
        <w:t xml:space="preserve">a mobil szélessávú szolgáltatások további dinamikus fejlődéséhez szükséges rádióspektrumot biztosítani kell, a lejáró spektrumhasználati jogosultságú spektrumrészek </w:t>
      </w:r>
      <w:proofErr w:type="spellStart"/>
      <w:r w:rsidR="00FA098A" w:rsidRPr="00FA098A">
        <w:rPr>
          <w:rFonts w:ascii="Arial" w:eastAsia="Calibri" w:hAnsi="Arial" w:cs="Arial"/>
        </w:rPr>
        <w:t>újrahasznosítása</w:t>
      </w:r>
      <w:proofErr w:type="spellEnd"/>
      <w:r w:rsidR="00FA098A" w:rsidRPr="00FA098A">
        <w:rPr>
          <w:rFonts w:ascii="Arial" w:eastAsia="Calibri" w:hAnsi="Arial" w:cs="Arial"/>
        </w:rPr>
        <w:t xml:space="preserve"> során </w:t>
      </w:r>
      <w:r w:rsidR="00454A69">
        <w:rPr>
          <w:rFonts w:ascii="Arial" w:eastAsia="Calibri" w:hAnsi="Arial" w:cs="Arial"/>
        </w:rPr>
        <w:t xml:space="preserve">pedig </w:t>
      </w:r>
      <w:r w:rsidR="00FA098A" w:rsidRPr="00FA098A">
        <w:rPr>
          <w:rFonts w:ascii="Arial" w:eastAsia="Calibri" w:hAnsi="Arial" w:cs="Arial"/>
        </w:rPr>
        <w:t>törekedni kell a technológiasemleges használat feltételeinek biztosításár</w:t>
      </w:r>
      <w:r w:rsidR="00B93685">
        <w:rPr>
          <w:rFonts w:ascii="Arial" w:eastAsia="Calibri" w:hAnsi="Arial" w:cs="Arial"/>
        </w:rPr>
        <w:t xml:space="preserve">a. </w:t>
      </w:r>
      <w:r w:rsidR="00454A69">
        <w:rPr>
          <w:rFonts w:ascii="Arial" w:eastAsia="Calibri" w:hAnsi="Arial" w:cs="Arial"/>
        </w:rPr>
        <w:t>A</w:t>
      </w:r>
      <w:r w:rsidR="00B93685">
        <w:rPr>
          <w:rFonts w:ascii="Arial" w:eastAsia="Calibri" w:hAnsi="Arial" w:cs="Arial"/>
        </w:rPr>
        <w:t xml:space="preserve"> Rádióspektrum-stratégia a következő részcélokat azonosította:</w:t>
      </w:r>
    </w:p>
    <w:p w14:paraId="6A2597E9" w14:textId="77777777" w:rsidR="00B93685" w:rsidRPr="00B93685" w:rsidRDefault="00B93685" w:rsidP="00E30AFF">
      <w:pPr>
        <w:spacing w:after="160" w:line="259" w:lineRule="auto"/>
        <w:ind w:firstLine="357"/>
        <w:jc w:val="both"/>
        <w:rPr>
          <w:rFonts w:ascii="Arial" w:eastAsia="Calibri" w:hAnsi="Arial" w:cs="Arial"/>
        </w:rPr>
      </w:pPr>
      <w:r w:rsidRPr="00B93685">
        <w:rPr>
          <w:rFonts w:ascii="Arial" w:eastAsia="Calibri" w:hAnsi="Arial" w:cs="Arial"/>
        </w:rPr>
        <w:t>•</w:t>
      </w:r>
      <w:r w:rsidRPr="00B93685">
        <w:rPr>
          <w:rFonts w:ascii="Arial" w:eastAsia="Calibri" w:hAnsi="Arial" w:cs="Arial"/>
        </w:rPr>
        <w:tab/>
        <w:t xml:space="preserve">Kellő időben meg kell kezdeni a felkészülést és az időszerű feladatokat végre kell hajtani a 24,25-27,5 </w:t>
      </w:r>
      <w:proofErr w:type="spellStart"/>
      <w:r w:rsidRPr="00B93685">
        <w:rPr>
          <w:rFonts w:ascii="Arial" w:eastAsia="Calibri" w:hAnsi="Arial" w:cs="Arial"/>
        </w:rPr>
        <w:t>GHz</w:t>
      </w:r>
      <w:proofErr w:type="spellEnd"/>
      <w:r w:rsidRPr="00B93685">
        <w:rPr>
          <w:rFonts w:ascii="Arial" w:eastAsia="Calibri" w:hAnsi="Arial" w:cs="Arial"/>
        </w:rPr>
        <w:t>-es frekvenciasáv mobil (5G) célú alkalmazásának lehetővé tétele érdekében.</w:t>
      </w:r>
    </w:p>
    <w:p w14:paraId="00E52F0E" w14:textId="30243ED8" w:rsidR="00664028" w:rsidRDefault="00B93685" w:rsidP="00664028">
      <w:pPr>
        <w:spacing w:after="160" w:line="259" w:lineRule="auto"/>
        <w:ind w:firstLine="357"/>
        <w:jc w:val="both"/>
        <w:rPr>
          <w:rFonts w:ascii="Arial" w:eastAsia="Calibri" w:hAnsi="Arial" w:cs="Arial"/>
        </w:rPr>
      </w:pPr>
      <w:r w:rsidRPr="00B93685">
        <w:rPr>
          <w:rFonts w:ascii="Arial" w:eastAsia="Calibri" w:hAnsi="Arial" w:cs="Arial"/>
        </w:rPr>
        <w:t>•</w:t>
      </w:r>
      <w:r w:rsidRPr="00B93685">
        <w:rPr>
          <w:rFonts w:ascii="Arial" w:eastAsia="Calibri" w:hAnsi="Arial" w:cs="Arial"/>
        </w:rPr>
        <w:tab/>
      </w:r>
      <w:r w:rsidR="00664028" w:rsidRPr="00B93685">
        <w:rPr>
          <w:rFonts w:ascii="Arial" w:eastAsia="Calibri" w:hAnsi="Arial" w:cs="Arial"/>
        </w:rPr>
        <w:t xml:space="preserve">Gondoskodni kell a 32 </w:t>
      </w:r>
      <w:proofErr w:type="spellStart"/>
      <w:r w:rsidR="00664028" w:rsidRPr="00B93685">
        <w:rPr>
          <w:rFonts w:ascii="Arial" w:eastAsia="Calibri" w:hAnsi="Arial" w:cs="Arial"/>
        </w:rPr>
        <w:t>GHz</w:t>
      </w:r>
      <w:proofErr w:type="spellEnd"/>
      <w:r w:rsidR="00664028" w:rsidRPr="00B93685">
        <w:rPr>
          <w:rFonts w:ascii="Arial" w:eastAsia="Calibri" w:hAnsi="Arial" w:cs="Arial"/>
        </w:rPr>
        <w:t>-es frekvenciasáv állandóhelyű pont-pont és pont-többpont alkalmazási lehetőségének biztosításáról, illetve meg kell tenni a szükséges szabályozói lépéseket a</w:t>
      </w:r>
      <w:r w:rsidR="00664028">
        <w:rPr>
          <w:rFonts w:ascii="Arial" w:eastAsia="Calibri" w:hAnsi="Arial" w:cs="Arial"/>
        </w:rPr>
        <w:t xml:space="preserve"> </w:t>
      </w:r>
      <w:r w:rsidR="00664028" w:rsidRPr="005060C9">
        <w:rPr>
          <w:rFonts w:ascii="Arial" w:hAnsi="Arial" w:cs="Arial"/>
        </w:rPr>
        <w:t xml:space="preserve">vezetéknélküli szélessávú hírközlési szolgálatok nyújtására alkalmas mozgó és állandóhelyű hírközlési hálózatok (a továbbiakban: </w:t>
      </w:r>
      <w:r w:rsidR="00664028" w:rsidRPr="00B93685">
        <w:rPr>
          <w:rFonts w:ascii="Arial" w:eastAsia="Calibri" w:hAnsi="Arial" w:cs="Arial"/>
        </w:rPr>
        <w:t>MFCN</w:t>
      </w:r>
      <w:r w:rsidR="00664028" w:rsidRPr="00486B2E">
        <w:rPr>
          <w:rFonts w:ascii="Arial" w:hAnsi="Arial" w:cs="Arial"/>
          <w:vertAlign w:val="superscript"/>
        </w:rPr>
        <w:footnoteReference w:id="2"/>
      </w:r>
      <w:r w:rsidR="00664028">
        <w:rPr>
          <w:rFonts w:ascii="Arial" w:eastAsia="Calibri" w:hAnsi="Arial" w:cs="Arial"/>
        </w:rPr>
        <w:t>)</w:t>
      </w:r>
      <w:r w:rsidR="00664028" w:rsidRPr="00B93685">
        <w:rPr>
          <w:rFonts w:ascii="Arial" w:eastAsia="Calibri" w:hAnsi="Arial" w:cs="Arial"/>
        </w:rPr>
        <w:t xml:space="preserve"> cél</w:t>
      </w:r>
      <w:r w:rsidR="00664028">
        <w:rPr>
          <w:rFonts w:ascii="Arial" w:eastAsia="Calibri" w:hAnsi="Arial" w:cs="Arial"/>
        </w:rPr>
        <w:t>já</w:t>
      </w:r>
      <w:r w:rsidR="00664028" w:rsidRPr="00B93685">
        <w:rPr>
          <w:rFonts w:ascii="Arial" w:eastAsia="Calibri" w:hAnsi="Arial" w:cs="Arial"/>
        </w:rPr>
        <w:t xml:space="preserve">ra felhasználásra kerülő 26 </w:t>
      </w:r>
      <w:proofErr w:type="spellStart"/>
      <w:r w:rsidR="00664028" w:rsidRPr="00B93685">
        <w:rPr>
          <w:rFonts w:ascii="Arial" w:eastAsia="Calibri" w:hAnsi="Arial" w:cs="Arial"/>
        </w:rPr>
        <w:t>GHz</w:t>
      </w:r>
      <w:proofErr w:type="spellEnd"/>
      <w:r w:rsidR="00664028" w:rsidRPr="00B93685">
        <w:rPr>
          <w:rFonts w:ascii="Arial" w:eastAsia="Calibri" w:hAnsi="Arial" w:cs="Arial"/>
        </w:rPr>
        <w:t>-es frekvenciasávú alkalmazások migrációja érdekében.</w:t>
      </w:r>
    </w:p>
    <w:p w14:paraId="734ADE96" w14:textId="00593D7D" w:rsidR="00664028" w:rsidRPr="00610CB1" w:rsidRDefault="00664028" w:rsidP="00664028">
      <w:pPr>
        <w:spacing w:before="120" w:after="120" w:line="259" w:lineRule="auto"/>
        <w:ind w:firstLine="357"/>
        <w:jc w:val="both"/>
        <w:rPr>
          <w:rFonts w:ascii="Arial" w:eastAsia="Calibri" w:hAnsi="Arial" w:cs="Arial"/>
        </w:rPr>
      </w:pPr>
      <w:r w:rsidRPr="00610CB1">
        <w:rPr>
          <w:rFonts w:ascii="Arial" w:eastAsia="Calibri" w:hAnsi="Arial" w:cs="Arial"/>
        </w:rPr>
        <w:t>A nem polgá</w:t>
      </w:r>
      <w:r>
        <w:rPr>
          <w:rFonts w:ascii="Arial" w:eastAsia="Calibri" w:hAnsi="Arial" w:cs="Arial"/>
        </w:rPr>
        <w:t>ri spektrumgazdálkodási területé</w:t>
      </w:r>
      <w:r w:rsidRPr="00610CB1">
        <w:rPr>
          <w:rFonts w:ascii="Arial" w:eastAsia="Calibri" w:hAnsi="Arial" w:cs="Arial"/>
        </w:rPr>
        <w:t xml:space="preserve">n </w:t>
      </w:r>
      <w:r>
        <w:rPr>
          <w:rFonts w:ascii="Arial" w:eastAsia="Calibri" w:hAnsi="Arial" w:cs="Arial"/>
        </w:rPr>
        <w:t xml:space="preserve">a </w:t>
      </w:r>
      <w:proofErr w:type="spellStart"/>
      <w:r>
        <w:rPr>
          <w:rFonts w:ascii="Arial" w:eastAsia="Calibri" w:hAnsi="Arial" w:cs="Arial"/>
        </w:rPr>
        <w:t>Rádióspketrum</w:t>
      </w:r>
      <w:proofErr w:type="spellEnd"/>
      <w:r>
        <w:rPr>
          <w:rFonts w:ascii="Arial" w:eastAsia="Calibri" w:hAnsi="Arial" w:cs="Arial"/>
        </w:rPr>
        <w:t>-stratégi</w:t>
      </w:r>
      <w:r w:rsidR="00454A69">
        <w:rPr>
          <w:rFonts w:ascii="Arial" w:eastAsia="Calibri" w:hAnsi="Arial" w:cs="Arial"/>
        </w:rPr>
        <w:t xml:space="preserve">a </w:t>
      </w:r>
      <w:r w:rsidR="00454A69" w:rsidRPr="00454A69">
        <w:rPr>
          <w:rFonts w:ascii="Arial" w:eastAsia="Calibri" w:hAnsi="Arial" w:cs="Arial"/>
        </w:rPr>
        <w:t>a következő hangsúlyos gondolatokat rögzíti</w:t>
      </w:r>
      <w:r w:rsidRPr="00610CB1">
        <w:rPr>
          <w:rFonts w:ascii="Arial" w:eastAsia="Calibri" w:hAnsi="Arial" w:cs="Arial"/>
        </w:rPr>
        <w:t>:</w:t>
      </w:r>
    </w:p>
    <w:p w14:paraId="1A4A0AAB" w14:textId="13B17266" w:rsidR="00664028" w:rsidRPr="00610CB1" w:rsidRDefault="00664028" w:rsidP="00664028">
      <w:pPr>
        <w:spacing w:after="160" w:line="259" w:lineRule="auto"/>
        <w:ind w:firstLine="357"/>
        <w:jc w:val="both"/>
        <w:rPr>
          <w:rFonts w:ascii="Arial" w:eastAsia="Calibri" w:hAnsi="Arial" w:cs="Arial"/>
        </w:rPr>
      </w:pPr>
      <w:r w:rsidRPr="00610CB1">
        <w:rPr>
          <w:rFonts w:ascii="Arial" w:eastAsia="Calibri" w:hAnsi="Arial" w:cs="Arial"/>
        </w:rPr>
        <w:t>•</w:t>
      </w:r>
      <w:r w:rsidRPr="00610CB1">
        <w:rPr>
          <w:rFonts w:ascii="Arial" w:eastAsia="Calibri" w:hAnsi="Arial" w:cs="Arial"/>
        </w:rPr>
        <w:tab/>
      </w:r>
      <w:proofErr w:type="gramStart"/>
      <w:r w:rsidRPr="00610CB1">
        <w:rPr>
          <w:rFonts w:ascii="Arial" w:eastAsia="Calibri" w:hAnsi="Arial" w:cs="Arial"/>
        </w:rPr>
        <w:t>a</w:t>
      </w:r>
      <w:proofErr w:type="gramEnd"/>
      <w:r w:rsidRPr="00610CB1">
        <w:rPr>
          <w:rFonts w:ascii="Arial" w:eastAsia="Calibri" w:hAnsi="Arial" w:cs="Arial"/>
        </w:rPr>
        <w:t xml:space="preserve"> BB-PPDR rendszerek kialakításával kapcsolatos teendők,</w:t>
      </w:r>
      <w:r>
        <w:rPr>
          <w:rFonts w:ascii="Arial" w:eastAsia="Calibri" w:hAnsi="Arial" w:cs="Arial"/>
        </w:rPr>
        <w:t xml:space="preserve"> különösen</w:t>
      </w:r>
      <w:r w:rsidRPr="00610CB1">
        <w:rPr>
          <w:rFonts w:ascii="Arial" w:eastAsia="Calibri" w:hAnsi="Arial" w:cs="Arial"/>
        </w:rPr>
        <w:t xml:space="preserve"> a (jelenlegi TETRA által használt) 380</w:t>
      </w:r>
      <w:r w:rsidR="00625FFC">
        <w:rPr>
          <w:rFonts w:ascii="Arial" w:eastAsia="Calibri" w:hAnsi="Arial" w:cs="Arial"/>
        </w:rPr>
        <w:t>-</w:t>
      </w:r>
      <w:r w:rsidRPr="00610CB1">
        <w:rPr>
          <w:rFonts w:ascii="Arial" w:eastAsia="Calibri" w:hAnsi="Arial" w:cs="Arial"/>
        </w:rPr>
        <w:t>385/390</w:t>
      </w:r>
      <w:r w:rsidR="00625FFC">
        <w:rPr>
          <w:rFonts w:ascii="Arial" w:eastAsia="Calibri" w:hAnsi="Arial" w:cs="Arial"/>
        </w:rPr>
        <w:t>-</w:t>
      </w:r>
      <w:r w:rsidRPr="00610CB1">
        <w:rPr>
          <w:rFonts w:ascii="Arial" w:eastAsia="Calibri" w:hAnsi="Arial" w:cs="Arial"/>
        </w:rPr>
        <w:t>395 MHz, valamint a 410-430 MHz, a 450 MHz</w:t>
      </w:r>
      <w:r>
        <w:rPr>
          <w:rFonts w:ascii="Arial" w:eastAsia="Calibri" w:hAnsi="Arial" w:cs="Arial"/>
        </w:rPr>
        <w:t>-es</w:t>
      </w:r>
      <w:r w:rsidRPr="00610CB1">
        <w:rPr>
          <w:rFonts w:ascii="Arial" w:eastAsia="Calibri" w:hAnsi="Arial" w:cs="Arial"/>
        </w:rPr>
        <w:t xml:space="preserve"> és a 700 MHz-es frekvenciasávok együttes kezelése</w:t>
      </w:r>
      <w:r>
        <w:rPr>
          <w:rFonts w:ascii="Arial" w:eastAsia="Calibri" w:hAnsi="Arial" w:cs="Arial"/>
        </w:rPr>
        <w:t>,</w:t>
      </w:r>
    </w:p>
    <w:p w14:paraId="25880FF9" w14:textId="77777777" w:rsidR="00664028" w:rsidRPr="00610CB1" w:rsidRDefault="00664028" w:rsidP="00664028">
      <w:pPr>
        <w:spacing w:after="160" w:line="259" w:lineRule="auto"/>
        <w:ind w:firstLine="357"/>
        <w:jc w:val="both"/>
        <w:rPr>
          <w:rFonts w:ascii="Arial" w:eastAsia="Calibri" w:hAnsi="Arial" w:cs="Arial"/>
        </w:rPr>
      </w:pPr>
      <w:r w:rsidRPr="00610CB1">
        <w:rPr>
          <w:rFonts w:ascii="Arial" w:eastAsia="Calibri" w:hAnsi="Arial" w:cs="Arial"/>
        </w:rPr>
        <w:t>•</w:t>
      </w:r>
      <w:r w:rsidRPr="00610CB1">
        <w:rPr>
          <w:rFonts w:ascii="Arial" w:eastAsia="Calibri" w:hAnsi="Arial" w:cs="Arial"/>
        </w:rPr>
        <w:tab/>
      </w:r>
      <w:proofErr w:type="gramStart"/>
      <w:r w:rsidRPr="00610CB1">
        <w:rPr>
          <w:rFonts w:ascii="Arial" w:eastAsia="Calibri" w:hAnsi="Arial" w:cs="Arial"/>
        </w:rPr>
        <w:t>a</w:t>
      </w:r>
      <w:proofErr w:type="gramEnd"/>
      <w:r w:rsidRPr="00610CB1">
        <w:rPr>
          <w:rFonts w:ascii="Arial" w:eastAsia="Calibri" w:hAnsi="Arial" w:cs="Arial"/>
        </w:rPr>
        <w:t xml:space="preserve"> 26 </w:t>
      </w:r>
      <w:proofErr w:type="spellStart"/>
      <w:r w:rsidRPr="00610CB1">
        <w:rPr>
          <w:rFonts w:ascii="Arial" w:eastAsia="Calibri" w:hAnsi="Arial" w:cs="Arial"/>
        </w:rPr>
        <w:t>GHz</w:t>
      </w:r>
      <w:proofErr w:type="spellEnd"/>
      <w:r>
        <w:rPr>
          <w:rFonts w:ascii="Arial" w:eastAsia="Calibri" w:hAnsi="Arial" w:cs="Arial"/>
        </w:rPr>
        <w:t>-es frekvenciasáv</w:t>
      </w:r>
      <w:r w:rsidRPr="00610CB1">
        <w:rPr>
          <w:rFonts w:ascii="Arial" w:eastAsia="Calibri" w:hAnsi="Arial" w:cs="Arial"/>
        </w:rPr>
        <w:t xml:space="preserve"> felső 1 </w:t>
      </w:r>
      <w:proofErr w:type="spellStart"/>
      <w:r w:rsidRPr="00610CB1">
        <w:rPr>
          <w:rFonts w:ascii="Arial" w:eastAsia="Calibri" w:hAnsi="Arial" w:cs="Arial"/>
        </w:rPr>
        <w:t>GHz</w:t>
      </w:r>
      <w:proofErr w:type="spellEnd"/>
      <w:r w:rsidRPr="00610CB1">
        <w:rPr>
          <w:rFonts w:ascii="Arial" w:eastAsia="Calibri" w:hAnsi="Arial" w:cs="Arial"/>
        </w:rPr>
        <w:t xml:space="preserve">-es sávjában van nem polgári 5G igény, ezért a 26 </w:t>
      </w:r>
      <w:proofErr w:type="spellStart"/>
      <w:r w:rsidRPr="00610CB1">
        <w:rPr>
          <w:rFonts w:ascii="Arial" w:eastAsia="Calibri" w:hAnsi="Arial" w:cs="Arial"/>
        </w:rPr>
        <w:t>GHz</w:t>
      </w:r>
      <w:proofErr w:type="spellEnd"/>
      <w:r w:rsidRPr="00610CB1">
        <w:rPr>
          <w:rFonts w:ascii="Arial" w:eastAsia="Calibri" w:hAnsi="Arial" w:cs="Arial"/>
        </w:rPr>
        <w:t xml:space="preserve"> használata területén egyeztetések szükségesek, különösen, mivel a WRC-19 értekezleten döntés született a sáv IMT2020 célú azonosításáról; a WRC-19 határozatainak implementálása során ügyelni kell a nem polgári sávokkal kapcsolatos érdekekre, az igényekkel összhangban a pozíciók megőrzésére</w:t>
      </w:r>
      <w:r>
        <w:rPr>
          <w:rFonts w:ascii="Arial" w:eastAsia="Calibri" w:hAnsi="Arial" w:cs="Arial"/>
        </w:rPr>
        <w:t xml:space="preserve">, valamint az, hogy </w:t>
      </w:r>
    </w:p>
    <w:p w14:paraId="218BEAB0" w14:textId="10A92494" w:rsidR="00610CB1" w:rsidRDefault="00610CB1" w:rsidP="00664028">
      <w:pPr>
        <w:spacing w:after="160" w:line="259" w:lineRule="auto"/>
        <w:ind w:firstLine="357"/>
        <w:jc w:val="both"/>
        <w:rPr>
          <w:rFonts w:ascii="Arial" w:eastAsia="Calibri" w:hAnsi="Arial" w:cs="Arial"/>
        </w:rPr>
      </w:pPr>
      <w:r w:rsidRPr="00610CB1">
        <w:rPr>
          <w:rFonts w:ascii="Arial" w:eastAsia="Calibri" w:hAnsi="Arial" w:cs="Arial"/>
        </w:rPr>
        <w:lastRenderedPageBreak/>
        <w:t>•</w:t>
      </w:r>
      <w:r w:rsidRPr="00610CB1">
        <w:rPr>
          <w:rFonts w:ascii="Arial" w:eastAsia="Calibri" w:hAnsi="Arial" w:cs="Arial"/>
        </w:rPr>
        <w:tab/>
      </w:r>
      <w:proofErr w:type="gramStart"/>
      <w:r w:rsidR="00B20692" w:rsidRPr="00B20692">
        <w:rPr>
          <w:rFonts w:ascii="Arial" w:eastAsia="Calibri" w:hAnsi="Arial" w:cs="Arial"/>
        </w:rPr>
        <w:t>fel</w:t>
      </w:r>
      <w:proofErr w:type="gramEnd"/>
      <w:r w:rsidR="00B20692" w:rsidRPr="00B20692">
        <w:rPr>
          <w:rFonts w:ascii="Arial" w:eastAsia="Calibri" w:hAnsi="Arial" w:cs="Arial"/>
        </w:rPr>
        <w:t xml:space="preserve"> kell készülni a Kormány  Honvédelmi és Haderőfejlesztési Programja keretében felmerülő spektrumigények kezelésére, kielégítésére.</w:t>
      </w:r>
    </w:p>
    <w:p w14:paraId="7EA7E6A9" w14:textId="7BCC142D" w:rsidR="00FA098A" w:rsidRDefault="00FA098A" w:rsidP="009E752F">
      <w:pPr>
        <w:spacing w:before="120" w:line="259" w:lineRule="auto"/>
        <w:ind w:firstLine="360"/>
        <w:jc w:val="both"/>
        <w:rPr>
          <w:rFonts w:ascii="Arial" w:eastAsia="Calibri" w:hAnsi="Arial" w:cs="Arial"/>
        </w:rPr>
      </w:pPr>
      <w:r w:rsidRPr="00FA098A">
        <w:rPr>
          <w:rFonts w:ascii="Arial" w:eastAsia="Calibri" w:hAnsi="Arial" w:cs="Arial"/>
        </w:rPr>
        <w:t>A Bizottság 2021. március 9-én elfogadta a „Digitális iránytű 2030-ig: a digitális évtized megvalósításának európai módja” című közleményt (a továbbiakban: a digitális iránytűről szóló közlemény)</w:t>
      </w:r>
      <w:r w:rsidRPr="00FA098A">
        <w:rPr>
          <w:rFonts w:ascii="Arial" w:eastAsia="Calibri" w:hAnsi="Arial" w:cs="Arial"/>
          <w:vertAlign w:val="superscript"/>
        </w:rPr>
        <w:footnoteReference w:id="3"/>
      </w:r>
      <w:r w:rsidRPr="00FA098A">
        <w:rPr>
          <w:rFonts w:ascii="Arial" w:eastAsia="Calibri" w:hAnsi="Arial" w:cs="Arial"/>
        </w:rPr>
        <w:t xml:space="preserve">. A kommunikáció felvázolja az Európai Unió 2030-ig megvalósítandó sikeres digitális átalakításának jövőképét, céljait és mikéntjét. </w:t>
      </w:r>
      <w:r w:rsidR="00610CB1" w:rsidRPr="00610CB1">
        <w:rPr>
          <w:rFonts w:ascii="Arial" w:eastAsia="Calibri" w:hAnsi="Arial" w:cs="Arial"/>
        </w:rPr>
        <w:t>A 2030-ra kitűzött digitális célok négy sarkalatos ponton alapulnak: digitális készségek, digitális infrastruktúrák, a vállalkozások és a közszolgáltatások digitalizálása.</w:t>
      </w:r>
      <w:r w:rsidR="00610CB1">
        <w:rPr>
          <w:rFonts w:ascii="Arial" w:eastAsia="Calibri" w:hAnsi="Arial" w:cs="Arial"/>
        </w:rPr>
        <w:t xml:space="preserve"> Az infrastruktúrával kapcsolatosan kiemelt cél, hogy mindenkinek, mindenhol</w:t>
      </w:r>
      <w:r w:rsidR="00610CB1" w:rsidRPr="00610CB1">
        <w:rPr>
          <w:rFonts w:ascii="Times New Roman" w:hAnsi="Times New Roman" w:cs="Times New Roman"/>
          <w:noProof/>
          <w:sz w:val="24"/>
        </w:rPr>
        <w:t xml:space="preserve"> </w:t>
      </w:r>
      <w:r w:rsidR="00610CB1">
        <w:rPr>
          <w:rFonts w:ascii="Times New Roman" w:hAnsi="Times New Roman" w:cs="Times New Roman"/>
          <w:noProof/>
          <w:sz w:val="24"/>
        </w:rPr>
        <w:t>(„</w:t>
      </w:r>
      <w:r w:rsidR="00610CB1" w:rsidRPr="00610CB1">
        <w:rPr>
          <w:rFonts w:ascii="Arial" w:eastAsia="Calibri" w:hAnsi="Arial" w:cs="Arial"/>
        </w:rPr>
        <w:t>a vidéki és távoli területeken is</w:t>
      </w:r>
      <w:r w:rsidR="00610CB1" w:rsidRPr="00610CB1">
        <w:rPr>
          <w:rFonts w:ascii="Arial" w:eastAsia="Calibri" w:hAnsi="Arial" w:cs="Arial"/>
          <w:vertAlign w:val="superscript"/>
        </w:rPr>
        <w:footnoteReference w:id="4"/>
      </w:r>
      <w:r w:rsidR="00610CB1">
        <w:rPr>
          <w:rFonts w:ascii="Arial" w:eastAsia="Calibri" w:hAnsi="Arial" w:cs="Arial"/>
        </w:rPr>
        <w:t>”)</w:t>
      </w:r>
      <w:r w:rsidR="00610CB1" w:rsidRPr="00610CB1">
        <w:rPr>
          <w:rFonts w:ascii="Arial" w:eastAsia="Calibri" w:hAnsi="Arial" w:cs="Arial"/>
        </w:rPr>
        <w:t xml:space="preserve"> </w:t>
      </w:r>
      <w:r w:rsidR="00610CB1">
        <w:rPr>
          <w:rFonts w:ascii="Arial" w:eastAsia="Calibri" w:hAnsi="Arial" w:cs="Arial"/>
        </w:rPr>
        <w:t>jó minőségű (k</w:t>
      </w:r>
      <w:r w:rsidR="00B20692">
        <w:rPr>
          <w:rFonts w:ascii="Arial" w:eastAsia="Calibri" w:hAnsi="Arial" w:cs="Arial"/>
        </w:rPr>
        <w:t>i</w:t>
      </w:r>
      <w:r w:rsidR="00610CB1">
        <w:rPr>
          <w:rFonts w:ascii="Arial" w:eastAsia="Calibri" w:hAnsi="Arial" w:cs="Arial"/>
        </w:rPr>
        <w:t xml:space="preserve">váló és biztonságos) hozzáférésre legyen lehetősége. A gigabites </w:t>
      </w:r>
      <w:r w:rsidR="00610CB1" w:rsidRPr="00610CB1">
        <w:rPr>
          <w:rFonts w:ascii="Arial" w:eastAsia="Calibri" w:hAnsi="Arial" w:cs="Arial"/>
        </w:rPr>
        <w:t>seb</w:t>
      </w:r>
      <w:r w:rsidR="00610CB1">
        <w:rPr>
          <w:rFonts w:ascii="Arial" w:eastAsia="Calibri" w:hAnsi="Arial" w:cs="Arial"/>
        </w:rPr>
        <w:t>ességgel rendelkező hálózatok elégítik ki a növekvő adatátviteli igényeket.</w:t>
      </w:r>
      <w:r w:rsidR="00610CB1" w:rsidRPr="00610CB1">
        <w:rPr>
          <w:rFonts w:ascii="Arial" w:eastAsia="Calibri" w:hAnsi="Arial" w:cs="Arial"/>
        </w:rPr>
        <w:t xml:space="preserve"> </w:t>
      </w:r>
      <w:r w:rsidR="00610CB1">
        <w:rPr>
          <w:rFonts w:ascii="Arial" w:eastAsia="Calibri" w:hAnsi="Arial" w:cs="Arial"/>
        </w:rPr>
        <w:t xml:space="preserve">Ebben a vezetéknélküli technológiák közül az új generációs mobil hálózatok </w:t>
      </w:r>
      <w:r w:rsidR="008726B2">
        <w:rPr>
          <w:rFonts w:ascii="Arial" w:eastAsia="Calibri" w:hAnsi="Arial" w:cs="Arial"/>
        </w:rPr>
        <w:t>jelentős szerepet játszanak</w:t>
      </w:r>
      <w:r w:rsidR="00610CB1">
        <w:rPr>
          <w:rFonts w:ascii="Arial" w:eastAsia="Calibri" w:hAnsi="Arial" w:cs="Arial"/>
        </w:rPr>
        <w:t>.</w:t>
      </w:r>
    </w:p>
    <w:p w14:paraId="4FD25326" w14:textId="7A988AEC" w:rsidR="008726B2" w:rsidRDefault="008726B2" w:rsidP="009E752F">
      <w:pPr>
        <w:spacing w:before="120" w:line="259" w:lineRule="auto"/>
        <w:ind w:firstLine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Az NMHH a jó minőségű 4G hálózatok kiépítéséhez szükséges </w:t>
      </w:r>
      <w:r w:rsidR="0030649E">
        <w:rPr>
          <w:rFonts w:ascii="Arial" w:eastAsia="Calibri" w:hAnsi="Arial" w:cs="Arial"/>
        </w:rPr>
        <w:t xml:space="preserve">frekvencia </w:t>
      </w:r>
      <w:r w:rsidR="00454A69">
        <w:rPr>
          <w:rFonts w:ascii="Arial" w:eastAsia="Calibri" w:hAnsi="Arial" w:cs="Arial"/>
        </w:rPr>
        <w:t>készletet</w:t>
      </w:r>
      <w:r w:rsidR="00454A6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2014-ben bocsátotta rendelkezésre, majd ezt követte az 5G bevezetését is lehetővé tevő 2020-ban lezajlott árverés, </w:t>
      </w:r>
      <w:r w:rsidR="006F527F">
        <w:rPr>
          <w:rFonts w:ascii="Arial" w:eastAsia="Calibri" w:hAnsi="Arial" w:cs="Arial"/>
        </w:rPr>
        <w:t>ahol</w:t>
      </w:r>
      <w:r>
        <w:rPr>
          <w:rFonts w:ascii="Arial" w:eastAsia="Calibri" w:hAnsi="Arial" w:cs="Arial"/>
        </w:rPr>
        <w:t xml:space="preserve"> a </w:t>
      </w:r>
      <w:r w:rsidR="006F527F" w:rsidRPr="006F527F">
        <w:rPr>
          <w:rFonts w:ascii="Arial" w:eastAsia="Calibri" w:hAnsi="Arial" w:cs="Arial"/>
        </w:rPr>
        <w:t xml:space="preserve">700 MHz-es, 2100 MHz-es és 3600 MHz-es frekvenciasávok </w:t>
      </w:r>
      <w:r w:rsidR="006F527F">
        <w:rPr>
          <w:rFonts w:ascii="Arial" w:eastAsia="Calibri" w:hAnsi="Arial" w:cs="Arial"/>
        </w:rPr>
        <w:t>rádióspektrum-használati jogosultságai találtak gazdára. Ezzel azonban még nem vált elérhetővé az összes rendelkezésre álló spektrum.</w:t>
      </w:r>
    </w:p>
    <w:p w14:paraId="1388BE15" w14:textId="275A0504" w:rsidR="00454A69" w:rsidRDefault="006F527F" w:rsidP="006F527F">
      <w:pPr>
        <w:spacing w:before="120" w:line="259" w:lineRule="auto"/>
        <w:ind w:firstLine="360"/>
        <w:jc w:val="both"/>
        <w:rPr>
          <w:rFonts w:ascii="Arial" w:eastAsia="Calibri" w:hAnsi="Arial" w:cs="Arial"/>
        </w:rPr>
      </w:pPr>
      <w:r w:rsidRPr="006F527F">
        <w:rPr>
          <w:rFonts w:ascii="Arial" w:eastAsia="Calibri" w:hAnsi="Arial" w:cs="Arial"/>
        </w:rPr>
        <w:t>Az Európai Elektronikus Hírközlési Kódex</w:t>
      </w:r>
      <w:r w:rsidRPr="006F527F">
        <w:rPr>
          <w:rFonts w:ascii="Arial" w:eastAsia="Calibri" w:hAnsi="Arial" w:cs="Arial"/>
          <w:vertAlign w:val="superscript"/>
        </w:rPr>
        <w:footnoteReference w:id="5"/>
      </w:r>
      <w:r w:rsidRPr="006F527F">
        <w:rPr>
          <w:rFonts w:ascii="Arial" w:eastAsia="Calibri" w:hAnsi="Arial" w:cs="Arial"/>
        </w:rPr>
        <w:t xml:space="preserve"> (</w:t>
      </w:r>
      <w:r w:rsidR="00D13B82">
        <w:rPr>
          <w:rFonts w:ascii="Arial" w:eastAsia="Calibri" w:hAnsi="Arial" w:cs="Arial"/>
        </w:rPr>
        <w:t xml:space="preserve">a </w:t>
      </w:r>
      <w:r w:rsidRPr="006F527F">
        <w:rPr>
          <w:rFonts w:ascii="Arial" w:eastAsia="Calibri" w:hAnsi="Arial" w:cs="Arial"/>
        </w:rPr>
        <w:t xml:space="preserve">továbbiakban: Kódex) 2018 decemberében </w:t>
      </w:r>
      <w:r>
        <w:rPr>
          <w:rFonts w:ascii="Arial" w:eastAsia="Calibri" w:hAnsi="Arial" w:cs="Arial"/>
        </w:rPr>
        <w:t>több</w:t>
      </w:r>
      <w:r w:rsidRPr="006F527F">
        <w:rPr>
          <w:rFonts w:ascii="Arial" w:eastAsia="Calibri" w:hAnsi="Arial" w:cs="Arial"/>
        </w:rPr>
        <w:t xml:space="preserve">, az 5G elterjedésének előmozdítását szolgáló intézkedést rögzített. A Kódex 54. cikke alapján a tagállamoknak 2020. december 31-ig kell a 3,6 </w:t>
      </w:r>
      <w:proofErr w:type="spellStart"/>
      <w:r w:rsidRPr="006F527F">
        <w:rPr>
          <w:rFonts w:ascii="Arial" w:eastAsia="Calibri" w:hAnsi="Arial" w:cs="Arial"/>
        </w:rPr>
        <w:t>GHz</w:t>
      </w:r>
      <w:proofErr w:type="spellEnd"/>
      <w:r w:rsidRPr="006F527F">
        <w:rPr>
          <w:rFonts w:ascii="Arial" w:eastAsia="Calibri" w:hAnsi="Arial" w:cs="Arial"/>
        </w:rPr>
        <w:t xml:space="preserve">-es és a 26 </w:t>
      </w:r>
      <w:proofErr w:type="spellStart"/>
      <w:r w:rsidRPr="006F527F">
        <w:rPr>
          <w:rFonts w:ascii="Arial" w:eastAsia="Calibri" w:hAnsi="Arial" w:cs="Arial"/>
        </w:rPr>
        <w:t>GHz</w:t>
      </w:r>
      <w:proofErr w:type="spellEnd"/>
      <w:r w:rsidRPr="006F527F">
        <w:rPr>
          <w:rFonts w:ascii="Arial" w:eastAsia="Calibri" w:hAnsi="Arial" w:cs="Arial"/>
        </w:rPr>
        <w:t>-es frekvenciasáv vagy azok egy részének használhatóságát lehetővé tenni szélessávú vezetéknélküli adatátvitelre képes elektronikus hírközlési hálózatok számára, amennyiben egyértelműen igazolható, hogy van piaci kereslet, valamint a meglévő rádióspektrum-használati jogosultsággal rendelkezők migrációjának, illetve a frekvenciasáv felszabadításának nincs jelentős akadálya.</w:t>
      </w:r>
      <w:r>
        <w:rPr>
          <w:rFonts w:ascii="Arial" w:eastAsia="Calibri" w:hAnsi="Arial" w:cs="Arial"/>
        </w:rPr>
        <w:t xml:space="preserve"> </w:t>
      </w:r>
    </w:p>
    <w:p w14:paraId="266CEAA3" w14:textId="5EC5D799" w:rsidR="00A25F67" w:rsidRDefault="006F527F" w:rsidP="006F527F">
      <w:pPr>
        <w:spacing w:before="120" w:line="259" w:lineRule="auto"/>
        <w:ind w:firstLine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</w:t>
      </w:r>
      <w:r w:rsidRPr="006F527F">
        <w:rPr>
          <w:rFonts w:ascii="Arial" w:eastAsia="Calibri" w:hAnsi="Arial" w:cs="Arial"/>
        </w:rPr>
        <w:t xml:space="preserve">26 </w:t>
      </w:r>
      <w:proofErr w:type="spellStart"/>
      <w:r w:rsidRPr="006F527F">
        <w:rPr>
          <w:rFonts w:ascii="Arial" w:eastAsia="Calibri" w:hAnsi="Arial" w:cs="Arial"/>
        </w:rPr>
        <w:t>GHz</w:t>
      </w:r>
      <w:proofErr w:type="spellEnd"/>
      <w:r w:rsidRPr="006F527F">
        <w:rPr>
          <w:rFonts w:ascii="Arial" w:eastAsia="Calibri" w:hAnsi="Arial" w:cs="Arial"/>
        </w:rPr>
        <w:t>-es frekvenciasáv</w:t>
      </w:r>
      <w:r>
        <w:rPr>
          <w:rFonts w:ascii="Arial" w:eastAsia="Calibri" w:hAnsi="Arial" w:cs="Arial"/>
        </w:rPr>
        <w:t>ra ezidáig nem jelentkezett</w:t>
      </w:r>
      <w:r w:rsidR="00625FFC">
        <w:rPr>
          <w:rFonts w:ascii="Arial" w:eastAsia="Calibri" w:hAnsi="Arial" w:cs="Arial"/>
        </w:rPr>
        <w:t xml:space="preserve"> </w:t>
      </w:r>
      <w:r w:rsidR="00347987">
        <w:rPr>
          <w:rFonts w:ascii="Arial" w:eastAsia="Calibri" w:hAnsi="Arial" w:cs="Arial"/>
        </w:rPr>
        <w:t>MFCN</w:t>
      </w:r>
      <w:r>
        <w:rPr>
          <w:rFonts w:ascii="Arial" w:eastAsia="Calibri" w:hAnsi="Arial" w:cs="Arial"/>
        </w:rPr>
        <w:t xml:space="preserve"> piaci igény. </w:t>
      </w:r>
      <w:r w:rsidR="0091783F" w:rsidRPr="0091783F">
        <w:rPr>
          <w:rFonts w:ascii="Arial" w:eastAsia="Calibri" w:hAnsi="Arial" w:cs="Arial"/>
        </w:rPr>
        <w:t xml:space="preserve">Meg kell jegyeznünk, hogy már 2 nyilvános meghallgatáson is napirenden volt a 26 </w:t>
      </w:r>
      <w:proofErr w:type="spellStart"/>
      <w:r w:rsidR="0091783F" w:rsidRPr="0091783F">
        <w:rPr>
          <w:rFonts w:ascii="Arial" w:eastAsia="Calibri" w:hAnsi="Arial" w:cs="Arial"/>
        </w:rPr>
        <w:t>GHz</w:t>
      </w:r>
      <w:proofErr w:type="spellEnd"/>
      <w:r w:rsidR="0091783F" w:rsidRPr="0091783F">
        <w:rPr>
          <w:rFonts w:ascii="Arial" w:eastAsia="Calibri" w:hAnsi="Arial" w:cs="Arial"/>
        </w:rPr>
        <w:t>-es frekvenciasáv iránti piaci igény</w:t>
      </w:r>
      <w:r w:rsidR="00454A69">
        <w:rPr>
          <w:rFonts w:ascii="Arial" w:eastAsia="Calibri" w:hAnsi="Arial" w:cs="Arial"/>
        </w:rPr>
        <w:t xml:space="preserve"> felmérése</w:t>
      </w:r>
      <w:r w:rsidR="0091783F" w:rsidRPr="0091783F">
        <w:rPr>
          <w:rFonts w:ascii="Arial" w:eastAsia="Calibri" w:hAnsi="Arial" w:cs="Arial"/>
        </w:rPr>
        <w:t>, ahogy a szintén uniós kötelezettséggel érintett 1500 MHz-es frekvenciasáv, valamint a 2600 MHz-es frekvenciasávban még rendelkezésre álló 15 MHz</w:t>
      </w:r>
      <w:r w:rsidR="00454A69">
        <w:rPr>
          <w:rFonts w:ascii="Arial" w:eastAsia="Calibri" w:hAnsi="Arial" w:cs="Arial"/>
        </w:rPr>
        <w:t xml:space="preserve"> tekintetében</w:t>
      </w:r>
      <w:r w:rsidR="0091783F" w:rsidRPr="0091783F">
        <w:rPr>
          <w:rFonts w:ascii="Arial" w:eastAsia="Calibri" w:hAnsi="Arial" w:cs="Arial"/>
        </w:rPr>
        <w:t xml:space="preserve"> is. A szélessávú szolgáltatások nyújtására rendelkezésre álló vezetéknélküli lehetőségeket bővít</w:t>
      </w:r>
      <w:r w:rsidR="00454A69">
        <w:rPr>
          <w:rFonts w:ascii="Arial" w:eastAsia="Calibri" w:hAnsi="Arial" w:cs="Arial"/>
        </w:rPr>
        <w:t>ő,</w:t>
      </w:r>
      <w:r w:rsidR="0091783F" w:rsidRPr="0091783F">
        <w:rPr>
          <w:rFonts w:ascii="Arial" w:eastAsia="Calibri" w:hAnsi="Arial" w:cs="Arial"/>
        </w:rPr>
        <w:t xml:space="preserve"> 2300 MHz-es frekvenciasávról is volt már</w:t>
      </w:r>
      <w:r w:rsidR="00454A69">
        <w:rPr>
          <w:rFonts w:ascii="Arial" w:eastAsia="Calibri" w:hAnsi="Arial" w:cs="Arial"/>
        </w:rPr>
        <w:t xml:space="preserve"> korábban igényfelmérés</w:t>
      </w:r>
      <w:r w:rsidR="0091783F" w:rsidRPr="0091783F">
        <w:rPr>
          <w:rFonts w:ascii="Arial" w:eastAsia="Calibri" w:hAnsi="Arial" w:cs="Arial"/>
        </w:rPr>
        <w:t>. A 700 MHz-es frekvenciasávban egy 2x5 MHz-es blokk tervezett státus</w:t>
      </w:r>
      <w:r w:rsidR="00F165E8">
        <w:rPr>
          <w:rFonts w:ascii="Arial" w:eastAsia="Calibri" w:hAnsi="Arial" w:cs="Arial"/>
        </w:rPr>
        <w:t>zban van MFCN használat céljára</w:t>
      </w:r>
      <w:r w:rsidR="0091783F" w:rsidRPr="0091783F">
        <w:rPr>
          <w:rFonts w:ascii="Arial" w:eastAsia="Calibri" w:hAnsi="Arial" w:cs="Arial"/>
        </w:rPr>
        <w:t>, illetve 2x5 MHz és 2x3 MHz PPDR-</w:t>
      </w:r>
      <w:proofErr w:type="spellStart"/>
      <w:r w:rsidR="0091783F" w:rsidRPr="0091783F">
        <w:rPr>
          <w:rFonts w:ascii="Arial" w:eastAsia="Calibri" w:hAnsi="Arial" w:cs="Arial"/>
        </w:rPr>
        <w:t>ra</w:t>
      </w:r>
      <w:proofErr w:type="spellEnd"/>
      <w:r w:rsidR="0091783F" w:rsidRPr="0091783F">
        <w:rPr>
          <w:rFonts w:ascii="Arial" w:eastAsia="Calibri" w:hAnsi="Arial" w:cs="Arial"/>
        </w:rPr>
        <w:t xml:space="preserve"> dedikált rádióspektrum is tervezett a 700 MHz-es frekvenciasávban. Ez az a frekvenciasáv, ahol a legerősebb az összefüggés az 5G össztársadalmi és a szélessávú kormányzati igények között.</w:t>
      </w:r>
    </w:p>
    <w:p w14:paraId="132A6941" w14:textId="66ECE9D7" w:rsidR="006B0EC5" w:rsidRDefault="00E30AFF" w:rsidP="00F126A8">
      <w:pPr>
        <w:spacing w:before="120" w:line="259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legutóbbi, 2019-ben tartott nyilvános meghallgatás</w:t>
      </w:r>
      <w:r w:rsidR="006B0EC5">
        <w:rPr>
          <w:rFonts w:ascii="Arial" w:hAnsi="Arial" w:cs="Arial"/>
        </w:rPr>
        <w:t xml:space="preserve"> óta</w:t>
      </w:r>
      <w:r>
        <w:rPr>
          <w:rFonts w:ascii="Arial" w:hAnsi="Arial" w:cs="Arial"/>
        </w:rPr>
        <w:t xml:space="preserve"> a technológiai fejlődés megállíthatatlanul haladt előre, számos új nemzetközi dokumentum született, hazánkban is elérhető már 5G szolgáltatás, azaz elérkezettnek látja az időt az NMHH a lejáró 450 MHz-es rádióspektrumhasználati jogosultság </w:t>
      </w:r>
      <w:proofErr w:type="spellStart"/>
      <w:r>
        <w:rPr>
          <w:rFonts w:ascii="Arial" w:hAnsi="Arial" w:cs="Arial"/>
        </w:rPr>
        <w:t>újrahasznosításával</w:t>
      </w:r>
      <w:proofErr w:type="spellEnd"/>
      <w:r>
        <w:rPr>
          <w:rFonts w:ascii="Arial" w:hAnsi="Arial" w:cs="Arial"/>
        </w:rPr>
        <w:t xml:space="preserve"> kapcsolatos vélemények, igények mellett, a szélessávú vezetéknélküli szolgáltatások nyújtására alkalmas frekvenciasávokkal kapcsolatos konzultációra. </w:t>
      </w:r>
    </w:p>
    <w:p w14:paraId="72C37F6B" w14:textId="60C70902" w:rsidR="0023547A" w:rsidRDefault="006B0EC5" w:rsidP="00F126A8">
      <w:pPr>
        <w:spacing w:before="120" w:line="259" w:lineRule="auto"/>
        <w:ind w:firstLine="360"/>
        <w:jc w:val="both"/>
        <w:rPr>
          <w:rFonts w:ascii="Arial" w:eastAsia="Calibri" w:hAnsi="Arial" w:cs="Arial"/>
        </w:rPr>
      </w:pPr>
      <w:r w:rsidRPr="006B0EC5">
        <w:rPr>
          <w:rFonts w:ascii="Arial" w:eastAsia="Calibri" w:hAnsi="Arial" w:cs="Arial"/>
        </w:rPr>
        <w:lastRenderedPageBreak/>
        <w:t>A hatékony frekvenciahasznosítás érdekében gondos tervezésre, széleskörű piaci igény felmérésre és konzultációra van szükség, továbbá az összes érintett beazonosítására, majd az érintettek véleményének, igényeinek megismerésére.</w:t>
      </w:r>
      <w:r>
        <w:rPr>
          <w:rFonts w:ascii="Arial" w:eastAsia="Calibri" w:hAnsi="Arial" w:cs="Arial"/>
        </w:rPr>
        <w:t xml:space="preserve"> </w:t>
      </w:r>
      <w:r w:rsidR="00F1262E" w:rsidRPr="00F1262E">
        <w:rPr>
          <w:rFonts w:ascii="Arial" w:eastAsia="Calibri" w:hAnsi="Arial" w:cs="Arial"/>
        </w:rPr>
        <w:t xml:space="preserve">Tekintettel kell lenni a piaci és </w:t>
      </w:r>
      <w:r w:rsidR="00A25F67">
        <w:rPr>
          <w:rFonts w:ascii="Arial" w:eastAsia="Calibri" w:hAnsi="Arial" w:cs="Arial"/>
        </w:rPr>
        <w:t xml:space="preserve">a </w:t>
      </w:r>
      <w:r w:rsidR="00F1262E" w:rsidRPr="00F1262E">
        <w:rPr>
          <w:rFonts w:ascii="Arial" w:eastAsia="Calibri" w:hAnsi="Arial" w:cs="Arial"/>
        </w:rPr>
        <w:t xml:space="preserve">nem polgári igényekre, kormányzati célokra, nemzetközi szervezetek döntéseire, vizsgálati eredményeire, céljaira. </w:t>
      </w:r>
      <w:r w:rsidR="00F126A8">
        <w:rPr>
          <w:rFonts w:ascii="Arial" w:eastAsia="Calibri" w:hAnsi="Arial" w:cs="Arial"/>
        </w:rPr>
        <w:t xml:space="preserve">Ezt szolgálja a 2022. március 22-ére meghirdetett nyilvános meghallgatás jelen előkészítő dokumentuma és az </w:t>
      </w:r>
      <w:r w:rsidR="00623F06">
        <w:rPr>
          <w:rFonts w:ascii="Arial" w:eastAsia="Calibri" w:hAnsi="Arial" w:cs="Arial"/>
        </w:rPr>
        <w:t xml:space="preserve">egyes </w:t>
      </w:r>
      <w:r w:rsidR="00F126A8">
        <w:rPr>
          <w:rFonts w:ascii="Arial" w:eastAsia="Calibri" w:hAnsi="Arial" w:cs="Arial"/>
        </w:rPr>
        <w:t>érintett frekvenciasávokról</w:t>
      </w:r>
      <w:r w:rsidR="00623F06">
        <w:rPr>
          <w:rFonts w:ascii="Arial" w:eastAsia="Calibri" w:hAnsi="Arial" w:cs="Arial"/>
        </w:rPr>
        <w:t xml:space="preserve"> (450 MHz-es, 700 MHz-es, 1500 MHz-es, 2300 MHz-es, 2600 MHz-es, 26 </w:t>
      </w:r>
      <w:proofErr w:type="spellStart"/>
      <w:r w:rsidR="00623F06">
        <w:rPr>
          <w:rFonts w:ascii="Arial" w:eastAsia="Calibri" w:hAnsi="Arial" w:cs="Arial"/>
        </w:rPr>
        <w:t>GHz</w:t>
      </w:r>
      <w:proofErr w:type="spellEnd"/>
      <w:r w:rsidR="00623F06">
        <w:rPr>
          <w:rFonts w:ascii="Arial" w:eastAsia="Calibri" w:hAnsi="Arial" w:cs="Arial"/>
        </w:rPr>
        <w:t xml:space="preserve">-es és 32 </w:t>
      </w:r>
      <w:proofErr w:type="spellStart"/>
      <w:r w:rsidR="00623F06">
        <w:rPr>
          <w:rFonts w:ascii="Arial" w:eastAsia="Calibri" w:hAnsi="Arial" w:cs="Arial"/>
        </w:rPr>
        <w:t>GHz</w:t>
      </w:r>
      <w:proofErr w:type="spellEnd"/>
      <w:r w:rsidR="00623F06">
        <w:rPr>
          <w:rFonts w:ascii="Arial" w:eastAsia="Calibri" w:hAnsi="Arial" w:cs="Arial"/>
        </w:rPr>
        <w:t>-es frekvenciasávok)</w:t>
      </w:r>
      <w:r w:rsidR="00F126A8">
        <w:rPr>
          <w:rFonts w:ascii="Arial" w:eastAsia="Calibri" w:hAnsi="Arial" w:cs="Arial"/>
        </w:rPr>
        <w:t xml:space="preserve"> készült részletes ismertetők. Jelen dokumentumban </w:t>
      </w:r>
      <w:r w:rsidR="000E0A73">
        <w:rPr>
          <w:rFonts w:ascii="Arial" w:eastAsia="Calibri" w:hAnsi="Arial" w:cs="Arial"/>
        </w:rPr>
        <w:t xml:space="preserve">szövegdobozokban </w:t>
      </w:r>
      <w:r w:rsidR="00F126A8">
        <w:rPr>
          <w:rFonts w:ascii="Arial" w:eastAsia="Calibri" w:hAnsi="Arial" w:cs="Arial"/>
        </w:rPr>
        <w:t xml:space="preserve">találhatók azok az állítások, kérdések, melyek kapcsán </w:t>
      </w:r>
      <w:r w:rsidR="000E0A73">
        <w:rPr>
          <w:rFonts w:ascii="Arial" w:eastAsia="Calibri" w:hAnsi="Arial" w:cs="Arial"/>
        </w:rPr>
        <w:t>az NMHH kéri, hogy</w:t>
      </w:r>
      <w:r w:rsidR="00F126A8">
        <w:rPr>
          <w:rFonts w:ascii="Arial" w:eastAsia="Calibri" w:hAnsi="Arial" w:cs="Arial"/>
        </w:rPr>
        <w:t xml:space="preserve"> az érdekeltek </w:t>
      </w:r>
      <w:proofErr w:type="spellStart"/>
      <w:r w:rsidR="00F126A8">
        <w:rPr>
          <w:rFonts w:ascii="Arial" w:eastAsia="Calibri" w:hAnsi="Arial" w:cs="Arial"/>
        </w:rPr>
        <w:t>fejtsék</w:t>
      </w:r>
      <w:proofErr w:type="spellEnd"/>
      <w:r w:rsidR="00F126A8">
        <w:rPr>
          <w:rFonts w:ascii="Arial" w:eastAsia="Calibri" w:hAnsi="Arial" w:cs="Arial"/>
        </w:rPr>
        <w:t xml:space="preserve"> ki véleményüket.</w:t>
      </w:r>
    </w:p>
    <w:p w14:paraId="6FA8D156" w14:textId="77777777" w:rsidR="00DE2988" w:rsidRDefault="00DE2988" w:rsidP="00F126A8">
      <w:pPr>
        <w:spacing w:before="120" w:line="259" w:lineRule="auto"/>
        <w:ind w:firstLine="360"/>
        <w:jc w:val="both"/>
        <w:rPr>
          <w:rFonts w:ascii="Arial" w:hAnsi="Arial" w:cs="Arial"/>
        </w:rPr>
      </w:pPr>
    </w:p>
    <w:p w14:paraId="2AC59A83" w14:textId="7855939A" w:rsidR="002E364A" w:rsidRPr="002E364A" w:rsidRDefault="0023547A" w:rsidP="00DE2988">
      <w:pPr>
        <w:pStyle w:val="Listaszerbekezds"/>
        <w:numPr>
          <w:ilvl w:val="0"/>
          <w:numId w:val="1"/>
        </w:numPr>
        <w:spacing w:before="240" w:after="360"/>
        <w:ind w:left="1077"/>
        <w:jc w:val="both"/>
        <w:rPr>
          <w:rFonts w:ascii="Arial" w:hAnsi="Arial" w:cs="Arial"/>
          <w:b/>
          <w:sz w:val="24"/>
        </w:rPr>
      </w:pPr>
      <w:r w:rsidRPr="00513CCB">
        <w:rPr>
          <w:rFonts w:ascii="Arial" w:hAnsi="Arial" w:cs="Arial"/>
          <w:b/>
          <w:sz w:val="24"/>
        </w:rPr>
        <w:t>Frekvenciasávok áttekintése</w:t>
      </w:r>
    </w:p>
    <w:p w14:paraId="3A5DD9C9" w14:textId="7D48CBD2" w:rsidR="004B7572" w:rsidRDefault="006D5268" w:rsidP="00DE2988">
      <w:pPr>
        <w:pStyle w:val="Listaszerbekezds"/>
        <w:numPr>
          <w:ilvl w:val="0"/>
          <w:numId w:val="10"/>
        </w:numPr>
        <w:spacing w:before="360" w:after="240"/>
        <w:ind w:left="714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Szélessávú</w:t>
      </w:r>
      <w:r w:rsidR="00453105" w:rsidRPr="002E364A">
        <w:rPr>
          <w:rFonts w:ascii="Arial" w:hAnsi="Arial" w:cs="Arial"/>
          <w:b/>
          <w:i/>
        </w:rPr>
        <w:t xml:space="preserve"> PPDR-</w:t>
      </w:r>
      <w:proofErr w:type="spellStart"/>
      <w:r w:rsidR="00453105" w:rsidRPr="002E364A">
        <w:rPr>
          <w:rFonts w:ascii="Arial" w:hAnsi="Arial" w:cs="Arial"/>
          <w:b/>
          <w:i/>
        </w:rPr>
        <w:t>ra</w:t>
      </w:r>
      <w:proofErr w:type="spellEnd"/>
      <w:r w:rsidR="00453105" w:rsidRPr="002E364A">
        <w:rPr>
          <w:rFonts w:ascii="Arial" w:hAnsi="Arial" w:cs="Arial"/>
          <w:b/>
          <w:i/>
        </w:rPr>
        <w:t xml:space="preserve"> alkalmas </w:t>
      </w:r>
      <w:r w:rsidR="000F7F29">
        <w:rPr>
          <w:rFonts w:ascii="Arial" w:hAnsi="Arial" w:cs="Arial"/>
          <w:b/>
          <w:i/>
        </w:rPr>
        <w:t xml:space="preserve">1 </w:t>
      </w:r>
      <w:proofErr w:type="spellStart"/>
      <w:r w:rsidR="000F7F29">
        <w:rPr>
          <w:rFonts w:ascii="Arial" w:hAnsi="Arial" w:cs="Arial"/>
          <w:b/>
          <w:i/>
        </w:rPr>
        <w:t>GHz</w:t>
      </w:r>
      <w:proofErr w:type="spellEnd"/>
      <w:r w:rsidR="000F7F29">
        <w:rPr>
          <w:rFonts w:ascii="Arial" w:hAnsi="Arial" w:cs="Arial"/>
          <w:b/>
          <w:i/>
        </w:rPr>
        <w:t xml:space="preserve"> alatti </w:t>
      </w:r>
      <w:r w:rsidR="00453105" w:rsidRPr="002E364A">
        <w:rPr>
          <w:rFonts w:ascii="Arial" w:hAnsi="Arial" w:cs="Arial"/>
          <w:b/>
          <w:i/>
        </w:rPr>
        <w:t>frekvenciasávok</w:t>
      </w:r>
      <w:r w:rsidR="000F7F29">
        <w:rPr>
          <w:rFonts w:ascii="Arial" w:hAnsi="Arial" w:cs="Arial"/>
          <w:b/>
          <w:i/>
        </w:rPr>
        <w:t xml:space="preserve"> </w:t>
      </w:r>
    </w:p>
    <w:p w14:paraId="2C4C01FB" w14:textId="192557C6" w:rsidR="00B5011D" w:rsidRPr="000F7F29" w:rsidRDefault="00B5011D" w:rsidP="000F7F29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 xml:space="preserve">A szélessávú technológiák fejlődésével párhuzamosan egyre nagyobb hangsúlyt kapnak a biztonsági és a készenléti szolgálatok együttműködését támogató szélessávú rendszerek is (lásd természeti katasztrófák, migráns válság, terrortámadások, stb.). Ma már az is elvárás, hogy ne csak </w:t>
      </w:r>
      <w:r w:rsidR="006B0EC5" w:rsidRPr="006B0EC5">
        <w:rPr>
          <w:rFonts w:ascii="Arial" w:hAnsi="Arial" w:cs="Arial"/>
          <w:sz w:val="22"/>
          <w:szCs w:val="22"/>
        </w:rPr>
        <w:t xml:space="preserve">hanghívást tegyenek lehetővé a rendszerek </w:t>
      </w:r>
      <w:r w:rsidRPr="000F7F29">
        <w:rPr>
          <w:rFonts w:ascii="Arial" w:hAnsi="Arial" w:cs="Arial"/>
          <w:sz w:val="22"/>
          <w:szCs w:val="22"/>
        </w:rPr>
        <w:t xml:space="preserve">(jelenlegi magyar megoldás: TETRA), hanem, a helyzetről kép és videofelvételek segítségével is lehessen tájékozódni a készenléti szolgálatok távoli irányítási központjaiban. Jelenleg a keskenysávú TETRA hálózat kezeli a hanghívásokat. A </w:t>
      </w:r>
      <w:r w:rsidR="000F7F29" w:rsidRPr="000F7F29">
        <w:rPr>
          <w:rFonts w:ascii="Arial" w:hAnsi="Arial" w:cs="Arial"/>
          <w:sz w:val="22"/>
          <w:szCs w:val="22"/>
        </w:rPr>
        <w:t>közrendvédelmi és katasztrófavédelmi (PPDR</w:t>
      </w:r>
      <w:r w:rsidR="000F7F29" w:rsidRPr="000F7F29">
        <w:rPr>
          <w:rFonts w:ascii="Arial" w:hAnsi="Arial" w:cs="Arial"/>
          <w:sz w:val="22"/>
          <w:szCs w:val="22"/>
          <w:vertAlign w:val="superscript"/>
        </w:rPr>
        <w:footnoteReference w:id="6"/>
      </w:r>
      <w:r w:rsidR="000F7F29" w:rsidRPr="000F7F29">
        <w:rPr>
          <w:rFonts w:ascii="Arial" w:hAnsi="Arial" w:cs="Arial"/>
          <w:sz w:val="22"/>
          <w:szCs w:val="22"/>
        </w:rPr>
        <w:t>) rendszer</w:t>
      </w:r>
      <w:r w:rsidR="00764854">
        <w:rPr>
          <w:rFonts w:ascii="Arial" w:hAnsi="Arial" w:cs="Arial"/>
          <w:sz w:val="22"/>
          <w:szCs w:val="22"/>
        </w:rPr>
        <w:t>ek</w:t>
      </w:r>
      <w:r w:rsidR="000F7F29" w:rsidRPr="000F7F29">
        <w:rPr>
          <w:rFonts w:ascii="Arial" w:hAnsi="Arial" w:cs="Arial"/>
          <w:sz w:val="22"/>
          <w:szCs w:val="22"/>
        </w:rPr>
        <w:t xml:space="preserve"> </w:t>
      </w:r>
      <w:r w:rsidRPr="000F7F29">
        <w:rPr>
          <w:rFonts w:ascii="Arial" w:hAnsi="Arial" w:cs="Arial"/>
          <w:sz w:val="22"/>
          <w:szCs w:val="22"/>
        </w:rPr>
        <w:t xml:space="preserve">folyamatos, valamint veszély- és katasztrófahelyzetek esetén megnövekedő kapacitás igényének kielégítésére nélkülözhetetlen a megfelelő </w:t>
      </w:r>
      <w:r w:rsidR="00764854">
        <w:rPr>
          <w:rFonts w:ascii="Arial" w:hAnsi="Arial" w:cs="Arial"/>
          <w:sz w:val="22"/>
          <w:szCs w:val="22"/>
        </w:rPr>
        <w:t>rádió</w:t>
      </w:r>
      <w:r w:rsidRPr="000F7F29">
        <w:rPr>
          <w:rFonts w:ascii="Arial" w:hAnsi="Arial" w:cs="Arial"/>
          <w:sz w:val="22"/>
          <w:szCs w:val="22"/>
        </w:rPr>
        <w:t xml:space="preserve">spektrum </w:t>
      </w:r>
      <w:r w:rsidR="000F7F29" w:rsidRPr="000F7F29">
        <w:rPr>
          <w:rFonts w:ascii="Arial" w:hAnsi="Arial" w:cs="Arial"/>
          <w:sz w:val="22"/>
          <w:szCs w:val="22"/>
        </w:rPr>
        <w:t>biztosítása</w:t>
      </w:r>
      <w:r w:rsidRPr="000F7F29">
        <w:rPr>
          <w:rFonts w:ascii="Arial" w:hAnsi="Arial" w:cs="Arial"/>
          <w:sz w:val="22"/>
          <w:szCs w:val="22"/>
        </w:rPr>
        <w:t xml:space="preserve">. A nemzetközi vizsgálatok alapján </w:t>
      </w:r>
      <w:r w:rsidR="00764854">
        <w:rPr>
          <w:rFonts w:ascii="Arial" w:hAnsi="Arial" w:cs="Arial"/>
          <w:sz w:val="22"/>
          <w:szCs w:val="22"/>
        </w:rPr>
        <w:t>rádióspektrum-</w:t>
      </w:r>
      <w:r w:rsidR="00AF115C">
        <w:rPr>
          <w:rFonts w:ascii="Arial" w:hAnsi="Arial" w:cs="Arial"/>
          <w:sz w:val="22"/>
          <w:szCs w:val="22"/>
        </w:rPr>
        <w:t xml:space="preserve">gazdálkodási szempontból 1 </w:t>
      </w:r>
      <w:proofErr w:type="spellStart"/>
      <w:r w:rsidR="00AF115C">
        <w:rPr>
          <w:rFonts w:ascii="Arial" w:hAnsi="Arial" w:cs="Arial"/>
          <w:sz w:val="22"/>
          <w:szCs w:val="22"/>
        </w:rPr>
        <w:t>GHz</w:t>
      </w:r>
      <w:proofErr w:type="spellEnd"/>
      <w:r w:rsidR="00AF115C">
        <w:rPr>
          <w:rFonts w:ascii="Arial" w:hAnsi="Arial" w:cs="Arial"/>
          <w:sz w:val="22"/>
          <w:szCs w:val="22"/>
        </w:rPr>
        <w:t xml:space="preserve"> alatt </w:t>
      </w:r>
      <w:r w:rsidRPr="000F7F29">
        <w:rPr>
          <w:rFonts w:ascii="Arial" w:hAnsi="Arial" w:cs="Arial"/>
          <w:sz w:val="22"/>
          <w:szCs w:val="22"/>
        </w:rPr>
        <w:t>leginkább a 400</w:t>
      </w:r>
      <w:r w:rsidR="00E474AD">
        <w:rPr>
          <w:rFonts w:ascii="Arial" w:hAnsi="Arial" w:cs="Arial"/>
          <w:sz w:val="22"/>
          <w:szCs w:val="22"/>
        </w:rPr>
        <w:t> </w:t>
      </w:r>
      <w:r w:rsidRPr="000F7F29">
        <w:rPr>
          <w:rFonts w:ascii="Arial" w:hAnsi="Arial" w:cs="Arial"/>
          <w:sz w:val="22"/>
          <w:szCs w:val="22"/>
        </w:rPr>
        <w:t>MHz</w:t>
      </w:r>
      <w:r w:rsidR="000F7F29" w:rsidRPr="000F7F29">
        <w:rPr>
          <w:rFonts w:ascii="Arial" w:hAnsi="Arial" w:cs="Arial"/>
          <w:sz w:val="22"/>
          <w:szCs w:val="22"/>
        </w:rPr>
        <w:t>-es</w:t>
      </w:r>
      <w:r w:rsidRPr="000F7F29">
        <w:rPr>
          <w:rFonts w:ascii="Arial" w:hAnsi="Arial" w:cs="Arial"/>
          <w:sz w:val="22"/>
          <w:szCs w:val="22"/>
        </w:rPr>
        <w:t xml:space="preserve"> </w:t>
      </w:r>
      <w:r w:rsidR="000F7F29" w:rsidRPr="000F7F29">
        <w:rPr>
          <w:rFonts w:ascii="Arial" w:hAnsi="Arial" w:cs="Arial"/>
          <w:sz w:val="22"/>
          <w:szCs w:val="22"/>
        </w:rPr>
        <w:t>és a 700 MHz-es frekvencia</w:t>
      </w:r>
      <w:r w:rsidRPr="000F7F29">
        <w:rPr>
          <w:rFonts w:ascii="Arial" w:hAnsi="Arial" w:cs="Arial"/>
          <w:sz w:val="22"/>
          <w:szCs w:val="22"/>
        </w:rPr>
        <w:t xml:space="preserve">sáv </w:t>
      </w:r>
      <w:r w:rsidR="00AF115C">
        <w:rPr>
          <w:rFonts w:ascii="Arial" w:hAnsi="Arial" w:cs="Arial"/>
          <w:sz w:val="22"/>
          <w:szCs w:val="22"/>
        </w:rPr>
        <w:t>felel meg</w:t>
      </w:r>
      <w:r w:rsidR="000F7F29" w:rsidRPr="000F7F29">
        <w:rPr>
          <w:rFonts w:ascii="Arial" w:hAnsi="Arial" w:cs="Arial"/>
          <w:sz w:val="22"/>
          <w:szCs w:val="22"/>
        </w:rPr>
        <w:t>.</w:t>
      </w:r>
      <w:r w:rsidRPr="000F7F29">
        <w:rPr>
          <w:rFonts w:ascii="Arial" w:hAnsi="Arial" w:cs="Arial"/>
          <w:sz w:val="22"/>
          <w:szCs w:val="22"/>
        </w:rPr>
        <w:t xml:space="preserve"> </w:t>
      </w:r>
      <w:r w:rsidR="000F7F29" w:rsidRPr="000F7F29">
        <w:rPr>
          <w:rFonts w:ascii="Arial" w:hAnsi="Arial" w:cs="Arial"/>
          <w:sz w:val="22"/>
          <w:szCs w:val="22"/>
        </w:rPr>
        <w:t>A nemzetközi dokumentumok</w:t>
      </w:r>
      <w:r w:rsidRPr="000F7F29">
        <w:rPr>
          <w:rFonts w:ascii="Arial" w:hAnsi="Arial" w:cs="Arial"/>
          <w:sz w:val="22"/>
          <w:szCs w:val="22"/>
        </w:rPr>
        <w:t xml:space="preserve"> többek között arra is rámutattak, hogy a nemzeti igények és megoldások eltérőek lehetnek. </w:t>
      </w:r>
    </w:p>
    <w:p w14:paraId="18803504" w14:textId="79CA66CD" w:rsidR="00B5011D" w:rsidRPr="000F7F29" w:rsidRDefault="00B5011D" w:rsidP="00AF115C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 xml:space="preserve">A 4G szélessávú vezetéknélküli rendszerek már </w:t>
      </w:r>
      <w:r w:rsidR="00AF115C">
        <w:rPr>
          <w:rFonts w:ascii="Arial" w:hAnsi="Arial" w:cs="Arial"/>
          <w:sz w:val="22"/>
          <w:szCs w:val="22"/>
        </w:rPr>
        <w:t>léteznek</w:t>
      </w:r>
      <w:r w:rsidRPr="000F7F29">
        <w:rPr>
          <w:rFonts w:ascii="Arial" w:hAnsi="Arial" w:cs="Arial"/>
          <w:sz w:val="22"/>
          <w:szCs w:val="22"/>
        </w:rPr>
        <w:t xml:space="preserve"> és folyamatban van </w:t>
      </w:r>
      <w:r w:rsidR="00AF115C">
        <w:rPr>
          <w:rFonts w:ascii="Arial" w:hAnsi="Arial" w:cs="Arial"/>
          <w:sz w:val="22"/>
          <w:szCs w:val="22"/>
        </w:rPr>
        <w:t>a</w:t>
      </w:r>
      <w:r w:rsidRPr="000F7F29">
        <w:rPr>
          <w:rFonts w:ascii="Arial" w:hAnsi="Arial" w:cs="Arial"/>
          <w:sz w:val="22"/>
          <w:szCs w:val="22"/>
        </w:rPr>
        <w:t xml:space="preserve"> rendszerek továbbfejlesztése annak érdekében, hogy a készenléti szolgálatok magasabb elvárásainak (rendelkezésre állás, megbízhatóság, csoporthívás, stb</w:t>
      </w:r>
      <w:r w:rsidR="00DD543D">
        <w:rPr>
          <w:rFonts w:ascii="Arial" w:hAnsi="Arial" w:cs="Arial"/>
          <w:sz w:val="22"/>
          <w:szCs w:val="22"/>
        </w:rPr>
        <w:t>.</w:t>
      </w:r>
      <w:r w:rsidRPr="000F7F29">
        <w:rPr>
          <w:rFonts w:ascii="Arial" w:hAnsi="Arial" w:cs="Arial"/>
          <w:sz w:val="22"/>
          <w:szCs w:val="22"/>
        </w:rPr>
        <w:t>) is megfeleljen</w:t>
      </w:r>
      <w:r w:rsidR="00AF115C">
        <w:rPr>
          <w:rFonts w:ascii="Arial" w:hAnsi="Arial" w:cs="Arial"/>
          <w:sz w:val="22"/>
          <w:szCs w:val="22"/>
        </w:rPr>
        <w:t>ek</w:t>
      </w:r>
      <w:r w:rsidRPr="000F7F29">
        <w:rPr>
          <w:rFonts w:ascii="Arial" w:hAnsi="Arial" w:cs="Arial"/>
          <w:sz w:val="22"/>
          <w:szCs w:val="22"/>
        </w:rPr>
        <w:t>. Ezek lesznek a jövő szélessávú PPDR rendszerei (</w:t>
      </w:r>
      <w:r w:rsidR="000F7F29" w:rsidRPr="000F7F29">
        <w:rPr>
          <w:rFonts w:ascii="Arial" w:hAnsi="Arial" w:cs="Arial"/>
          <w:sz w:val="22"/>
          <w:szCs w:val="22"/>
          <w:lang w:val="en-GB"/>
        </w:rPr>
        <w:t>Broad Band</w:t>
      </w:r>
      <w:r w:rsidR="000F7F29" w:rsidRPr="000F7F29">
        <w:rPr>
          <w:rFonts w:ascii="Arial" w:hAnsi="Arial" w:cs="Arial"/>
          <w:sz w:val="22"/>
          <w:szCs w:val="22"/>
        </w:rPr>
        <w:t xml:space="preserve">, azaz </w:t>
      </w:r>
      <w:r w:rsidRPr="000F7F29">
        <w:rPr>
          <w:rFonts w:ascii="Arial" w:hAnsi="Arial" w:cs="Arial"/>
          <w:sz w:val="22"/>
          <w:szCs w:val="22"/>
        </w:rPr>
        <w:t xml:space="preserve">BB PPDR). </w:t>
      </w:r>
    </w:p>
    <w:p w14:paraId="097E9FEA" w14:textId="3A561F39" w:rsidR="00B5011D" w:rsidRPr="000F7F29" w:rsidRDefault="00B5011D" w:rsidP="000F7F29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 xml:space="preserve">A </w:t>
      </w:r>
      <w:r w:rsidR="00AF115C">
        <w:rPr>
          <w:rFonts w:ascii="Arial" w:hAnsi="Arial" w:cs="Arial"/>
          <w:sz w:val="22"/>
          <w:szCs w:val="22"/>
        </w:rPr>
        <w:t>rádióspektrum</w:t>
      </w:r>
      <w:r w:rsidRPr="000F7F29">
        <w:rPr>
          <w:rFonts w:ascii="Arial" w:hAnsi="Arial" w:cs="Arial"/>
          <w:sz w:val="22"/>
          <w:szCs w:val="22"/>
        </w:rPr>
        <w:t>gazdálkodás</w:t>
      </w:r>
      <w:r w:rsidR="00AF115C">
        <w:rPr>
          <w:rFonts w:ascii="Arial" w:hAnsi="Arial" w:cs="Arial"/>
          <w:sz w:val="22"/>
          <w:szCs w:val="22"/>
        </w:rPr>
        <w:t>ért felelős nemzetközi szervezetek</w:t>
      </w:r>
      <w:r w:rsidRPr="000F7F29">
        <w:rPr>
          <w:rFonts w:ascii="Arial" w:hAnsi="Arial" w:cs="Arial"/>
          <w:sz w:val="22"/>
          <w:szCs w:val="22"/>
        </w:rPr>
        <w:t xml:space="preserve"> (ITU, CEPT) és a felhasználók (EU LEWP, stb</w:t>
      </w:r>
      <w:r w:rsidR="00DD543D">
        <w:rPr>
          <w:rFonts w:ascii="Arial" w:hAnsi="Arial" w:cs="Arial"/>
          <w:sz w:val="22"/>
          <w:szCs w:val="22"/>
        </w:rPr>
        <w:t>.</w:t>
      </w:r>
      <w:r w:rsidRPr="000F7F29">
        <w:rPr>
          <w:rFonts w:ascii="Arial" w:hAnsi="Arial" w:cs="Arial"/>
          <w:sz w:val="22"/>
          <w:szCs w:val="22"/>
        </w:rPr>
        <w:t xml:space="preserve">) különböző fórumai az utóbbi években több tanulmányt, ajánlást </w:t>
      </w:r>
      <w:r w:rsidR="00AF115C">
        <w:rPr>
          <w:rFonts w:ascii="Arial" w:hAnsi="Arial" w:cs="Arial"/>
          <w:sz w:val="22"/>
          <w:szCs w:val="22"/>
        </w:rPr>
        <w:t xml:space="preserve">alkottak </w:t>
      </w:r>
      <w:r w:rsidRPr="000F7F29">
        <w:rPr>
          <w:rFonts w:ascii="Arial" w:hAnsi="Arial" w:cs="Arial"/>
          <w:sz w:val="22"/>
          <w:szCs w:val="22"/>
        </w:rPr>
        <w:t>és állásfoglalást tettek</w:t>
      </w:r>
      <w:r w:rsidR="00CB2CA0">
        <w:rPr>
          <w:rFonts w:ascii="Arial" w:hAnsi="Arial" w:cs="Arial"/>
          <w:sz w:val="22"/>
          <w:szCs w:val="22"/>
        </w:rPr>
        <w:t xml:space="preserve"> a szélessávú PPDR megvalósításával, harmonizációjával összefüggésben</w:t>
      </w:r>
      <w:r w:rsidR="00AF115C">
        <w:rPr>
          <w:rFonts w:ascii="Arial" w:hAnsi="Arial" w:cs="Arial"/>
          <w:sz w:val="22"/>
          <w:szCs w:val="22"/>
        </w:rPr>
        <w:t>.</w:t>
      </w:r>
      <w:r w:rsidRPr="000F7F29">
        <w:rPr>
          <w:rFonts w:ascii="Arial" w:hAnsi="Arial" w:cs="Arial"/>
          <w:sz w:val="22"/>
          <w:szCs w:val="22"/>
        </w:rPr>
        <w:t xml:space="preserve"> </w:t>
      </w:r>
    </w:p>
    <w:p w14:paraId="59C99618" w14:textId="3B22FD60" w:rsidR="00B5011D" w:rsidRPr="000F7F29" w:rsidRDefault="00B5011D" w:rsidP="00AA0E94">
      <w:pPr>
        <w:pStyle w:val="Behzottbekezdsnmhh"/>
        <w:spacing w:after="240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>A</w:t>
      </w:r>
      <w:r w:rsidR="00CB2CA0">
        <w:rPr>
          <w:rFonts w:ascii="Arial" w:hAnsi="Arial" w:cs="Arial"/>
          <w:sz w:val="22"/>
          <w:szCs w:val="22"/>
        </w:rPr>
        <w:t xml:space="preserve"> nemzetközi dokumentumok közül relevanciájában kiemelkedik a</w:t>
      </w:r>
      <w:r w:rsidRPr="000F7F29">
        <w:rPr>
          <w:rFonts w:ascii="Arial" w:hAnsi="Arial" w:cs="Arial"/>
          <w:sz w:val="22"/>
          <w:szCs w:val="22"/>
        </w:rPr>
        <w:t xml:space="preserve"> szélessávú PPDR rendszerekre vonatkozó </w:t>
      </w:r>
      <w:r w:rsidR="00AF115C">
        <w:rPr>
          <w:rFonts w:ascii="Arial" w:hAnsi="Arial" w:cs="Arial"/>
          <w:sz w:val="22"/>
          <w:szCs w:val="22"/>
        </w:rPr>
        <w:t>végfel</w:t>
      </w:r>
      <w:r w:rsidRPr="000F7F29">
        <w:rPr>
          <w:rFonts w:ascii="Arial" w:hAnsi="Arial" w:cs="Arial"/>
          <w:sz w:val="22"/>
          <w:szCs w:val="22"/>
        </w:rPr>
        <w:t xml:space="preserve">használói igények felmérésének eredményeit és az ez alapján végzett spektrumigény vizsgálat eredményeit </w:t>
      </w:r>
      <w:r w:rsidR="00CB2CA0" w:rsidRPr="000F7F29">
        <w:rPr>
          <w:rFonts w:ascii="Arial" w:hAnsi="Arial" w:cs="Arial"/>
          <w:sz w:val="22"/>
          <w:szCs w:val="22"/>
        </w:rPr>
        <w:t>tartalmaz</w:t>
      </w:r>
      <w:r w:rsidR="00CB2CA0">
        <w:rPr>
          <w:rFonts w:ascii="Arial" w:hAnsi="Arial" w:cs="Arial"/>
          <w:sz w:val="22"/>
          <w:szCs w:val="22"/>
        </w:rPr>
        <w:t>ó,</w:t>
      </w:r>
      <w:r w:rsidR="00CB2CA0" w:rsidRPr="000F7F29">
        <w:rPr>
          <w:rFonts w:ascii="Arial" w:hAnsi="Arial" w:cs="Arial"/>
          <w:sz w:val="22"/>
          <w:szCs w:val="22"/>
        </w:rPr>
        <w:t xml:space="preserve"> </w:t>
      </w:r>
      <w:r w:rsidRPr="000F7F29">
        <w:rPr>
          <w:rFonts w:ascii="Arial" w:hAnsi="Arial" w:cs="Arial"/>
          <w:sz w:val="22"/>
          <w:szCs w:val="22"/>
        </w:rPr>
        <w:t xml:space="preserve">2014-ben elfogadott 199. számú CEPT Jelentés. A jelentés megállapítja, hogy 2x10 MHz </w:t>
      </w:r>
      <w:r w:rsidR="00AF115C">
        <w:rPr>
          <w:rFonts w:ascii="Arial" w:hAnsi="Arial" w:cs="Arial"/>
          <w:sz w:val="22"/>
          <w:szCs w:val="22"/>
        </w:rPr>
        <w:t>rádió</w:t>
      </w:r>
      <w:r w:rsidRPr="000F7F29">
        <w:rPr>
          <w:rFonts w:ascii="Arial" w:hAnsi="Arial" w:cs="Arial"/>
          <w:sz w:val="22"/>
          <w:szCs w:val="22"/>
        </w:rPr>
        <w:t xml:space="preserve">spektrumot kellene kijelölni </w:t>
      </w:r>
      <w:r w:rsidR="00733621">
        <w:rPr>
          <w:rFonts w:ascii="Arial" w:hAnsi="Arial" w:cs="Arial"/>
          <w:sz w:val="22"/>
          <w:szCs w:val="22"/>
        </w:rPr>
        <w:t>szélessávú</w:t>
      </w:r>
      <w:r w:rsidRPr="000F7F29">
        <w:rPr>
          <w:rFonts w:ascii="Arial" w:hAnsi="Arial" w:cs="Arial"/>
          <w:sz w:val="22"/>
          <w:szCs w:val="22"/>
        </w:rPr>
        <w:t xml:space="preserve"> PPDR célra. A jelentés azt is megerősíti egyben, hogy a nemzeti igények ettől eltérhetnek. A CEPT </w:t>
      </w:r>
      <w:r w:rsidR="00AF115C">
        <w:rPr>
          <w:rFonts w:ascii="Arial" w:hAnsi="Arial" w:cs="Arial"/>
          <w:sz w:val="22"/>
          <w:szCs w:val="22"/>
        </w:rPr>
        <w:t>szintű harmonizált műszaki feltételeket ECC/DEC/(16</w:t>
      </w:r>
      <w:proofErr w:type="gramStart"/>
      <w:r w:rsidR="00AF115C">
        <w:rPr>
          <w:rFonts w:ascii="Arial" w:hAnsi="Arial" w:cs="Arial"/>
          <w:sz w:val="22"/>
          <w:szCs w:val="22"/>
        </w:rPr>
        <w:t>)02</w:t>
      </w:r>
      <w:proofErr w:type="gramEnd"/>
      <w:r w:rsidR="00AF115C">
        <w:rPr>
          <w:rFonts w:ascii="Arial" w:hAnsi="Arial" w:cs="Arial"/>
          <w:sz w:val="22"/>
          <w:szCs w:val="22"/>
        </w:rPr>
        <w:t xml:space="preserve"> számú </w:t>
      </w:r>
      <w:r w:rsidR="00AF115C" w:rsidRPr="00AF115C">
        <w:rPr>
          <w:rFonts w:ascii="Arial" w:hAnsi="Arial" w:cs="Arial"/>
          <w:sz w:val="22"/>
          <w:szCs w:val="22"/>
        </w:rPr>
        <w:lastRenderedPageBreak/>
        <w:t>Határozat</w:t>
      </w:r>
      <w:r w:rsidR="001E6F89">
        <w:rPr>
          <w:rStyle w:val="Lbjegyzet-hivatkozs"/>
          <w:rFonts w:ascii="Arial" w:hAnsi="Arial" w:cs="Arial"/>
          <w:sz w:val="22"/>
          <w:szCs w:val="22"/>
        </w:rPr>
        <w:footnoteReference w:id="7"/>
      </w:r>
      <w:r w:rsidR="00AF115C">
        <w:rPr>
          <w:rFonts w:ascii="Arial" w:hAnsi="Arial" w:cs="Arial"/>
          <w:sz w:val="22"/>
          <w:szCs w:val="22"/>
        </w:rPr>
        <w:t xml:space="preserve"> rögzíti</w:t>
      </w:r>
      <w:r w:rsidR="00527981">
        <w:rPr>
          <w:rFonts w:ascii="Arial" w:hAnsi="Arial" w:cs="Arial"/>
          <w:sz w:val="22"/>
          <w:szCs w:val="22"/>
        </w:rPr>
        <w:t xml:space="preserve">. </w:t>
      </w:r>
      <w:r w:rsidR="0091783F">
        <w:rPr>
          <w:rFonts w:ascii="Arial" w:hAnsi="Arial" w:cs="Arial"/>
          <w:sz w:val="22"/>
          <w:szCs w:val="22"/>
        </w:rPr>
        <w:t>A</w:t>
      </w:r>
      <w:r w:rsidR="0091783F" w:rsidRPr="000F7F29">
        <w:rPr>
          <w:rFonts w:ascii="Arial" w:hAnsi="Arial" w:cs="Arial"/>
          <w:sz w:val="22"/>
          <w:szCs w:val="22"/>
        </w:rPr>
        <w:t xml:space="preserve"> harmonizált </w:t>
      </w:r>
      <w:r w:rsidR="0091783F">
        <w:rPr>
          <w:rFonts w:ascii="Arial" w:hAnsi="Arial" w:cs="Arial"/>
          <w:sz w:val="22"/>
          <w:szCs w:val="22"/>
        </w:rPr>
        <w:t>szélessávú</w:t>
      </w:r>
      <w:r w:rsidR="0091783F" w:rsidRPr="000F7F29">
        <w:rPr>
          <w:rFonts w:ascii="Arial" w:hAnsi="Arial" w:cs="Arial"/>
          <w:sz w:val="22"/>
          <w:szCs w:val="22"/>
        </w:rPr>
        <w:t xml:space="preserve"> PPDR frekvenciahasználatra a 700 MHz</w:t>
      </w:r>
      <w:r w:rsidR="0091783F">
        <w:rPr>
          <w:rFonts w:ascii="Arial" w:hAnsi="Arial" w:cs="Arial"/>
          <w:sz w:val="22"/>
          <w:szCs w:val="22"/>
        </w:rPr>
        <w:t>-es</w:t>
      </w:r>
      <w:r w:rsidR="0091783F" w:rsidRPr="000F7F29">
        <w:rPr>
          <w:rFonts w:ascii="Arial" w:hAnsi="Arial" w:cs="Arial"/>
          <w:sz w:val="22"/>
          <w:szCs w:val="22"/>
        </w:rPr>
        <w:t xml:space="preserve"> sáv mellett a 450-470 MHz sávot</w:t>
      </w:r>
      <w:r w:rsidR="0091783F">
        <w:rPr>
          <w:rFonts w:ascii="Arial" w:hAnsi="Arial" w:cs="Arial"/>
          <w:sz w:val="22"/>
          <w:szCs w:val="22"/>
        </w:rPr>
        <w:t>, valamint a</w:t>
      </w:r>
      <w:r w:rsidR="0091783F" w:rsidRPr="000F7F29">
        <w:rPr>
          <w:rFonts w:ascii="Arial" w:hAnsi="Arial" w:cs="Arial"/>
          <w:sz w:val="22"/>
          <w:szCs w:val="22"/>
        </w:rPr>
        <w:t xml:space="preserve"> 410-430 MHz sávot </w:t>
      </w:r>
      <w:r w:rsidR="0091783F">
        <w:rPr>
          <w:rFonts w:ascii="Arial" w:hAnsi="Arial" w:cs="Arial"/>
          <w:sz w:val="22"/>
          <w:szCs w:val="22"/>
        </w:rPr>
        <w:t xml:space="preserve">is kijelöli. </w:t>
      </w:r>
      <w:r w:rsidRPr="000F7F29">
        <w:rPr>
          <w:rFonts w:ascii="Arial" w:hAnsi="Arial" w:cs="Arial"/>
          <w:sz w:val="22"/>
          <w:szCs w:val="22"/>
        </w:rPr>
        <w:t xml:space="preserve"> </w:t>
      </w:r>
    </w:p>
    <w:p w14:paraId="571F7C52" w14:textId="374A8B34" w:rsidR="00320039" w:rsidRPr="00E474AD" w:rsidRDefault="00320039" w:rsidP="00320039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E474AD">
        <w:rPr>
          <w:rFonts w:ascii="Arial" w:hAnsi="Arial" w:cs="Arial"/>
          <w:b/>
        </w:rPr>
        <w:t>450-470 MHz frekvenciasáv</w:t>
      </w:r>
    </w:p>
    <w:p w14:paraId="184BEE81" w14:textId="77777777" w:rsidR="00320039" w:rsidRPr="000F7F29" w:rsidRDefault="00320039" w:rsidP="00320039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 xml:space="preserve">Magyarországon a 450-470 MHz frekvenciasávban (a továbbiakban: 450 MHz-es frekvenciasáv) szélessávú mobil rendszer, valamint analóg és digitális keskenysávú Professzionális/Magán mozgórádió (PMR) rendszerek üzemelnek. </w:t>
      </w:r>
    </w:p>
    <w:p w14:paraId="3409871B" w14:textId="1583C9E1" w:rsidR="00320039" w:rsidRPr="000F7F29" w:rsidRDefault="00320039" w:rsidP="00320039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>A 450 MHz-es frekvenciasávon belül szélessávú mobil rendszerekre kijelölt 450-457,38/460-467,38 MHz frekvenciasávrészben a 2014-ben lefolytatott pályázat során az MVM Net Zrt.</w:t>
      </w:r>
      <w:r w:rsidR="00733621">
        <w:rPr>
          <w:rStyle w:val="Lbjegyzet-hivatkozs"/>
          <w:rFonts w:ascii="Arial" w:hAnsi="Arial" w:cs="Arial"/>
          <w:sz w:val="22"/>
          <w:szCs w:val="22"/>
        </w:rPr>
        <w:footnoteReference w:id="8"/>
      </w:r>
      <w:r w:rsidRPr="000F7F29">
        <w:rPr>
          <w:rFonts w:ascii="Arial" w:hAnsi="Arial" w:cs="Arial"/>
          <w:sz w:val="22"/>
          <w:szCs w:val="22"/>
        </w:rPr>
        <w:t xml:space="preserve"> szerzett rádióspektrum-használati jogosultságot 10 évre. Az MVM Net Zrt. jogosultsága 2024. április 30-án jár le. A frekvenciasáv lejáratot követő időszakra vonatkozó használatáról a szabályozó megújult szabályozási környezetben, új elvek, új eljárási szabályok mentén kell, hogy döntsön, köszönhetően az Európai Elektronikus Hírközlési Kódex (a továbbiakban: Kódex) hazai jogrendbe ültetésének. </w:t>
      </w:r>
    </w:p>
    <w:p w14:paraId="6C90F225" w14:textId="77777777" w:rsidR="00320039" w:rsidRPr="000F7F29" w:rsidRDefault="00320039" w:rsidP="00320039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 xml:space="preserve">Az alapelv, az alapvető cél, miszerint gondoskodni kell a szakszerű és hatékony rádióspektrum használatról nem változott. A megújítás új, feszes menetrendet, formalizált versenyhatás vizsgálati rendszert hozott a rádióspektrum-gazdálkodás területén. Ha a rádióspektrum-használati jogosultság szerzésekor a megújítás lehetősége nem volt kizárva, lehetőség van versenyeztetési eljárás lefolytatása nélkül ismételt jogosultság szerzésre. </w:t>
      </w:r>
    </w:p>
    <w:p w14:paraId="0FA65F65" w14:textId="4EB1705C" w:rsidR="00320039" w:rsidRPr="000F7F29" w:rsidRDefault="00320039" w:rsidP="00320039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 xml:space="preserve">A lejáró jogosultság megújítása iránt határidőben kérelem érkezett az </w:t>
      </w:r>
      <w:r w:rsidR="002C2BCE" w:rsidRPr="002C2BCE">
        <w:rPr>
          <w:rFonts w:ascii="Arial" w:hAnsi="Arial" w:cs="Arial"/>
          <w:sz w:val="22"/>
          <w:szCs w:val="22"/>
        </w:rPr>
        <w:t>NMHH</w:t>
      </w:r>
      <w:r w:rsidRPr="000F7F29">
        <w:rPr>
          <w:rFonts w:ascii="Arial" w:hAnsi="Arial" w:cs="Arial"/>
          <w:sz w:val="22"/>
          <w:szCs w:val="22"/>
        </w:rPr>
        <w:t xml:space="preserve">. Amennyiben lehetséges a megújítás, az NMHH a megújítás szükségességét értékeli, azaz az odaítélt jogok megújítása által a versenyre gyakorolt hatást veti össze azzal a hatással, amely a hatékonyabb kiaknázás vagy új, innovatív használati módok előmozdítása révén lenne elérhető akkor, ha a sáv új használati mód, új jogosult előtt nyílna meg. A megújítási folyamatban természetesen a piaci igényeket is fel kell mérni, és mérlegelni kell azok megalapozottságát. Az NMHH, mint felelős rádióspektrum-gazdálkodó egy-egy frekvenciasáv egészére és a </w:t>
      </w:r>
      <w:proofErr w:type="gramStart"/>
      <w:r w:rsidRPr="000F7F29">
        <w:rPr>
          <w:rFonts w:ascii="Arial" w:hAnsi="Arial" w:cs="Arial"/>
          <w:sz w:val="22"/>
          <w:szCs w:val="22"/>
        </w:rPr>
        <w:t>frekvenciasáv(</w:t>
      </w:r>
      <w:proofErr w:type="gramEnd"/>
      <w:r w:rsidRPr="000F7F29">
        <w:rPr>
          <w:rFonts w:ascii="Arial" w:hAnsi="Arial" w:cs="Arial"/>
          <w:sz w:val="22"/>
          <w:szCs w:val="22"/>
        </w:rPr>
        <w:t>ok)</w:t>
      </w:r>
      <w:proofErr w:type="spellStart"/>
      <w:r w:rsidRPr="000F7F29">
        <w:rPr>
          <w:rFonts w:ascii="Arial" w:hAnsi="Arial" w:cs="Arial"/>
          <w:sz w:val="22"/>
          <w:szCs w:val="22"/>
        </w:rPr>
        <w:t>ban</w:t>
      </w:r>
      <w:proofErr w:type="spellEnd"/>
      <w:r w:rsidRPr="000F7F29">
        <w:rPr>
          <w:rFonts w:ascii="Arial" w:hAnsi="Arial" w:cs="Arial"/>
          <w:sz w:val="22"/>
          <w:szCs w:val="22"/>
        </w:rPr>
        <w:t xml:space="preserve"> fennálló valamennyi rádióspektrum-használati jogosultságra tekintettel hoz majd döntést a megújítás </w:t>
      </w:r>
      <w:r w:rsidR="006B0EC5" w:rsidRPr="006B0EC5">
        <w:rPr>
          <w:rFonts w:ascii="Arial" w:hAnsi="Arial" w:cs="Arial"/>
          <w:sz w:val="22"/>
          <w:szCs w:val="22"/>
        </w:rPr>
        <w:t>kérdésében</w:t>
      </w:r>
      <w:r w:rsidRPr="000F7F29">
        <w:rPr>
          <w:rFonts w:ascii="Arial" w:hAnsi="Arial" w:cs="Arial"/>
          <w:sz w:val="22"/>
          <w:szCs w:val="22"/>
        </w:rPr>
        <w:t xml:space="preserve">. </w:t>
      </w:r>
    </w:p>
    <w:p w14:paraId="7CA6532B" w14:textId="77777777" w:rsidR="00320039" w:rsidRPr="000F7F29" w:rsidRDefault="00320039" w:rsidP="00320039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>A 450 MHz-es frekvenciasáv esetében jelentős szerepet játszik a Kormány szélessávú közrendvédelmi és katasztrófavédelmi (PPDR</w:t>
      </w:r>
      <w:r w:rsidRPr="000F7F29">
        <w:rPr>
          <w:rStyle w:val="Lbjegyzet-hivatkozs"/>
          <w:rFonts w:ascii="Arial" w:hAnsi="Arial" w:cs="Arial"/>
          <w:sz w:val="22"/>
          <w:szCs w:val="22"/>
        </w:rPr>
        <w:footnoteReference w:id="9"/>
      </w:r>
      <w:r w:rsidRPr="000F7F29">
        <w:rPr>
          <w:rFonts w:ascii="Arial" w:hAnsi="Arial" w:cs="Arial"/>
          <w:sz w:val="22"/>
          <w:szCs w:val="22"/>
        </w:rPr>
        <w:t>) rendszer megvalósításával kapcsolatos elképzelése is. A jelenlegi szabályozás alapján a hasonló hullámterjedési tulajdonságokkal rendelkező 410-430 MHz frekvenciasávon belül a 410-415/420–425 MHz sávrész tervezett PPDR rendszerek számára. Fontos szempont a harmonizáció szintje is. Megjegyezzük, hogy az európai szabályozás alapján a 450 MHz-es frekvenciasáv is PPDR céljára harmonizált frekvenciasáv.</w:t>
      </w:r>
    </w:p>
    <w:p w14:paraId="5232B019" w14:textId="77777777" w:rsidR="009075E4" w:rsidRDefault="009075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D43B31" w14:textId="35031468" w:rsidR="00950EB5" w:rsidRDefault="00950EB5" w:rsidP="00320039">
      <w:pPr>
        <w:pStyle w:val="Behzottbekezdsnmh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Pr="000F7F29">
        <w:rPr>
          <w:rFonts w:ascii="Arial" w:hAnsi="Arial" w:cs="Arial"/>
          <w:sz w:val="22"/>
          <w:szCs w:val="22"/>
        </w:rPr>
        <w:t xml:space="preserve">z NMHH korlátozni kívánja a lehetséges jogosultak számát, és versenyeztetési eljárást tart indokoltnak, legalábbis a sáv jelentős részében </w:t>
      </w:r>
      <w:r>
        <w:rPr>
          <w:rFonts w:ascii="Arial" w:hAnsi="Arial" w:cs="Arial"/>
          <w:sz w:val="22"/>
          <w:szCs w:val="22"/>
        </w:rPr>
        <w:t>tekintettel:</w:t>
      </w:r>
    </w:p>
    <w:p w14:paraId="0AE69059" w14:textId="71B57D07" w:rsidR="00950EB5" w:rsidRDefault="00950EB5" w:rsidP="00890B66">
      <w:pPr>
        <w:pStyle w:val="Behzottbekezdsnmh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20039" w:rsidRPr="000F7F29">
        <w:rPr>
          <w:rFonts w:ascii="Arial" w:hAnsi="Arial" w:cs="Arial"/>
          <w:sz w:val="22"/>
          <w:szCs w:val="22"/>
        </w:rPr>
        <w:t xml:space="preserve"> 450 MHz-es frekvenciasáv lehetséges szélessávú használatra, azaz vezetéknélküli szélessávú elektronikus hírközlési szolgáltatás nyújtására alkalmas rendszerek üzemeltetésére, </w:t>
      </w:r>
    </w:p>
    <w:p w14:paraId="40526D84" w14:textId="050B7ABA" w:rsidR="00950EB5" w:rsidRDefault="00320039" w:rsidP="00890B66">
      <w:pPr>
        <w:pStyle w:val="Behzottbekezdsnmh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>az ország egész területére kiterjedő szolgáltatásnyújtásra alkalmaság</w:t>
      </w:r>
      <w:r w:rsidR="0091783F">
        <w:rPr>
          <w:rFonts w:ascii="Arial" w:hAnsi="Arial" w:cs="Arial"/>
          <w:sz w:val="22"/>
          <w:szCs w:val="22"/>
        </w:rPr>
        <w:t>á</w:t>
      </w:r>
      <w:r w:rsidRPr="000F7F29">
        <w:rPr>
          <w:rFonts w:ascii="Arial" w:hAnsi="Arial" w:cs="Arial"/>
          <w:sz w:val="22"/>
          <w:szCs w:val="22"/>
        </w:rPr>
        <w:t>ra és</w:t>
      </w:r>
    </w:p>
    <w:p w14:paraId="13D1A2A4" w14:textId="435587B9" w:rsidR="00320039" w:rsidRPr="000F7F29" w:rsidRDefault="00320039" w:rsidP="00890B66">
      <w:pPr>
        <w:pStyle w:val="Behzottbekezdsnmh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>a rendelkezésre álló rádióspektrum mennyiségére</w:t>
      </w:r>
      <w:r w:rsidR="00950EB5">
        <w:rPr>
          <w:rFonts w:ascii="Arial" w:hAnsi="Arial" w:cs="Arial"/>
          <w:sz w:val="22"/>
          <w:szCs w:val="22"/>
        </w:rPr>
        <w:t>.</w:t>
      </w:r>
    </w:p>
    <w:p w14:paraId="53A92DFD" w14:textId="084E997F" w:rsidR="00B5011D" w:rsidRPr="00E474AD" w:rsidRDefault="00B5011D" w:rsidP="00B5011D">
      <w:pPr>
        <w:pStyle w:val="Listaszerbekezds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E474AD">
        <w:rPr>
          <w:rFonts w:ascii="Arial" w:hAnsi="Arial" w:cs="Arial"/>
          <w:b/>
        </w:rPr>
        <w:t>410-430 MHz frekvenciasáv</w:t>
      </w:r>
    </w:p>
    <w:p w14:paraId="1A6F74AC" w14:textId="3C4A4EB1" w:rsidR="00B5011D" w:rsidRPr="000F7F29" w:rsidRDefault="00B5011D" w:rsidP="000F7F29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 xml:space="preserve">A Nemzetközi Rádiószabályzat szerint az ITU 1. körzetében a 410-430 MHz frekvenciasáv </w:t>
      </w:r>
      <w:r w:rsidR="006B0EC5" w:rsidRPr="000F7F29">
        <w:rPr>
          <w:rFonts w:ascii="Arial" w:hAnsi="Arial" w:cs="Arial"/>
          <w:sz w:val="22"/>
          <w:szCs w:val="22"/>
        </w:rPr>
        <w:t>elsődleges jelleggel</w:t>
      </w:r>
      <w:r w:rsidR="006B0EC5" w:rsidRPr="000F7F29">
        <w:rPr>
          <w:rFonts w:ascii="Arial" w:hAnsi="Arial" w:cs="Arial"/>
          <w:sz w:val="22"/>
          <w:szCs w:val="22"/>
        </w:rPr>
        <w:t xml:space="preserve"> </w:t>
      </w:r>
      <w:r w:rsidRPr="000F7F29">
        <w:rPr>
          <w:rFonts w:ascii="Arial" w:hAnsi="Arial" w:cs="Arial"/>
          <w:sz w:val="22"/>
          <w:szCs w:val="22"/>
        </w:rPr>
        <w:t>állandóhelyű és mozgószolgálati (kivéve légi mozgó) célra felosztott. Az ITU által elfogadott IMT frekvenciasávok között ez a frekvenciasáv még nem szerepel.</w:t>
      </w:r>
    </w:p>
    <w:p w14:paraId="40DBBD95" w14:textId="1B1242FC" w:rsidR="00B5011D" w:rsidRPr="000F7F29" w:rsidRDefault="00B5011D" w:rsidP="000F7F29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 xml:space="preserve">Magyarországon a 410-430 MHz frekvenciasávon belül az alsó 2x7 MHz-es rész (410-417/420-427 MHz) nem polgári célra használható, ahol elsődleges jelleggel állandóhelyű pont-pont, pont-többpont rendszerek, valamint egy- és kétfrekvenciás mozgószolgálati rendszerek üzemeltethetők. A </w:t>
      </w:r>
      <w:r w:rsidR="00D6148D" w:rsidRPr="00D6148D">
        <w:rPr>
          <w:rFonts w:ascii="Arial" w:hAnsi="Arial" w:cs="Arial"/>
          <w:sz w:val="22"/>
          <w:szCs w:val="22"/>
        </w:rPr>
        <w:t xml:space="preserve">nemzeti frekvenciafelosztásról, valamint a frekvenciasávok felhasználási szabályairól </w:t>
      </w:r>
      <w:r w:rsidR="00ED12D0" w:rsidRPr="00ED12D0">
        <w:rPr>
          <w:rFonts w:ascii="Arial" w:hAnsi="Arial" w:cs="Arial"/>
          <w:sz w:val="22"/>
          <w:szCs w:val="22"/>
        </w:rPr>
        <w:t xml:space="preserve">szóló 7/2015. (XI. 13.) NMHH rendeletben (a továbbiakban: </w:t>
      </w:r>
      <w:r w:rsidRPr="000F7F29">
        <w:rPr>
          <w:rFonts w:ascii="Arial" w:hAnsi="Arial" w:cs="Arial"/>
          <w:sz w:val="22"/>
          <w:szCs w:val="22"/>
        </w:rPr>
        <w:t>NFFF</w:t>
      </w:r>
      <w:r w:rsidR="00ED12D0">
        <w:rPr>
          <w:rFonts w:ascii="Arial" w:hAnsi="Arial" w:cs="Arial"/>
          <w:sz w:val="22"/>
          <w:szCs w:val="22"/>
        </w:rPr>
        <w:t>)</w:t>
      </w:r>
      <w:r w:rsidRPr="000F7F29">
        <w:rPr>
          <w:rFonts w:ascii="Arial" w:hAnsi="Arial" w:cs="Arial"/>
          <w:sz w:val="22"/>
          <w:szCs w:val="22"/>
        </w:rPr>
        <w:t xml:space="preserve"> értelmében, digitális közrendvédelmi és katasztrófavédelmi (PPDR) rendszerek bevezetése tervezett a 410-415/420-425 MHz sávrészben és a jelenlegi rendszerek a 410-415/420-425 MHz sávrészben kizárólag addig üzemeltethetők, amíg a digitális PPDR rendszerek bevezetésre nem kerülnek.</w:t>
      </w:r>
    </w:p>
    <w:p w14:paraId="4904C177" w14:textId="77777777" w:rsidR="00B5011D" w:rsidRPr="000F7F29" w:rsidRDefault="00B5011D" w:rsidP="000F7F29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>A frekvenciasáv felső 2x3 MHz-es részében (417-420/427-430 MHz) polgári célú, kétfrekvenciás, átjátszóállomással üzemelő, keskenysávú, digitális PMR rendszerek üzemelnek.</w:t>
      </w:r>
    </w:p>
    <w:p w14:paraId="567EBEE2" w14:textId="5457F5DD" w:rsidR="00B5011D" w:rsidRPr="000F7F29" w:rsidRDefault="00B5011D" w:rsidP="000F7F29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>A 410-430 MHz frekvenciasávban a szélessávú mobil rendszerek bevezetési lehetőségének vizsgálatát nemzetközi szinten hazánk kezdeményezte. A vizsgálatok eredményei alapján az ECC/DEC/(19</w:t>
      </w:r>
      <w:proofErr w:type="gramStart"/>
      <w:r w:rsidRPr="000F7F29">
        <w:rPr>
          <w:rFonts w:ascii="Arial" w:hAnsi="Arial" w:cs="Arial"/>
          <w:sz w:val="22"/>
          <w:szCs w:val="22"/>
        </w:rPr>
        <w:t>)02</w:t>
      </w:r>
      <w:proofErr w:type="gramEnd"/>
      <w:r w:rsidRPr="00AF115C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0F7F29">
        <w:rPr>
          <w:rFonts w:ascii="Arial" w:hAnsi="Arial" w:cs="Arial"/>
          <w:sz w:val="22"/>
          <w:szCs w:val="22"/>
        </w:rPr>
        <w:t xml:space="preserve"> és az ECC/DEC/(16)02</w:t>
      </w:r>
      <w:r w:rsidRPr="00AF115C">
        <w:rPr>
          <w:rFonts w:ascii="Arial" w:hAnsi="Arial" w:cs="Arial"/>
          <w:sz w:val="22"/>
          <w:szCs w:val="22"/>
          <w:vertAlign w:val="superscript"/>
        </w:rPr>
        <w:footnoteReference w:id="11"/>
      </w:r>
      <w:r w:rsidR="00AF115C">
        <w:rPr>
          <w:rFonts w:ascii="Arial" w:hAnsi="Arial" w:cs="Arial"/>
          <w:sz w:val="22"/>
          <w:szCs w:val="22"/>
        </w:rPr>
        <w:t xml:space="preserve"> </w:t>
      </w:r>
      <w:r w:rsidRPr="000F7F29">
        <w:rPr>
          <w:rFonts w:ascii="Arial" w:hAnsi="Arial" w:cs="Arial"/>
          <w:sz w:val="22"/>
          <w:szCs w:val="22"/>
        </w:rPr>
        <w:t>Határozatok értelmében a következő 5 MHz-es frekvenciatartományok használatára van lehetőség szélessávú rendszerekre:</w:t>
      </w:r>
    </w:p>
    <w:p w14:paraId="576DB6F9" w14:textId="77777777" w:rsidR="00B5011D" w:rsidRPr="000F7F29" w:rsidRDefault="00B5011D" w:rsidP="00F727A4">
      <w:pPr>
        <w:pStyle w:val="Behzottbekezdsnmhh"/>
        <w:spacing w:line="240" w:lineRule="auto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>410-415/420-425 MHz (3GPP Band 87),</w:t>
      </w:r>
    </w:p>
    <w:p w14:paraId="27114440" w14:textId="77777777" w:rsidR="00B5011D" w:rsidRPr="000F7F29" w:rsidRDefault="00B5011D" w:rsidP="00F727A4">
      <w:pPr>
        <w:pStyle w:val="Behzottbekezdsnmhh"/>
        <w:spacing w:line="240" w:lineRule="auto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>411-416/421-426 MHz (nincs szabványosítva),</w:t>
      </w:r>
    </w:p>
    <w:p w14:paraId="5C742443" w14:textId="77777777" w:rsidR="00B5011D" w:rsidRPr="000F7F29" w:rsidRDefault="00B5011D" w:rsidP="00F727A4">
      <w:pPr>
        <w:pStyle w:val="Behzottbekezdsnmhh"/>
        <w:spacing w:line="240" w:lineRule="auto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>412-417/422-427 MHz (3GPP Band 88).</w:t>
      </w:r>
    </w:p>
    <w:p w14:paraId="6EA01673" w14:textId="1DAFDC34" w:rsidR="00B5011D" w:rsidRPr="000F7F29" w:rsidRDefault="00B5011D" w:rsidP="000F7F29">
      <w:pPr>
        <w:pStyle w:val="Behzottbekezdsnmhh"/>
        <w:rPr>
          <w:rFonts w:ascii="Arial" w:hAnsi="Arial" w:cs="Arial"/>
          <w:sz w:val="22"/>
          <w:szCs w:val="22"/>
        </w:rPr>
      </w:pPr>
      <w:r w:rsidRPr="000F7F29">
        <w:rPr>
          <w:rFonts w:ascii="Arial" w:hAnsi="Arial" w:cs="Arial"/>
          <w:sz w:val="22"/>
          <w:szCs w:val="22"/>
        </w:rPr>
        <w:t xml:space="preserve">Ezen csatornák lehetséges elhelyezkedését az 1. ábra mutatja. </w:t>
      </w:r>
    </w:p>
    <w:p w14:paraId="0E8A1A23" w14:textId="77777777" w:rsidR="00B5011D" w:rsidRDefault="00B5011D" w:rsidP="000F7F29">
      <w:pPr>
        <w:pStyle w:val="Behzottbekezdsnmhh"/>
      </w:pPr>
      <w:r>
        <w:rPr>
          <w:noProof/>
          <w:lang w:eastAsia="hu-HU"/>
        </w:rPr>
        <w:lastRenderedPageBreak/>
        <w:drawing>
          <wp:inline distT="0" distB="0" distL="0" distR="0" wp14:anchorId="452F25ED" wp14:editId="3CCECFFC">
            <wp:extent cx="5760720" cy="145224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97AF8" w14:textId="77777777" w:rsidR="00B5011D" w:rsidRDefault="00E009A5" w:rsidP="000F7F29">
      <w:pPr>
        <w:pStyle w:val="Behzottbekezdsnmhh"/>
        <w:jc w:val="center"/>
      </w:pPr>
      <w:fldSimple w:instr=" SEQ ábra \* ARABIC ">
        <w:r w:rsidR="00B5011D">
          <w:t>1</w:t>
        </w:r>
      </w:fldSimple>
      <w:r w:rsidR="00B5011D">
        <w:t>. ábra – Lehetséges csatornák elhelyezkedése a 410-430 MHz frekvenciasávban</w:t>
      </w:r>
    </w:p>
    <w:p w14:paraId="638F5628" w14:textId="77777777" w:rsidR="00B5011D" w:rsidRPr="000F7F29" w:rsidRDefault="00B5011D" w:rsidP="000F7F29">
      <w:pPr>
        <w:pStyle w:val="Behzottbekezdsnmhh"/>
        <w:rPr>
          <w:rFonts w:ascii="Arial" w:hAnsi="Arial" w:cs="Arial"/>
        </w:rPr>
      </w:pPr>
      <w:r w:rsidRPr="000F7F29">
        <w:rPr>
          <w:rFonts w:ascii="Arial" w:hAnsi="Arial" w:cs="Arial"/>
        </w:rPr>
        <w:t>A lehetséges 5 MHz-es csatornák közül az NFFF alapján a szabványosított 410-415/420-425 MHz (3GPP Band 87) tervezett PPDR céljára. Ez a csatorna kínálja a legnagyobb frekvencia szeparációt a PPDR rendszerek és a polgári keskenysávú PMR rendszerek között, így csökkentve a két rendszer közötti zavarás lehetőségét. Ezen kívül a 3GPP Band 88 lenne még szabványosított alternatíva, de ez a csatorna közvetlenül a polgári rendszerek részére kijelölt sávrésszel határos, ezért nem, vagy csak nehezen biztosítható megfelelő védősáv.</w:t>
      </w:r>
    </w:p>
    <w:p w14:paraId="0CE9231D" w14:textId="77777777" w:rsidR="00B5011D" w:rsidRPr="000F7F29" w:rsidRDefault="00B5011D" w:rsidP="000F7F29">
      <w:pPr>
        <w:pStyle w:val="Behzottbekezdsnmhh"/>
        <w:rPr>
          <w:rFonts w:ascii="Arial" w:hAnsi="Arial" w:cs="Arial"/>
        </w:rPr>
      </w:pPr>
      <w:r w:rsidRPr="000F7F29">
        <w:rPr>
          <w:rFonts w:ascii="Arial" w:hAnsi="Arial" w:cs="Arial"/>
        </w:rPr>
        <w:t>A csatorna kiválasztása, valamint a rendszer üzemi paramétereinek megválasztása során fontos szempont a szomszédos országok meglevő használata, illetve jövőbeli tervei is. Tekintettel arra, hogy a jelenleg rendelkezésre álló adatok alapján a használat módja és a hozzá tartozó csatorna még nem eldöntött, különös figyelmet kell fordítani a szélessávú rendszerek, valamint a szélessávú és a keskenysávú rendszerek közötti nemzetközi koordinációra is a zavarmentes üzem biztosításának érdekében.</w:t>
      </w:r>
    </w:p>
    <w:p w14:paraId="66F4B632" w14:textId="77777777" w:rsidR="00B5011D" w:rsidRPr="000F7F29" w:rsidRDefault="00B5011D" w:rsidP="000F7F29">
      <w:pPr>
        <w:pStyle w:val="Behzottbekezdsnmhh"/>
        <w:rPr>
          <w:rFonts w:ascii="Arial" w:hAnsi="Arial" w:cs="Arial"/>
        </w:rPr>
      </w:pPr>
      <w:r w:rsidRPr="000F7F29">
        <w:rPr>
          <w:rFonts w:ascii="Arial" w:hAnsi="Arial" w:cs="Arial"/>
        </w:rPr>
        <w:t>A határövezeti rádióspektrum-használatra vonatkozó nemzetközi koordinációs feltételek nemzetközi alapjait a T/R 25-08 Ajánlás</w:t>
      </w:r>
      <w:r w:rsidRPr="00AF115C">
        <w:rPr>
          <w:rFonts w:ascii="Arial" w:hAnsi="Arial" w:cs="Arial"/>
          <w:vertAlign w:val="superscript"/>
        </w:rPr>
        <w:footnoteReference w:id="12"/>
      </w:r>
      <w:r w:rsidRPr="000F7F29">
        <w:rPr>
          <w:rFonts w:ascii="Arial" w:hAnsi="Arial" w:cs="Arial"/>
        </w:rPr>
        <w:t xml:space="preserve"> tartalmazza. Ez a dokumentum részben kezeli a keskenysávú és a szélessávú rendszerek közötti koordinációs feltételeket, azonban nem tartalmaz minden, a gyakorlatban előforduló esetet.</w:t>
      </w:r>
    </w:p>
    <w:p w14:paraId="54FE91E0" w14:textId="77777777" w:rsidR="00B5011D" w:rsidRPr="000F7F29" w:rsidRDefault="00B5011D" w:rsidP="000F7F29">
      <w:pPr>
        <w:pStyle w:val="Behzottbekezdsnmhh"/>
        <w:rPr>
          <w:rFonts w:ascii="Arial" w:hAnsi="Arial" w:cs="Arial"/>
        </w:rPr>
      </w:pPr>
      <w:r w:rsidRPr="000F7F29">
        <w:rPr>
          <w:rFonts w:ascii="Arial" w:hAnsi="Arial" w:cs="Arial"/>
        </w:rPr>
        <w:t>A szomszédos országok vonatkozásában elsősorban a keskenysávú rendszereket érintően rendelkezünk két- és/vagy többoldalú koordinációs megállapodásokkal. A szélessávú rendszerek nemzetközi koordinációját egyedül a Horvátországgal és Szerbiával 2016-ban aláírt megállapodás kezeli.</w:t>
      </w:r>
    </w:p>
    <w:p w14:paraId="72577E7E" w14:textId="77777777" w:rsidR="00E474AD" w:rsidRPr="008731EE" w:rsidRDefault="00E474AD" w:rsidP="00E4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8731EE">
        <w:rPr>
          <w:rFonts w:ascii="Arial" w:hAnsi="Arial" w:cs="Arial"/>
          <w:b/>
          <w:i/>
        </w:rPr>
        <w:t>A következő állításokkal kapcsolatban kérjük, fejtse ki véleményét</w:t>
      </w:r>
      <w:r>
        <w:rPr>
          <w:rFonts w:ascii="Arial" w:hAnsi="Arial" w:cs="Arial"/>
          <w:b/>
          <w:i/>
        </w:rPr>
        <w:t>!</w:t>
      </w:r>
    </w:p>
    <w:p w14:paraId="219CA6A1" w14:textId="3611634B" w:rsidR="00E474AD" w:rsidRDefault="00E474AD" w:rsidP="00E474AD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Az NMHH nem polgári hasznosítást tervez a 450 MHz-es a meglevő rádiósp</w:t>
      </w:r>
      <w:r w:rsidR="00486B2E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ktrum</w:t>
      </w:r>
      <w:r w:rsidR="00486B2E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használati jogosultság 2024-es lej</w:t>
      </w:r>
      <w:r w:rsidR="00887C30">
        <w:rPr>
          <w:rFonts w:ascii="Arial" w:hAnsi="Arial" w:cs="Arial"/>
          <w:i/>
        </w:rPr>
        <w:t>á</w:t>
      </w:r>
      <w:r>
        <w:rPr>
          <w:rFonts w:ascii="Arial" w:hAnsi="Arial" w:cs="Arial"/>
          <w:i/>
        </w:rPr>
        <w:t>ratát követően</w:t>
      </w:r>
      <w:r w:rsidRPr="00670C9D">
        <w:rPr>
          <w:rFonts w:ascii="Arial" w:hAnsi="Arial" w:cs="Arial"/>
          <w:i/>
        </w:rPr>
        <w:t>.</w:t>
      </w:r>
    </w:p>
    <w:p w14:paraId="11B135E6" w14:textId="12BDAE1D" w:rsidR="00E474AD" w:rsidRDefault="00E474AD" w:rsidP="006B0EC5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Amennyiben </w:t>
      </w:r>
      <w:r w:rsidR="006B0EC5">
        <w:rPr>
          <w:rFonts w:ascii="Arial" w:hAnsi="Arial" w:cs="Arial"/>
          <w:i/>
        </w:rPr>
        <w:t>az a) ponttal ellentétben</w:t>
      </w:r>
      <w:r w:rsidR="006B0EC5" w:rsidRPr="006B0EC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polgári hasznosítást tervez</w:t>
      </w:r>
      <w:r w:rsidR="00D64C04">
        <w:rPr>
          <w:rFonts w:ascii="Arial" w:hAnsi="Arial" w:cs="Arial"/>
          <w:i/>
        </w:rPr>
        <w:t xml:space="preserve"> a 450 MHz-es frekvenciasávban</w:t>
      </w:r>
      <w:r>
        <w:rPr>
          <w:rFonts w:ascii="Arial" w:hAnsi="Arial" w:cs="Arial"/>
          <w:i/>
        </w:rPr>
        <w:t xml:space="preserve">, kérjük, ismertesse azt olyan mélységben, hogy a piaci igény megalapozottságát </w:t>
      </w:r>
      <w:proofErr w:type="spellStart"/>
      <w:r>
        <w:rPr>
          <w:rFonts w:ascii="Arial" w:hAnsi="Arial" w:cs="Arial"/>
          <w:i/>
        </w:rPr>
        <w:t>előrevetítse</w:t>
      </w:r>
      <w:proofErr w:type="spellEnd"/>
      <w:r w:rsidRPr="00036DF4">
        <w:rPr>
          <w:rFonts w:ascii="Arial" w:hAnsi="Arial" w:cs="Arial"/>
          <w:i/>
        </w:rPr>
        <w:t>.</w:t>
      </w:r>
    </w:p>
    <w:p w14:paraId="68209652" w14:textId="77777777" w:rsidR="00F727A4" w:rsidRPr="00F727A4" w:rsidRDefault="00F727A4" w:rsidP="00F727A4">
      <w:pPr>
        <w:ind w:left="360"/>
        <w:jc w:val="both"/>
        <w:rPr>
          <w:rFonts w:ascii="Arial" w:hAnsi="Arial" w:cs="Arial"/>
          <w:b/>
          <w:i/>
        </w:rPr>
      </w:pPr>
    </w:p>
    <w:p w14:paraId="73D4F66D" w14:textId="2AC524C6" w:rsidR="0023547A" w:rsidRDefault="008B0565" w:rsidP="008B0565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i/>
        </w:rPr>
      </w:pPr>
      <w:r w:rsidRPr="008B0565">
        <w:rPr>
          <w:rFonts w:ascii="Arial" w:hAnsi="Arial" w:cs="Arial"/>
          <w:b/>
          <w:i/>
        </w:rPr>
        <w:t>5G úttörő sávok</w:t>
      </w:r>
    </w:p>
    <w:p w14:paraId="467039D7" w14:textId="77777777" w:rsidR="00F854F0" w:rsidRPr="008B0565" w:rsidRDefault="00F854F0" w:rsidP="004B7572">
      <w:pPr>
        <w:pStyle w:val="Listaszerbekezds"/>
        <w:jc w:val="both"/>
        <w:rPr>
          <w:rFonts w:ascii="Arial" w:hAnsi="Arial" w:cs="Arial"/>
          <w:b/>
          <w:i/>
        </w:rPr>
      </w:pPr>
    </w:p>
    <w:p w14:paraId="4BFE9800" w14:textId="352242F6" w:rsidR="0023547A" w:rsidRDefault="0023547A" w:rsidP="0023547A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36DF4">
        <w:rPr>
          <w:rFonts w:ascii="Arial" w:hAnsi="Arial" w:cs="Arial"/>
          <w:b/>
        </w:rPr>
        <w:t>700 MHz</w:t>
      </w:r>
      <w:r w:rsidR="004B7572">
        <w:rPr>
          <w:rFonts w:ascii="Arial" w:hAnsi="Arial" w:cs="Arial"/>
          <w:b/>
        </w:rPr>
        <w:t>-es</w:t>
      </w:r>
      <w:r w:rsidR="00F854F0">
        <w:rPr>
          <w:rFonts w:ascii="Arial" w:hAnsi="Arial" w:cs="Arial"/>
          <w:b/>
        </w:rPr>
        <w:t xml:space="preserve"> frekvenciasáv</w:t>
      </w:r>
    </w:p>
    <w:p w14:paraId="1595D9D4" w14:textId="770DE2F7" w:rsidR="00486B2E" w:rsidRPr="00486B2E" w:rsidRDefault="00486B2E" w:rsidP="00486B2E">
      <w:pPr>
        <w:pStyle w:val="Behzottbekezdsnmhh"/>
        <w:rPr>
          <w:rFonts w:ascii="Arial" w:hAnsi="Arial" w:cs="Arial"/>
          <w:sz w:val="22"/>
          <w:szCs w:val="22"/>
          <w:lang w:bidi="hu-HU"/>
        </w:rPr>
      </w:pPr>
      <w:r w:rsidRPr="00486B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694-790 MHz frekvenciasáv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(a továbbiakban: </w:t>
      </w:r>
      <w:r w:rsidRPr="00486B2E">
        <w:rPr>
          <w:rFonts w:ascii="Arial" w:hAnsi="Arial" w:cs="Arial"/>
          <w:color w:val="000000"/>
          <w:sz w:val="22"/>
          <w:szCs w:val="22"/>
          <w:shd w:val="clear" w:color="auto" w:fill="FFFFFF"/>
        </w:rPr>
        <w:t>700 MHz-es frekvenciasáv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Pr="00486B2E">
        <w:rPr>
          <w:rFonts w:ascii="Arial" w:hAnsi="Arial" w:cs="Arial"/>
          <w:sz w:val="22"/>
          <w:szCs w:val="22"/>
        </w:rPr>
        <w:t xml:space="preserve"> használatára vonatkozóan </w:t>
      </w:r>
      <w:r w:rsidRPr="00486B2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kötelezettséget megállapító uniós jogi aktusok </w:t>
      </w:r>
      <w:r w:rsidRPr="00486B2E">
        <w:rPr>
          <w:rFonts w:ascii="Arial" w:hAnsi="Arial" w:cs="Arial"/>
          <w:sz w:val="22"/>
          <w:szCs w:val="22"/>
        </w:rPr>
        <w:t xml:space="preserve">rugalmas keretet biztosítanak a </w:t>
      </w:r>
      <w:r w:rsidRPr="00486B2E">
        <w:rPr>
          <w:rFonts w:ascii="Arial" w:hAnsi="Arial" w:cs="Arial"/>
          <w:sz w:val="22"/>
          <w:szCs w:val="22"/>
        </w:rPr>
        <w:lastRenderedPageBreak/>
        <w:t>tagállamok részére a 700 MHz-es sáv használatának szabályozásához. A szabályozási kereten belül a 700 MHz-es sávban 2×30 MHz-et kötelező jelleggel vezeték nélküli szélessávú hírközlési szolgálatok nyújtására alkalmas mozgó és állandóhelyű hírközlési hálózatok (MFCN) céljára kell elérhetővé tenni, míg további sávrészekben a felhasználási opciók nemzeti szinten választhatók a megadott műszaki feltételek teljesítése mellett. Ilyen opcionális felhasználások a</w:t>
      </w:r>
      <w:r w:rsidRPr="00486B2E">
        <w:rPr>
          <w:rFonts w:ascii="Arial" w:hAnsi="Arial" w:cs="Arial"/>
          <w:sz w:val="22"/>
          <w:szCs w:val="22"/>
          <w:lang w:bidi="hu-HU"/>
        </w:rPr>
        <w:t xml:space="preserve"> közrendvédelemi és katasztrófavédelmi szélessávú rádióalkalmazások (a továbbiakban: BB-PPDR</w:t>
      </w:r>
      <w:r w:rsidRPr="00486B2E">
        <w:rPr>
          <w:rFonts w:ascii="Arial" w:hAnsi="Arial" w:cs="Arial"/>
          <w:sz w:val="22"/>
          <w:szCs w:val="22"/>
          <w:vertAlign w:val="superscript"/>
        </w:rPr>
        <w:footnoteReference w:id="13"/>
      </w:r>
      <w:r w:rsidRPr="00486B2E">
        <w:rPr>
          <w:rFonts w:ascii="Arial" w:hAnsi="Arial" w:cs="Arial"/>
          <w:sz w:val="22"/>
          <w:szCs w:val="22"/>
          <w:lang w:bidi="hu-HU"/>
        </w:rPr>
        <w:t>), a megnövekedett lemenő irányú forgalomhoz szükséges kiegészítő lemenő irányú kommunikáció (SDL</w:t>
      </w:r>
      <w:r w:rsidRPr="00486B2E">
        <w:rPr>
          <w:rFonts w:ascii="Arial" w:hAnsi="Arial" w:cs="Arial"/>
          <w:sz w:val="22"/>
          <w:szCs w:val="22"/>
          <w:vertAlign w:val="superscript"/>
        </w:rPr>
        <w:footnoteReference w:id="14"/>
      </w:r>
      <w:r w:rsidRPr="00486B2E">
        <w:rPr>
          <w:rFonts w:ascii="Arial" w:hAnsi="Arial" w:cs="Arial"/>
          <w:sz w:val="22"/>
          <w:szCs w:val="22"/>
          <w:lang w:bidi="hu-HU"/>
        </w:rPr>
        <w:t>), a műsorszóráshoz és műsorgyártáshoz, valamint a különleges eseményekhez kapcsolódó alkalmazások (a továbbiakban: PMSE</w:t>
      </w:r>
      <w:r w:rsidRPr="00486B2E">
        <w:rPr>
          <w:rFonts w:ascii="Arial" w:hAnsi="Arial" w:cs="Arial"/>
          <w:sz w:val="22"/>
          <w:szCs w:val="22"/>
          <w:vertAlign w:val="superscript"/>
          <w:lang w:bidi="hu-HU"/>
        </w:rPr>
        <w:footnoteReference w:id="15"/>
      </w:r>
      <w:r w:rsidRPr="00486B2E">
        <w:rPr>
          <w:rFonts w:ascii="Arial" w:hAnsi="Arial" w:cs="Arial"/>
          <w:sz w:val="22"/>
          <w:szCs w:val="22"/>
          <w:lang w:bidi="hu-HU"/>
        </w:rPr>
        <w:t xml:space="preserve"> alkalmazások) és gépek közötti kommunikáció (a továbbiakban: M2M</w:t>
      </w:r>
      <w:r w:rsidRPr="00486B2E">
        <w:rPr>
          <w:rFonts w:ascii="Arial" w:hAnsi="Arial" w:cs="Arial"/>
          <w:sz w:val="22"/>
          <w:szCs w:val="22"/>
          <w:vertAlign w:val="superscript"/>
        </w:rPr>
        <w:footnoteReference w:id="16"/>
      </w:r>
      <w:r w:rsidRPr="00486B2E">
        <w:rPr>
          <w:rFonts w:ascii="Arial" w:hAnsi="Arial" w:cs="Arial"/>
          <w:sz w:val="22"/>
          <w:szCs w:val="22"/>
          <w:lang w:bidi="hu-HU"/>
        </w:rPr>
        <w:t xml:space="preserve">). </w:t>
      </w:r>
      <w:r w:rsidRPr="00486B2E">
        <w:rPr>
          <w:rFonts w:ascii="Arial" w:hAnsi="Arial" w:cs="Arial"/>
          <w:sz w:val="22"/>
          <w:szCs w:val="22"/>
        </w:rPr>
        <w:t xml:space="preserve">A 700 MHz-es frekvenciasáv jövőjével kapcsolatos alapvető döntéseket </w:t>
      </w:r>
      <w:r>
        <w:rPr>
          <w:rFonts w:ascii="Arial" w:hAnsi="Arial" w:cs="Arial"/>
          <w:sz w:val="22"/>
          <w:szCs w:val="22"/>
        </w:rPr>
        <w:t xml:space="preserve">az uniós kötelezettségeknek megfelelően elkészített </w:t>
      </w:r>
      <w:r w:rsidRPr="00486B2E">
        <w:rPr>
          <w:rFonts w:ascii="Arial" w:hAnsi="Arial" w:cs="Arial"/>
          <w:sz w:val="22"/>
          <w:szCs w:val="22"/>
        </w:rPr>
        <w:t>Nemzeti Ütemterv</w:t>
      </w:r>
      <w:r w:rsidRPr="00486B2E">
        <w:rPr>
          <w:rStyle w:val="Lbjegyzet-hivatkozs"/>
          <w:rFonts w:ascii="Arial" w:hAnsi="Arial" w:cs="Arial"/>
          <w:sz w:val="22"/>
          <w:szCs w:val="22"/>
        </w:rPr>
        <w:footnoteReference w:id="17"/>
      </w:r>
      <w:r w:rsidRPr="00486B2E">
        <w:rPr>
          <w:rFonts w:ascii="Arial" w:hAnsi="Arial" w:cs="Arial"/>
          <w:sz w:val="22"/>
          <w:szCs w:val="22"/>
        </w:rPr>
        <w:t xml:space="preserve"> rögzítette.</w:t>
      </w:r>
    </w:p>
    <w:p w14:paraId="164440AB" w14:textId="77777777" w:rsidR="009D1CB7" w:rsidRDefault="00486B2E" w:rsidP="00486B2E">
      <w:pPr>
        <w:pStyle w:val="Behzottbekezdsnmhh"/>
        <w:rPr>
          <w:rFonts w:ascii="Arial" w:hAnsi="Arial" w:cs="Arial"/>
          <w:sz w:val="22"/>
          <w:szCs w:val="22"/>
          <w:lang w:bidi="hu-HU"/>
        </w:rPr>
      </w:pPr>
      <w:r w:rsidRPr="00486B2E">
        <w:rPr>
          <w:rFonts w:ascii="Arial" w:hAnsi="Arial" w:cs="Arial"/>
          <w:sz w:val="22"/>
          <w:szCs w:val="22"/>
          <w:lang w:bidi="hu-HU"/>
        </w:rPr>
        <w:t xml:space="preserve">A 700 MHz-es frekvenciasáv hasznosításának kérdése több, egymással összefüggő </w:t>
      </w:r>
      <w:r w:rsidR="00887C30" w:rsidRPr="00887C30">
        <w:rPr>
          <w:rFonts w:ascii="Arial" w:hAnsi="Arial" w:cs="Arial"/>
          <w:sz w:val="22"/>
          <w:szCs w:val="22"/>
          <w:lang w:bidi="hu-HU"/>
        </w:rPr>
        <w:t>rádióspektrum</w:t>
      </w:r>
      <w:r w:rsidR="00887C30">
        <w:rPr>
          <w:rFonts w:ascii="Arial" w:hAnsi="Arial" w:cs="Arial"/>
          <w:sz w:val="22"/>
          <w:szCs w:val="22"/>
          <w:lang w:bidi="hu-HU"/>
        </w:rPr>
        <w:t>-</w:t>
      </w:r>
      <w:r w:rsidRPr="00486B2E">
        <w:rPr>
          <w:rFonts w:ascii="Arial" w:hAnsi="Arial" w:cs="Arial"/>
          <w:sz w:val="22"/>
          <w:szCs w:val="22"/>
          <w:lang w:bidi="hu-HU"/>
        </w:rPr>
        <w:t xml:space="preserve">gazdálkodással kapcsolatos folyamatot, valamint több, </w:t>
      </w:r>
      <w:r w:rsidR="00887C30">
        <w:rPr>
          <w:rFonts w:ascii="Arial" w:hAnsi="Arial" w:cs="Arial"/>
          <w:sz w:val="22"/>
          <w:szCs w:val="22"/>
          <w:lang w:bidi="hu-HU"/>
        </w:rPr>
        <w:t>rádióspektrumot</w:t>
      </w:r>
      <w:r w:rsidR="00907102">
        <w:rPr>
          <w:rFonts w:ascii="Arial" w:hAnsi="Arial" w:cs="Arial"/>
          <w:sz w:val="22"/>
          <w:szCs w:val="22"/>
          <w:lang w:bidi="hu-HU"/>
        </w:rPr>
        <w:t xml:space="preserve"> </w:t>
      </w:r>
      <w:r w:rsidRPr="00486B2E">
        <w:rPr>
          <w:rFonts w:ascii="Arial" w:hAnsi="Arial" w:cs="Arial"/>
          <w:sz w:val="22"/>
          <w:szCs w:val="22"/>
          <w:lang w:bidi="hu-HU"/>
        </w:rPr>
        <w:t xml:space="preserve">használó ágazatot érint. </w:t>
      </w:r>
    </w:p>
    <w:p w14:paraId="1DEEED90" w14:textId="64E3E7E6" w:rsidR="00486B2E" w:rsidRPr="00486B2E" w:rsidRDefault="00486B2E" w:rsidP="00486B2E">
      <w:pPr>
        <w:pStyle w:val="Behzottbekezdsnmhh"/>
        <w:rPr>
          <w:rFonts w:ascii="Arial" w:hAnsi="Arial" w:cs="Arial"/>
          <w:sz w:val="22"/>
          <w:szCs w:val="22"/>
        </w:rPr>
      </w:pPr>
      <w:r w:rsidRPr="00486B2E">
        <w:rPr>
          <w:rFonts w:ascii="Arial" w:hAnsi="Arial" w:cs="Arial"/>
          <w:sz w:val="22"/>
          <w:szCs w:val="22"/>
          <w:lang w:bidi="hu-HU"/>
        </w:rPr>
        <w:t xml:space="preserve">Egyik kiemelt kérdés a </w:t>
      </w:r>
      <w:r w:rsidRPr="00486B2E">
        <w:rPr>
          <w:rFonts w:ascii="Arial" w:hAnsi="Arial" w:cs="Arial"/>
          <w:sz w:val="22"/>
          <w:szCs w:val="22"/>
        </w:rPr>
        <w:t>szélessávú PPDR hálózatok kiépítése a 700 MHz sávban, melyre több opció létezik a választható frekvenciasávok (pl. 700 MHz sáv mellett a 400 MHz sáv is felhasználható), továbbá a megvalósítás jellege szempontjából is (dedikált kormányzati hálózat üzemeltetése, kereskedelmi alapon nyújtott szolgáltatás igénybevétele vagy a kettőt ötvöző hibrid megoldás).</w:t>
      </w:r>
    </w:p>
    <w:p w14:paraId="721C6F9F" w14:textId="65161190" w:rsidR="00486B2E" w:rsidRPr="00486B2E" w:rsidRDefault="00486B2E" w:rsidP="00486B2E">
      <w:pPr>
        <w:pStyle w:val="Behzottbekezdsnmhh"/>
        <w:rPr>
          <w:rFonts w:ascii="Arial" w:hAnsi="Arial" w:cs="Arial"/>
          <w:sz w:val="22"/>
          <w:szCs w:val="22"/>
          <w:lang w:bidi="hu-HU"/>
        </w:rPr>
      </w:pPr>
      <w:r w:rsidRPr="00486B2E">
        <w:rPr>
          <w:rFonts w:ascii="Arial" w:hAnsi="Arial" w:cs="Arial"/>
          <w:sz w:val="22"/>
          <w:szCs w:val="22"/>
          <w:lang w:bidi="hu-HU"/>
        </w:rPr>
        <w:t>Az uniós kötelezettség alapján MFCN rendszerek számára használható 2x</w:t>
      </w:r>
      <w:r>
        <w:rPr>
          <w:rFonts w:ascii="Arial" w:hAnsi="Arial" w:cs="Arial"/>
          <w:sz w:val="22"/>
          <w:szCs w:val="22"/>
          <w:lang w:bidi="hu-HU"/>
        </w:rPr>
        <w:t>30 </w:t>
      </w:r>
      <w:r w:rsidRPr="00486B2E">
        <w:rPr>
          <w:rFonts w:ascii="Arial" w:hAnsi="Arial" w:cs="Arial"/>
          <w:sz w:val="22"/>
          <w:szCs w:val="22"/>
          <w:lang w:bidi="hu-HU"/>
        </w:rPr>
        <w:t xml:space="preserve">MHz sávból a 2020-ban </w:t>
      </w:r>
      <w:r>
        <w:rPr>
          <w:rFonts w:ascii="Arial" w:hAnsi="Arial" w:cs="Arial"/>
          <w:sz w:val="22"/>
          <w:szCs w:val="22"/>
          <w:lang w:bidi="hu-HU"/>
        </w:rPr>
        <w:t>lefolytatott</w:t>
      </w:r>
      <w:r w:rsidRPr="00486B2E">
        <w:rPr>
          <w:rFonts w:ascii="Arial" w:hAnsi="Arial" w:cs="Arial"/>
          <w:sz w:val="22"/>
          <w:szCs w:val="22"/>
          <w:lang w:bidi="hu-HU"/>
        </w:rPr>
        <w:t xml:space="preserve"> árverés során 2x</w:t>
      </w:r>
      <w:r>
        <w:rPr>
          <w:rFonts w:ascii="Arial" w:hAnsi="Arial" w:cs="Arial"/>
          <w:sz w:val="22"/>
          <w:szCs w:val="22"/>
          <w:lang w:bidi="hu-HU"/>
        </w:rPr>
        <w:t>25 </w:t>
      </w:r>
      <w:r w:rsidRPr="00486B2E">
        <w:rPr>
          <w:rFonts w:ascii="Arial" w:hAnsi="Arial" w:cs="Arial"/>
          <w:sz w:val="22"/>
          <w:szCs w:val="22"/>
          <w:lang w:bidi="hu-HU"/>
        </w:rPr>
        <w:t>MHz sávrész elosztásra került, a fennmaradó 2x5</w:t>
      </w:r>
      <w:r>
        <w:rPr>
          <w:rFonts w:ascii="Arial" w:hAnsi="Arial" w:cs="Arial"/>
          <w:sz w:val="22"/>
          <w:szCs w:val="22"/>
          <w:lang w:bidi="hu-HU"/>
        </w:rPr>
        <w:t> </w:t>
      </w:r>
      <w:r w:rsidRPr="00486B2E">
        <w:rPr>
          <w:rFonts w:ascii="Arial" w:hAnsi="Arial" w:cs="Arial"/>
          <w:sz w:val="22"/>
          <w:szCs w:val="22"/>
          <w:lang w:bidi="hu-HU"/>
        </w:rPr>
        <w:t>MHz sávrész továbbra is tervezett kategóriájú maradt a szélessávú PPDR rendszerek magyarországi spektrumigényének tisztázásáig.</w:t>
      </w:r>
    </w:p>
    <w:p w14:paraId="47F31D73" w14:textId="52416DAE" w:rsidR="00486B2E" w:rsidRDefault="00486B2E" w:rsidP="00486B2E">
      <w:pPr>
        <w:pStyle w:val="Behzottbekezdsnmhh"/>
        <w:rPr>
          <w:rFonts w:ascii="Arial" w:hAnsi="Arial" w:cs="Arial"/>
          <w:iCs/>
          <w:sz w:val="22"/>
          <w:szCs w:val="22"/>
        </w:rPr>
      </w:pPr>
      <w:r w:rsidRPr="00486B2E">
        <w:rPr>
          <w:rFonts w:ascii="Arial" w:hAnsi="Arial" w:cs="Arial"/>
          <w:iCs/>
          <w:sz w:val="22"/>
          <w:szCs w:val="22"/>
        </w:rPr>
        <w:t>Jelen meghallgatás során ismét felmérjük az igényeket, figyelembe véve az újgenerációs hálózatok egyre növekvő spektrumszükségletét, valamint a PPDR rendszerekkel kapcsolatos igényeket is.</w:t>
      </w:r>
    </w:p>
    <w:p w14:paraId="09C4C0BC" w14:textId="77777777" w:rsidR="00486B2E" w:rsidRPr="008731EE" w:rsidRDefault="00486B2E" w:rsidP="00486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8731EE">
        <w:rPr>
          <w:rFonts w:ascii="Arial" w:hAnsi="Arial" w:cs="Arial"/>
          <w:b/>
          <w:i/>
        </w:rPr>
        <w:t>A következő állításokkal kapcsolatban kérjük, fejtse ki véleményét</w:t>
      </w:r>
      <w:r>
        <w:rPr>
          <w:rFonts w:ascii="Arial" w:hAnsi="Arial" w:cs="Arial"/>
          <w:b/>
          <w:i/>
        </w:rPr>
        <w:t>!</w:t>
      </w:r>
    </w:p>
    <w:p w14:paraId="55F21A79" w14:textId="33294938" w:rsidR="00D64C04" w:rsidRDefault="00D64C04" w:rsidP="00D64C04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Az NMHH a szélessávú PPDR igényekre a 400 MHz-es frekvenciasávot tekinti elsődleges megoldásnak a dedikált 700 MHz-es frekvenciasávban rendelkezésre álló 2x5 és 2x3 MHz-es részsávok mellett.</w:t>
      </w:r>
    </w:p>
    <w:p w14:paraId="6398B451" w14:textId="541AFA61" w:rsidR="007F6986" w:rsidRDefault="00D64C04" w:rsidP="00D64C04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Az NMHH az MFCN kereskedelmi szolgáltatásra azonosított, harmonizált 2x5 MHz tervezett státuszát kijelöltre tervezi módosítani é</w:t>
      </w:r>
      <w:r w:rsidR="006F6EC1">
        <w:rPr>
          <w:rFonts w:ascii="Arial" w:hAnsi="Arial" w:cs="Arial"/>
          <w:i/>
        </w:rPr>
        <w:t>s PPDR kötelezettség alkalmazásával</w:t>
      </w:r>
      <w:r>
        <w:rPr>
          <w:rFonts w:ascii="Arial" w:hAnsi="Arial" w:cs="Arial"/>
          <w:i/>
        </w:rPr>
        <w:t xml:space="preserve"> </w:t>
      </w:r>
      <w:r w:rsidR="009D1CB7">
        <w:rPr>
          <w:rFonts w:ascii="Arial" w:hAnsi="Arial" w:cs="Arial"/>
          <w:i/>
        </w:rPr>
        <w:t xml:space="preserve">piaci igény esetén </w:t>
      </w:r>
      <w:r>
        <w:rPr>
          <w:rFonts w:ascii="Arial" w:hAnsi="Arial" w:cs="Arial"/>
          <w:i/>
        </w:rPr>
        <w:t xml:space="preserve">versenyeztetési eljárást </w:t>
      </w:r>
      <w:r w:rsidR="00B16F38">
        <w:rPr>
          <w:rFonts w:ascii="Arial" w:hAnsi="Arial" w:cs="Arial"/>
          <w:i/>
        </w:rPr>
        <w:t>indít</w:t>
      </w:r>
      <w:r>
        <w:rPr>
          <w:rFonts w:ascii="Arial" w:hAnsi="Arial" w:cs="Arial"/>
          <w:i/>
        </w:rPr>
        <w:t xml:space="preserve"> </w:t>
      </w:r>
      <w:r w:rsidR="00B16F38">
        <w:rPr>
          <w:rFonts w:ascii="Arial" w:hAnsi="Arial" w:cs="Arial"/>
          <w:i/>
        </w:rPr>
        <w:t>2024-ig</w:t>
      </w:r>
      <w:r>
        <w:rPr>
          <w:rFonts w:ascii="Arial" w:hAnsi="Arial" w:cs="Arial"/>
          <w:i/>
        </w:rPr>
        <w:t>.</w:t>
      </w:r>
    </w:p>
    <w:p w14:paraId="7A59DC11" w14:textId="09EB992E" w:rsidR="00140BDF" w:rsidRDefault="00140BDF" w:rsidP="00140BDF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Az NMHH vizsgálja a </w:t>
      </w:r>
      <w:r w:rsidRPr="00140BDF">
        <w:rPr>
          <w:rFonts w:ascii="Arial" w:hAnsi="Arial" w:cs="Arial"/>
          <w:i/>
        </w:rPr>
        <w:t>700 MHz-es frekvenciasávban</w:t>
      </w:r>
      <w:r w:rsidRPr="00140BDF">
        <w:t xml:space="preserve"> </w:t>
      </w:r>
      <w:r w:rsidRPr="00140BDF">
        <w:rPr>
          <w:rFonts w:ascii="Arial" w:hAnsi="Arial" w:cs="Arial"/>
          <w:i/>
        </w:rPr>
        <w:t xml:space="preserve">szélessávú PPDR igényekre rendelkezésre álló 2x5 </w:t>
      </w:r>
      <w:r w:rsidR="00CF5736">
        <w:rPr>
          <w:rFonts w:ascii="Arial" w:hAnsi="Arial" w:cs="Arial"/>
          <w:i/>
        </w:rPr>
        <w:t>vagy/</w:t>
      </w:r>
      <w:r w:rsidRPr="00140BDF">
        <w:rPr>
          <w:rFonts w:ascii="Arial" w:hAnsi="Arial" w:cs="Arial"/>
          <w:i/>
        </w:rPr>
        <w:t>és 2x3 MHz-es részsávok</w:t>
      </w:r>
      <w:r>
        <w:rPr>
          <w:rFonts w:ascii="Arial" w:hAnsi="Arial" w:cs="Arial"/>
          <w:i/>
        </w:rPr>
        <w:t xml:space="preserve"> esetleges </w:t>
      </w:r>
      <w:r w:rsidR="00A87B8C">
        <w:rPr>
          <w:rFonts w:ascii="Arial" w:hAnsi="Arial" w:cs="Arial"/>
          <w:i/>
        </w:rPr>
        <w:t>más célú hasznosításának lehetőségét</w:t>
      </w:r>
      <w:r w:rsidR="00CF5736">
        <w:rPr>
          <w:rFonts w:ascii="Arial" w:hAnsi="Arial" w:cs="Arial"/>
          <w:i/>
        </w:rPr>
        <w:t xml:space="preserve"> (pl. M2M, PMSE)</w:t>
      </w:r>
      <w:r w:rsidR="00A87B8C">
        <w:rPr>
          <w:rFonts w:ascii="Arial" w:hAnsi="Arial" w:cs="Arial"/>
          <w:i/>
        </w:rPr>
        <w:t>.</w:t>
      </w:r>
    </w:p>
    <w:p w14:paraId="30ACE949" w14:textId="52E79289" w:rsidR="00B53E39" w:rsidRPr="00670C9D" w:rsidRDefault="00B53E39" w:rsidP="00140BDF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Az NMHH úgy látja, hogy a duplex résben levő SDL hasznosításra nincs piaci igény.</w:t>
      </w:r>
    </w:p>
    <w:p w14:paraId="3B75D4BF" w14:textId="77777777" w:rsidR="002C2BCE" w:rsidRPr="002C2BCE" w:rsidRDefault="002C2BCE" w:rsidP="002C2BCE">
      <w:pPr>
        <w:jc w:val="both"/>
        <w:rPr>
          <w:rFonts w:ascii="Arial" w:hAnsi="Arial" w:cs="Arial"/>
          <w:b/>
        </w:rPr>
      </w:pPr>
    </w:p>
    <w:p w14:paraId="6270AD4C" w14:textId="346C57EC" w:rsidR="00167B8C" w:rsidRPr="009B5D48" w:rsidRDefault="00167B8C" w:rsidP="00167B8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9B5D48">
        <w:rPr>
          <w:rFonts w:ascii="Arial" w:hAnsi="Arial" w:cs="Arial"/>
          <w:b/>
        </w:rPr>
        <w:t xml:space="preserve">26 </w:t>
      </w:r>
      <w:proofErr w:type="spellStart"/>
      <w:r w:rsidRPr="009B5D48">
        <w:rPr>
          <w:rFonts w:ascii="Arial" w:hAnsi="Arial" w:cs="Arial"/>
          <w:b/>
        </w:rPr>
        <w:t>GHz</w:t>
      </w:r>
      <w:proofErr w:type="spellEnd"/>
      <w:r w:rsidRPr="009B5D48">
        <w:rPr>
          <w:rFonts w:ascii="Arial" w:hAnsi="Arial" w:cs="Arial"/>
          <w:b/>
        </w:rPr>
        <w:t>-es frekvenci</w:t>
      </w:r>
      <w:r w:rsidR="003A1314">
        <w:rPr>
          <w:rFonts w:ascii="Arial" w:hAnsi="Arial" w:cs="Arial"/>
          <w:b/>
        </w:rPr>
        <w:t>a</w:t>
      </w:r>
      <w:r w:rsidRPr="009B5D48">
        <w:rPr>
          <w:rFonts w:ascii="Arial" w:hAnsi="Arial" w:cs="Arial"/>
          <w:b/>
        </w:rPr>
        <w:t>sáv</w:t>
      </w:r>
    </w:p>
    <w:p w14:paraId="2C71C64A" w14:textId="2A0435AE" w:rsidR="002C2BCE" w:rsidRPr="002C2BCE" w:rsidRDefault="002C2BCE" w:rsidP="002C2BCE">
      <w:pPr>
        <w:pStyle w:val="Behzottbekezdsnmhh"/>
        <w:rPr>
          <w:rFonts w:ascii="Arial" w:hAnsi="Arial" w:cs="Arial"/>
          <w:sz w:val="22"/>
          <w:szCs w:val="22"/>
        </w:rPr>
      </w:pPr>
      <w:r w:rsidRPr="002C2BCE">
        <w:rPr>
          <w:rFonts w:ascii="Arial" w:hAnsi="Arial" w:cs="Arial"/>
          <w:sz w:val="22"/>
          <w:szCs w:val="22"/>
        </w:rPr>
        <w:t>A 24,5-26,5 </w:t>
      </w:r>
      <w:proofErr w:type="spellStart"/>
      <w:r w:rsidRPr="002C2BCE">
        <w:rPr>
          <w:rFonts w:ascii="Arial" w:hAnsi="Arial" w:cs="Arial"/>
          <w:sz w:val="22"/>
          <w:szCs w:val="22"/>
        </w:rPr>
        <w:t>GHz</w:t>
      </w:r>
      <w:proofErr w:type="spellEnd"/>
      <w:r w:rsidRPr="002C2BCE">
        <w:rPr>
          <w:rFonts w:ascii="Arial" w:hAnsi="Arial" w:cs="Arial"/>
          <w:sz w:val="22"/>
          <w:szCs w:val="22"/>
        </w:rPr>
        <w:t xml:space="preserve"> frekvenciasávban jelenleg állandóhelyű pont-pont és pont-többpont rendszerek működnek. Az ehhez szükséges rádióspektrum-használati jogosultságokat </w:t>
      </w:r>
      <w:proofErr w:type="spellStart"/>
      <w:r w:rsidR="009D1CB7">
        <w:rPr>
          <w:rFonts w:ascii="Arial" w:hAnsi="Arial" w:cs="Arial"/>
          <w:sz w:val="22"/>
          <w:szCs w:val="22"/>
        </w:rPr>
        <w:t>versenyezetési</w:t>
      </w:r>
      <w:proofErr w:type="spellEnd"/>
      <w:r w:rsidR="009D1CB7" w:rsidRPr="002C2BCE">
        <w:rPr>
          <w:rFonts w:ascii="Arial" w:hAnsi="Arial" w:cs="Arial"/>
          <w:sz w:val="22"/>
          <w:szCs w:val="22"/>
        </w:rPr>
        <w:t xml:space="preserve"> </w:t>
      </w:r>
      <w:r w:rsidRPr="002C2BCE">
        <w:rPr>
          <w:rFonts w:ascii="Arial" w:hAnsi="Arial" w:cs="Arial"/>
          <w:sz w:val="22"/>
          <w:szCs w:val="22"/>
        </w:rPr>
        <w:t xml:space="preserve">eljárások során szerezték a jogosultak és főként a mobil szolgáltatáshoz szükséges felhordóhálózati összeköttetéseket valósítanak meg a frekvenciasávban. A rádióspektrum-használati jogosultságok 2024-ben és 2027-ben járnak le (döntő többségük 2027-ben). </w:t>
      </w:r>
    </w:p>
    <w:p w14:paraId="23D0CF37" w14:textId="77777777" w:rsidR="002C2BCE" w:rsidRPr="002C2BCE" w:rsidRDefault="002C2BCE" w:rsidP="002C2BCE">
      <w:pPr>
        <w:pStyle w:val="Behzottbekezdsnmh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A 24,25–27,5 </w:t>
      </w:r>
      <w:proofErr w:type="spellStart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GHz</w:t>
      </w:r>
      <w:proofErr w:type="spellEnd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frekvenciasáv</w:t>
      </w:r>
      <w:r w:rsidRPr="002C2BCE">
        <w:rPr>
          <w:rFonts w:ascii="Arial" w:hAnsi="Arial" w:cs="Arial"/>
          <w:sz w:val="22"/>
          <w:szCs w:val="22"/>
        </w:rPr>
        <w:t xml:space="preserve"> (</w:t>
      </w:r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uniós spektrumpolitikai törekvésekkel összefüggésben</w:t>
      </w:r>
      <w:r w:rsidRPr="002C2BCE">
        <w:rPr>
          <w:rFonts w:ascii="Arial" w:hAnsi="Arial" w:cs="Arial"/>
          <w:sz w:val="22"/>
          <w:szCs w:val="22"/>
        </w:rPr>
        <w:t xml:space="preserve"> 26 </w:t>
      </w:r>
      <w:proofErr w:type="spellStart"/>
      <w:r w:rsidRPr="002C2BCE">
        <w:rPr>
          <w:rFonts w:ascii="Arial" w:hAnsi="Arial" w:cs="Arial"/>
          <w:sz w:val="22"/>
          <w:szCs w:val="22"/>
        </w:rPr>
        <w:t>GHz</w:t>
      </w:r>
      <w:proofErr w:type="spellEnd"/>
      <w:r w:rsidRPr="002C2BCE">
        <w:rPr>
          <w:rFonts w:ascii="Arial" w:hAnsi="Arial" w:cs="Arial"/>
          <w:sz w:val="22"/>
          <w:szCs w:val="22"/>
        </w:rPr>
        <w:t xml:space="preserve">-es frekvenciasávnak nevezett frekvenciasáv) jövőbeli használatára vonatkozóan számos </w:t>
      </w:r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nemzetközi szabályozási dokumentum született. Szabályozási szempontból kiemelkednek közülük a kötelezettséget megállapító uniós jogi aktusok, amelyek alapján a 26 </w:t>
      </w:r>
      <w:proofErr w:type="spellStart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GHz</w:t>
      </w:r>
      <w:proofErr w:type="spellEnd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-es frekvenciasávot (ami szélesebb, mint a jelenleg állandóhelyű összeköttetésekre használt, első bekezdésben említett frekvenciasáv) </w:t>
      </w:r>
      <w:r w:rsidRPr="002C2BCE">
        <w:rPr>
          <w:rFonts w:ascii="Arial" w:hAnsi="Arial" w:cs="Arial"/>
          <w:sz w:val="22"/>
          <w:szCs w:val="22"/>
        </w:rPr>
        <w:t>mozgó és állandóhelyű hírközlési hálózatokkal (</w:t>
      </w:r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MFCN</w:t>
      </w:r>
      <w:r w:rsidRPr="002C2BCE">
        <w:rPr>
          <w:rStyle w:val="Lbjegyzet-hivatkozs"/>
          <w:rFonts w:ascii="Arial" w:hAnsi="Arial" w:cs="Arial"/>
          <w:color w:val="000000"/>
          <w:sz w:val="22"/>
          <w:szCs w:val="22"/>
          <w:shd w:val="clear" w:color="auto" w:fill="FFFFFF"/>
        </w:rPr>
        <w:footnoteReference w:id="18"/>
      </w:r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</w:t>
      </w:r>
      <w:r w:rsidRPr="002C2BCE">
        <w:rPr>
          <w:rFonts w:ascii="Arial" w:hAnsi="Arial" w:cs="Arial"/>
          <w:sz w:val="22"/>
          <w:szCs w:val="22"/>
        </w:rPr>
        <w:t xml:space="preserve">megvalósítható </w:t>
      </w:r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vezetéknélküli szélessávú elektronikus hírközlési szolgáltatás nyújtására alkalmas földfelszíni rendszerek számára kell kijelölni és rendelkezésre bocsátani. A 26 </w:t>
      </w:r>
      <w:proofErr w:type="spellStart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GHz</w:t>
      </w:r>
      <w:proofErr w:type="spellEnd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-es frekvenciasáv az unió által 5G korai bevezetésére azonosított frekvenciasávok egyike (5G úttörő sáv). </w:t>
      </w:r>
    </w:p>
    <w:p w14:paraId="04C9FAD7" w14:textId="77777777" w:rsidR="009D1CB7" w:rsidRDefault="002C2BCE" w:rsidP="002C2BCE">
      <w:pPr>
        <w:pStyle w:val="Behzottbekezdsnmh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26 </w:t>
      </w:r>
      <w:proofErr w:type="spellStart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GHz</w:t>
      </w:r>
      <w:proofErr w:type="spellEnd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-es frekvenciasávban az újgenerációs rádiós rendszerek (5G NR</w:t>
      </w:r>
      <w:r w:rsidRPr="002C2BCE">
        <w:rPr>
          <w:rStyle w:val="Lbjegyzet-hivatkozs"/>
          <w:rFonts w:ascii="Arial" w:hAnsi="Arial" w:cs="Arial"/>
          <w:color w:val="000000"/>
          <w:sz w:val="22"/>
          <w:szCs w:val="22"/>
          <w:shd w:val="clear" w:color="auto" w:fill="FFFFFF"/>
        </w:rPr>
        <w:footnoteReference w:id="19"/>
      </w:r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bevezetésével kapcsolatban a frekvenciasáv használatára vonatkozó igények megismerése szükséges a jövőbeli konkrét szabályozói lépések meghatározásához. </w:t>
      </w:r>
    </w:p>
    <w:p w14:paraId="1CAA2BA7" w14:textId="150F3DFE" w:rsidR="002C2BCE" w:rsidRPr="002C2BCE" w:rsidRDefault="002C2BCE" w:rsidP="002C2BCE">
      <w:pPr>
        <w:pStyle w:val="Behzottbekezdsnmh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A nyilvános meghallgatás eredményeként lehet dönteni a frekvenciasáv jövőbeli használati lehetőségeiről, különösen az elosztás módjáról (így pl. a frekvenciasáv teljes vagy részbeni elérhetővé tétele 5G célra, versenyeztetési eljárás, illetve egyéb engedélyezési módszer lehetősége, országos és/vagy helyi igények kielégítése, stb.). A lehetséges lépések között szerepel az alternatív használat, a megosztott használat országos és helyi igények kielégítését szolgáló rendszerek között és ehhez igazítottan vegyes engedélyezési rezsim bevezetése is.</w:t>
      </w:r>
      <w:proofErr w:type="gramEnd"/>
    </w:p>
    <w:p w14:paraId="11560B35" w14:textId="7E8C10E6" w:rsidR="009D1CB7" w:rsidRDefault="002C2BCE" w:rsidP="002C2BCE">
      <w:pPr>
        <w:pStyle w:val="Behzottbekezdsnmhh"/>
        <w:rPr>
          <w:rFonts w:ascii="Arial" w:eastAsia="Calibri" w:hAnsi="Arial" w:cs="Arial"/>
          <w:iCs/>
          <w:sz w:val="22"/>
          <w:szCs w:val="22"/>
        </w:rPr>
      </w:pPr>
      <w:r w:rsidRPr="002C2BCE">
        <w:rPr>
          <w:rFonts w:ascii="Arial" w:eastAsia="Calibri" w:hAnsi="Arial" w:cs="Arial"/>
          <w:iCs/>
          <w:sz w:val="22"/>
          <w:szCs w:val="22"/>
        </w:rPr>
        <w:t>A</w:t>
      </w:r>
      <w:r>
        <w:rPr>
          <w:rFonts w:ascii="Arial" w:eastAsia="Calibri" w:hAnsi="Arial" w:cs="Arial"/>
          <w:iCs/>
          <w:sz w:val="22"/>
          <w:szCs w:val="22"/>
        </w:rPr>
        <w:t>z</w:t>
      </w:r>
      <w:r w:rsidRPr="002C2BCE">
        <w:rPr>
          <w:rFonts w:ascii="Arial" w:eastAsia="Calibri" w:hAnsi="Arial" w:cs="Arial"/>
          <w:iCs/>
          <w:sz w:val="22"/>
          <w:szCs w:val="22"/>
        </w:rPr>
        <w:t xml:space="preserve"> NMHH már 2017-ben és 2019-ben megrendezett nyilvános meghallgatásán is napirendre tűzte a 26 </w:t>
      </w:r>
      <w:proofErr w:type="spellStart"/>
      <w:r w:rsidRPr="002C2BCE">
        <w:rPr>
          <w:rFonts w:ascii="Arial" w:eastAsia="Calibri" w:hAnsi="Arial" w:cs="Arial"/>
          <w:iCs/>
          <w:sz w:val="22"/>
          <w:szCs w:val="22"/>
        </w:rPr>
        <w:t>GHz</w:t>
      </w:r>
      <w:proofErr w:type="spellEnd"/>
      <w:r w:rsidRPr="002C2BCE">
        <w:rPr>
          <w:rFonts w:ascii="Arial" w:eastAsia="Calibri" w:hAnsi="Arial" w:cs="Arial"/>
          <w:iCs/>
          <w:sz w:val="22"/>
          <w:szCs w:val="22"/>
        </w:rPr>
        <w:t xml:space="preserve">-es frekvenciasáv kérdését. Mindkét nyilvános meghallgatás ugyanazzal az eredménnyel zárult. A </w:t>
      </w:r>
      <w:r w:rsidRPr="002C2BCE">
        <w:rPr>
          <w:rFonts w:ascii="Arial" w:hAnsi="Arial" w:cs="Arial"/>
          <w:sz w:val="22"/>
          <w:szCs w:val="22"/>
        </w:rPr>
        <w:t>24,5-26,5 </w:t>
      </w:r>
      <w:proofErr w:type="spellStart"/>
      <w:r w:rsidRPr="002C2BCE">
        <w:rPr>
          <w:rFonts w:ascii="Arial" w:hAnsi="Arial" w:cs="Arial"/>
          <w:sz w:val="22"/>
          <w:szCs w:val="22"/>
        </w:rPr>
        <w:t>GHz</w:t>
      </w:r>
      <w:proofErr w:type="spellEnd"/>
      <w:r w:rsidRPr="002C2BCE">
        <w:rPr>
          <w:rFonts w:ascii="Arial" w:hAnsi="Arial" w:cs="Arial"/>
          <w:sz w:val="22"/>
          <w:szCs w:val="22"/>
        </w:rPr>
        <w:t xml:space="preserve"> frekvenciasávban felhordó hálózatokat </w:t>
      </w:r>
      <w:r w:rsidRPr="002C2BCE">
        <w:rPr>
          <w:rFonts w:ascii="Arial" w:eastAsia="Calibri" w:hAnsi="Arial" w:cs="Arial"/>
          <w:iCs/>
          <w:sz w:val="22"/>
          <w:szCs w:val="22"/>
        </w:rPr>
        <w:t>üzemeltető szolgáltatók a meglévő hálózatok védelme érdekében, tekintettel a saját mobil szolgáltatással kapcsolatos terveikre, a rendelkezésre álló frekvenciasávok összefüggéseit is vizsgálva, korainak tartották</w:t>
      </w:r>
      <w:r w:rsidRPr="002C2BCE" w:rsidDel="006736DE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2C2BCE">
        <w:rPr>
          <w:rFonts w:ascii="Arial" w:eastAsia="Calibri" w:hAnsi="Arial" w:cs="Arial"/>
          <w:iCs/>
          <w:sz w:val="22"/>
          <w:szCs w:val="22"/>
        </w:rPr>
        <w:t>a 26 </w:t>
      </w:r>
      <w:proofErr w:type="spellStart"/>
      <w:r w:rsidRPr="002C2BCE">
        <w:rPr>
          <w:rFonts w:ascii="Arial" w:eastAsia="Calibri" w:hAnsi="Arial" w:cs="Arial"/>
          <w:iCs/>
          <w:sz w:val="22"/>
          <w:szCs w:val="22"/>
        </w:rPr>
        <w:t>GHz</w:t>
      </w:r>
      <w:proofErr w:type="spellEnd"/>
      <w:r w:rsidRPr="002C2BCE">
        <w:rPr>
          <w:rFonts w:ascii="Arial" w:eastAsia="Calibri" w:hAnsi="Arial" w:cs="Arial"/>
          <w:iCs/>
          <w:sz w:val="22"/>
          <w:szCs w:val="22"/>
        </w:rPr>
        <w:t xml:space="preserve">-es frekvenciasávban az 5G bevezetését lehetővé tevő versenyeztetési eljárás megindítását. A jelenlegi jogosultakon kívül piaci igény nem jelentkezett a sáv használata iránt. </w:t>
      </w:r>
    </w:p>
    <w:p w14:paraId="475961C3" w14:textId="5C50583D" w:rsidR="002C2BCE" w:rsidRPr="002C2BCE" w:rsidRDefault="002C2BCE" w:rsidP="002C2BCE">
      <w:pPr>
        <w:pStyle w:val="Behzottbekezdsnmhh"/>
        <w:rPr>
          <w:rFonts w:ascii="Arial" w:eastAsia="Calibri" w:hAnsi="Arial" w:cs="Arial"/>
          <w:iCs/>
          <w:sz w:val="22"/>
          <w:szCs w:val="22"/>
        </w:rPr>
      </w:pPr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A nyilvános meghallgatással az NMHH célja a jelenlegi jogosultak terveinek, igényeinek megismerése, a jelenlegi jogosultakon kívüli igények felmérése.</w:t>
      </w:r>
    </w:p>
    <w:p w14:paraId="4B08433E" w14:textId="77777777" w:rsidR="002C2BCE" w:rsidRPr="002C2BCE" w:rsidRDefault="002C2BCE" w:rsidP="002C2BCE">
      <w:pPr>
        <w:pStyle w:val="Behzottbekezdsnmh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A felhordóhálózati összeköttetések működtetéséhez szükséges rádióspektrumot biztosítani kell. Amennyiben a 26 </w:t>
      </w:r>
      <w:proofErr w:type="spellStart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GHz</w:t>
      </w:r>
      <w:proofErr w:type="spellEnd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-es frekvenciasáv használhatóságára vonatkozó szabályok változnak, az azt követő időszakra más frekvenciasávot kell elérhetővé tenni és </w:t>
      </w:r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tekintettel kell lenni a migráció időigényére is. A migrációra a 31,8-33,4 </w:t>
      </w:r>
      <w:proofErr w:type="spellStart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GHz</w:t>
      </w:r>
      <w:proofErr w:type="spellEnd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frekvenciasáv (a továbbiakban: 32 </w:t>
      </w:r>
      <w:proofErr w:type="spellStart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GHz</w:t>
      </w:r>
      <w:proofErr w:type="spellEnd"/>
      <w:r w:rsidRPr="002C2BCE">
        <w:rPr>
          <w:rFonts w:ascii="Arial" w:hAnsi="Arial" w:cs="Arial"/>
          <w:color w:val="000000"/>
          <w:sz w:val="22"/>
          <w:szCs w:val="22"/>
          <w:shd w:val="clear" w:color="auto" w:fill="FFFFFF"/>
        </w:rPr>
        <w:t>-es frekvenciasáv) nyújthat megoldást, mind a rendelkezésre álló spektrummennyiség, mind a sávjellemzők tekintetében.</w:t>
      </w:r>
    </w:p>
    <w:p w14:paraId="1C9E6932" w14:textId="7B7C87C9" w:rsidR="00E031A2" w:rsidRPr="008731EE" w:rsidRDefault="00E031A2" w:rsidP="00E0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8731EE">
        <w:rPr>
          <w:rFonts w:ascii="Arial" w:hAnsi="Arial" w:cs="Arial"/>
          <w:b/>
          <w:i/>
        </w:rPr>
        <w:t>A következő állításokkal kapcsolatban kérjük, fejtse ki véleményét</w:t>
      </w:r>
      <w:r w:rsidR="00C92674">
        <w:rPr>
          <w:rFonts w:ascii="Arial" w:hAnsi="Arial" w:cs="Arial"/>
          <w:b/>
          <w:i/>
        </w:rPr>
        <w:t>!</w:t>
      </w:r>
    </w:p>
    <w:p w14:paraId="0436609C" w14:textId="7B428C29" w:rsidR="00E031A2" w:rsidRDefault="00241F6A" w:rsidP="009D1CB7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670C9D">
        <w:rPr>
          <w:rFonts w:ascii="Arial" w:hAnsi="Arial" w:cs="Arial"/>
          <w:i/>
        </w:rPr>
        <w:t xml:space="preserve">Az NMHH </w:t>
      </w:r>
      <w:r w:rsidR="009D1CB7">
        <w:rPr>
          <w:rFonts w:ascii="Arial" w:hAnsi="Arial" w:cs="Arial"/>
          <w:i/>
        </w:rPr>
        <w:t xml:space="preserve">– az 5G bevezethetősége szempontjából – </w:t>
      </w:r>
      <w:r w:rsidR="00FF0685">
        <w:rPr>
          <w:rFonts w:ascii="Arial" w:hAnsi="Arial" w:cs="Arial"/>
          <w:i/>
        </w:rPr>
        <w:t xml:space="preserve">nem látja </w:t>
      </w:r>
      <w:r w:rsidR="00E60649">
        <w:rPr>
          <w:rFonts w:ascii="Arial" w:hAnsi="Arial" w:cs="Arial"/>
          <w:i/>
        </w:rPr>
        <w:t xml:space="preserve">biztosítottnak a </w:t>
      </w:r>
      <w:r w:rsidR="00FF0685">
        <w:rPr>
          <w:rFonts w:ascii="Arial" w:hAnsi="Arial" w:cs="Arial"/>
          <w:i/>
        </w:rPr>
        <w:t>rádióspektrum</w:t>
      </w:r>
      <w:r w:rsidR="00070331">
        <w:rPr>
          <w:rFonts w:ascii="Arial" w:hAnsi="Arial" w:cs="Arial"/>
          <w:i/>
        </w:rPr>
        <w:t xml:space="preserve"> </w:t>
      </w:r>
      <w:r w:rsidR="00FF0685">
        <w:rPr>
          <w:rFonts w:ascii="Arial" w:hAnsi="Arial" w:cs="Arial"/>
          <w:i/>
        </w:rPr>
        <w:t xml:space="preserve">hatékony </w:t>
      </w:r>
      <w:proofErr w:type="spellStart"/>
      <w:r w:rsidR="00FF0685">
        <w:rPr>
          <w:rFonts w:ascii="Arial" w:hAnsi="Arial" w:cs="Arial"/>
          <w:i/>
        </w:rPr>
        <w:t>használatá</w:t>
      </w:r>
      <w:r w:rsidR="00070331">
        <w:rPr>
          <w:rFonts w:ascii="Arial" w:hAnsi="Arial" w:cs="Arial"/>
          <w:i/>
        </w:rPr>
        <w:t>t</w:t>
      </w:r>
      <w:r w:rsidR="00FF0685">
        <w:rPr>
          <w:rFonts w:ascii="Arial" w:hAnsi="Arial" w:cs="Arial"/>
          <w:i/>
        </w:rPr>
        <w:t>ha</w:t>
      </w:r>
      <w:proofErr w:type="spellEnd"/>
      <w:r w:rsidR="00FF0685">
        <w:rPr>
          <w:rFonts w:ascii="Arial" w:hAnsi="Arial" w:cs="Arial"/>
          <w:i/>
        </w:rPr>
        <w:t xml:space="preserve"> </w:t>
      </w:r>
      <w:r w:rsidR="009D1CB7" w:rsidRPr="009D1CB7">
        <w:rPr>
          <w:rFonts w:ascii="Arial" w:hAnsi="Arial" w:cs="Arial"/>
          <w:i/>
        </w:rPr>
        <w:t xml:space="preserve">a 26 </w:t>
      </w:r>
      <w:proofErr w:type="spellStart"/>
      <w:r w:rsidR="009D1CB7" w:rsidRPr="009D1CB7">
        <w:rPr>
          <w:rFonts w:ascii="Arial" w:hAnsi="Arial" w:cs="Arial"/>
          <w:i/>
        </w:rPr>
        <w:t>GHz</w:t>
      </w:r>
      <w:proofErr w:type="spellEnd"/>
      <w:r w:rsidR="009D1CB7" w:rsidRPr="009D1CB7">
        <w:rPr>
          <w:rFonts w:ascii="Arial" w:hAnsi="Arial" w:cs="Arial"/>
          <w:i/>
        </w:rPr>
        <w:t xml:space="preserve">-es frekvenciasávból </w:t>
      </w:r>
      <w:r w:rsidR="00FF0685">
        <w:rPr>
          <w:rFonts w:ascii="Arial" w:hAnsi="Arial" w:cs="Arial"/>
          <w:i/>
        </w:rPr>
        <w:t xml:space="preserve">csak </w:t>
      </w:r>
      <w:r>
        <w:rPr>
          <w:rFonts w:ascii="Arial" w:hAnsi="Arial" w:cs="Arial"/>
          <w:i/>
        </w:rPr>
        <w:t xml:space="preserve">a </w:t>
      </w:r>
      <w:r w:rsidR="00676BC0" w:rsidRPr="00676BC0">
        <w:rPr>
          <w:rFonts w:ascii="Arial" w:hAnsi="Arial" w:cs="Arial"/>
          <w:i/>
        </w:rPr>
        <w:t xml:space="preserve">24,5-26,5 </w:t>
      </w:r>
      <w:proofErr w:type="spellStart"/>
      <w:r w:rsidR="00676BC0" w:rsidRPr="00676BC0">
        <w:rPr>
          <w:rFonts w:ascii="Arial" w:hAnsi="Arial" w:cs="Arial"/>
          <w:i/>
        </w:rPr>
        <w:t>GHz</w:t>
      </w:r>
      <w:proofErr w:type="spellEnd"/>
      <w:r w:rsidR="00676BC0" w:rsidRPr="00676BC0">
        <w:rPr>
          <w:rFonts w:ascii="Arial" w:hAnsi="Arial" w:cs="Arial"/>
          <w:i/>
        </w:rPr>
        <w:t xml:space="preserve"> </w:t>
      </w:r>
      <w:r w:rsidR="00676BC0">
        <w:rPr>
          <w:rFonts w:ascii="Arial" w:hAnsi="Arial" w:cs="Arial"/>
          <w:i/>
        </w:rPr>
        <w:t>sávrészen kívüli rádióspektrumot hasznosítaná MFCN célokra</w:t>
      </w:r>
      <w:r w:rsidRPr="00670C9D">
        <w:rPr>
          <w:rFonts w:ascii="Arial" w:hAnsi="Arial" w:cs="Arial"/>
          <w:i/>
        </w:rPr>
        <w:t>.</w:t>
      </w:r>
    </w:p>
    <w:p w14:paraId="652AC284" w14:textId="43080511" w:rsidR="00070331" w:rsidRDefault="00070331" w:rsidP="00676BC0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Az NMHH </w:t>
      </w:r>
      <w:r w:rsidR="009D1CB7">
        <w:rPr>
          <w:rFonts w:ascii="Arial" w:hAnsi="Arial" w:cs="Arial"/>
          <w:i/>
        </w:rPr>
        <w:t xml:space="preserve">a 26 </w:t>
      </w:r>
      <w:proofErr w:type="spellStart"/>
      <w:r w:rsidR="009D1CB7">
        <w:rPr>
          <w:rFonts w:ascii="Arial" w:hAnsi="Arial" w:cs="Arial"/>
          <w:i/>
        </w:rPr>
        <w:t>GHz</w:t>
      </w:r>
      <w:proofErr w:type="spellEnd"/>
      <w:r w:rsidR="009D1CB7">
        <w:rPr>
          <w:rFonts w:ascii="Arial" w:hAnsi="Arial" w:cs="Arial"/>
          <w:i/>
        </w:rPr>
        <w:t xml:space="preserve">-es frekvenciasávban </w:t>
      </w:r>
      <w:r>
        <w:rPr>
          <w:rFonts w:ascii="Arial" w:hAnsi="Arial" w:cs="Arial"/>
          <w:i/>
        </w:rPr>
        <w:t xml:space="preserve">rövidebb időtartamra (legfeljebb 5 évre) elképzelhetőnek látja 200 MHz </w:t>
      </w:r>
      <w:r w:rsidR="009D1CB7">
        <w:rPr>
          <w:rFonts w:ascii="Arial" w:hAnsi="Arial" w:cs="Arial"/>
          <w:i/>
        </w:rPr>
        <w:t xml:space="preserve">spektrummennyiség </w:t>
      </w:r>
      <w:r>
        <w:rPr>
          <w:rFonts w:ascii="Arial" w:hAnsi="Arial" w:cs="Arial"/>
          <w:i/>
        </w:rPr>
        <w:t>érkezési sorrend szerint történő használat</w:t>
      </w:r>
      <w:r w:rsidR="009D1CB7">
        <w:rPr>
          <w:rFonts w:ascii="Arial" w:hAnsi="Arial" w:cs="Arial"/>
          <w:i/>
        </w:rPr>
        <w:t>ának</w:t>
      </w:r>
      <w:r>
        <w:rPr>
          <w:rFonts w:ascii="Arial" w:hAnsi="Arial" w:cs="Arial"/>
          <w:i/>
        </w:rPr>
        <w:t xml:space="preserve"> engedélyezését.</w:t>
      </w:r>
    </w:p>
    <w:p w14:paraId="3524F20D" w14:textId="25B746E7" w:rsidR="00E031A2" w:rsidRPr="00036DF4" w:rsidRDefault="00676BC0" w:rsidP="00D64C04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Amennyiben nem országos MFCN célú használat bevezetését tervezi, az </w:t>
      </w:r>
      <w:r w:rsidR="009D1CB7">
        <w:rPr>
          <w:rFonts w:ascii="Arial" w:hAnsi="Arial" w:cs="Arial"/>
          <w:i/>
        </w:rPr>
        <w:t>Ö</w:t>
      </w:r>
      <w:r>
        <w:rPr>
          <w:rFonts w:ascii="Arial" w:hAnsi="Arial" w:cs="Arial"/>
          <w:i/>
        </w:rPr>
        <w:t>n részére engedélyezett rádióspek</w:t>
      </w:r>
      <w:r w:rsidR="00C3618B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rum használatával kérjük, ismertesse terveit olyan mélységben, ami alapj</w:t>
      </w:r>
      <w:r w:rsidR="00E60649">
        <w:rPr>
          <w:rFonts w:ascii="Arial" w:hAnsi="Arial" w:cs="Arial"/>
          <w:i/>
        </w:rPr>
        <w:t>á</w:t>
      </w:r>
      <w:r>
        <w:rPr>
          <w:rFonts w:ascii="Arial" w:hAnsi="Arial" w:cs="Arial"/>
          <w:i/>
        </w:rPr>
        <w:t>n piaci igény</w:t>
      </w:r>
      <w:r w:rsidR="00E60649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 xml:space="preserve"> megalapozottságának vizsgálata elkezdhető legyen</w:t>
      </w:r>
      <w:r w:rsidR="00E031A2" w:rsidRPr="00036DF4">
        <w:rPr>
          <w:rFonts w:ascii="Arial" w:hAnsi="Arial" w:cs="Arial"/>
          <w:i/>
        </w:rPr>
        <w:t>.</w:t>
      </w:r>
    </w:p>
    <w:p w14:paraId="6566AB18" w14:textId="39C15C3A" w:rsidR="00597B64" w:rsidRPr="00036DF4" w:rsidRDefault="00597B64" w:rsidP="00D64C04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036DF4">
        <w:rPr>
          <w:rFonts w:ascii="Arial" w:hAnsi="Arial" w:cs="Arial"/>
          <w:i/>
        </w:rPr>
        <w:t xml:space="preserve">Az 5G mihamarabbi bevezethetősége érdekében az uniós kötelezettség alapján a meglevő </w:t>
      </w:r>
      <w:r w:rsidR="00676BC0">
        <w:rPr>
          <w:rFonts w:ascii="Arial" w:hAnsi="Arial" w:cs="Arial"/>
          <w:i/>
        </w:rPr>
        <w:t>rádióspektrum-használati jogosultságok szerinti használati mód mihamarabbi változtatása szükséges</w:t>
      </w:r>
      <w:r w:rsidRPr="00036DF4">
        <w:rPr>
          <w:rFonts w:ascii="Arial" w:hAnsi="Arial" w:cs="Arial"/>
          <w:i/>
        </w:rPr>
        <w:t>.</w:t>
      </w:r>
    </w:p>
    <w:p w14:paraId="2EBEB7C6" w14:textId="77777777" w:rsidR="00C1109C" w:rsidRPr="00C1109C" w:rsidRDefault="00C1109C" w:rsidP="00C1109C">
      <w:pPr>
        <w:ind w:left="360"/>
        <w:jc w:val="both"/>
        <w:rPr>
          <w:rFonts w:ascii="Arial" w:hAnsi="Arial" w:cs="Arial"/>
          <w:b/>
          <w:i/>
        </w:rPr>
      </w:pPr>
    </w:p>
    <w:p w14:paraId="659CEAAA" w14:textId="01F6564F" w:rsidR="00C1109C" w:rsidRDefault="00C1109C" w:rsidP="00C1109C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Harmonizációval érintett</w:t>
      </w:r>
      <w:r w:rsidRPr="008B056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még nem értékesített </w:t>
      </w:r>
      <w:r w:rsidRPr="008B0565">
        <w:rPr>
          <w:rFonts w:ascii="Arial" w:hAnsi="Arial" w:cs="Arial"/>
          <w:b/>
          <w:i/>
        </w:rPr>
        <w:t>sávok</w:t>
      </w:r>
    </w:p>
    <w:p w14:paraId="6259CD45" w14:textId="77777777" w:rsidR="009D1CB7" w:rsidRPr="009075E4" w:rsidRDefault="009D1CB7" w:rsidP="006527BE">
      <w:pPr>
        <w:spacing w:after="0"/>
        <w:jc w:val="both"/>
        <w:rPr>
          <w:rFonts w:ascii="Arial" w:hAnsi="Arial" w:cs="Arial"/>
          <w:b/>
          <w:i/>
        </w:rPr>
      </w:pPr>
    </w:p>
    <w:p w14:paraId="4FE35D64" w14:textId="015D60BB" w:rsidR="004E509A" w:rsidRPr="00597B64" w:rsidRDefault="004E509A" w:rsidP="004E509A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97B64">
        <w:rPr>
          <w:rFonts w:ascii="Arial" w:hAnsi="Arial" w:cs="Arial"/>
          <w:b/>
        </w:rPr>
        <w:t>15</w:t>
      </w:r>
      <w:r w:rsidR="000B14B4">
        <w:rPr>
          <w:rFonts w:ascii="Arial" w:hAnsi="Arial" w:cs="Arial"/>
          <w:b/>
        </w:rPr>
        <w:t>00</w:t>
      </w:r>
      <w:r w:rsidRPr="00597B64">
        <w:rPr>
          <w:rFonts w:ascii="Arial" w:hAnsi="Arial" w:cs="Arial"/>
          <w:b/>
        </w:rPr>
        <w:t xml:space="preserve"> </w:t>
      </w:r>
      <w:r w:rsidR="000B14B4">
        <w:rPr>
          <w:rFonts w:ascii="Arial" w:hAnsi="Arial" w:cs="Arial"/>
          <w:b/>
        </w:rPr>
        <w:t>M</w:t>
      </w:r>
      <w:r w:rsidR="00036DF4">
        <w:rPr>
          <w:rFonts w:ascii="Arial" w:hAnsi="Arial" w:cs="Arial"/>
          <w:b/>
        </w:rPr>
        <w:t>H</w:t>
      </w:r>
      <w:r w:rsidRPr="00597B64">
        <w:rPr>
          <w:rFonts w:ascii="Arial" w:hAnsi="Arial" w:cs="Arial"/>
          <w:b/>
        </w:rPr>
        <w:t>z-es frekvenciasáv hasznosítása</w:t>
      </w:r>
    </w:p>
    <w:p w14:paraId="6E1751C5" w14:textId="1B9D8C40" w:rsidR="000E0A73" w:rsidRPr="005060C9" w:rsidRDefault="000E0A73" w:rsidP="000E0A73">
      <w:pPr>
        <w:pStyle w:val="Behzottbekezdsnmhh"/>
        <w:spacing w:before="120"/>
        <w:rPr>
          <w:rFonts w:ascii="Arial" w:hAnsi="Arial" w:cs="Arial"/>
          <w:sz w:val="22"/>
          <w:szCs w:val="22"/>
        </w:rPr>
      </w:pPr>
      <w:r w:rsidRPr="005060C9">
        <w:rPr>
          <w:rFonts w:ascii="Arial" w:hAnsi="Arial" w:cs="Arial"/>
          <w:sz w:val="22"/>
          <w:szCs w:val="22"/>
        </w:rPr>
        <w:t xml:space="preserve">Az 1427-1518 MHz frekvenciasáv (a továbbiakban: 1500 MHz-es frekvenciasáv) MFCN számára harmonizált az Európai Unióban. A vonatkozó uniós szabályozás elfogadása két lépésben történt. Első </w:t>
      </w:r>
      <w:proofErr w:type="gramStart"/>
      <w:r w:rsidRPr="005060C9">
        <w:rPr>
          <w:rFonts w:ascii="Arial" w:hAnsi="Arial" w:cs="Arial"/>
          <w:sz w:val="22"/>
          <w:szCs w:val="22"/>
        </w:rPr>
        <w:t>lépésben</w:t>
      </w:r>
      <w:proofErr w:type="gramEnd"/>
      <w:r w:rsidRPr="005060C9">
        <w:rPr>
          <w:rFonts w:ascii="Arial" w:hAnsi="Arial" w:cs="Arial"/>
          <w:sz w:val="22"/>
          <w:szCs w:val="22"/>
        </w:rPr>
        <w:t xml:space="preserve"> az európai országokban korábban digitális hangműsorszórásra tervezett 1452–1492 MHz frekvenciasáv MFCN célú használatáról született bizottsági végrehajtási határozat, majd a szomszédos 1427-1452 MHz és 1492-1518 MHz frekvenciasávokra kiterjesztett módosító határozat is elfogadásra került. A tagállamok vagy a teljes harmonizált frekvenciasávot, vagy annak egy részét kell, hogy MFCN célokra elérhetővé tegyék. Az, hogy az 1500 MHz-es frekvenciasávnak</w:t>
      </w:r>
      <w:r w:rsidRPr="005060C9" w:rsidDel="00994AF6">
        <w:rPr>
          <w:rFonts w:ascii="Arial" w:hAnsi="Arial" w:cs="Arial"/>
          <w:sz w:val="22"/>
          <w:szCs w:val="22"/>
        </w:rPr>
        <w:t xml:space="preserve"> </w:t>
      </w:r>
      <w:r w:rsidRPr="005060C9">
        <w:rPr>
          <w:rFonts w:ascii="Arial" w:hAnsi="Arial" w:cs="Arial"/>
          <w:sz w:val="22"/>
          <w:szCs w:val="22"/>
        </w:rPr>
        <w:t xml:space="preserve">mekkora részét teszik a tagállamok elérhetővé, nagyban függ a meglevő használattól és a piaci igényektől. A NMHH már 2017-ben és 2019-ben megrendezett nyilvános meghallgatásán is napirendre tűzte az 1500 MHz-es frekvenciasáv kérdését. Mindkét nyilvános meghallgatás ugyanazzal az eredménnyel zárult. Konkrét piaci igény nem jelentkezett és az NMHH előkészítő dokumentumokban megfogalmazott gondolatait igazolták a vélemények. </w:t>
      </w:r>
    </w:p>
    <w:p w14:paraId="5F5C628D" w14:textId="77777777" w:rsidR="000E0A73" w:rsidRPr="005060C9" w:rsidRDefault="000E0A73" w:rsidP="000E0A73">
      <w:pPr>
        <w:pStyle w:val="Behzottbekezdsnmhh"/>
        <w:spacing w:before="120"/>
        <w:rPr>
          <w:rFonts w:ascii="Arial" w:hAnsi="Arial" w:cs="Arial"/>
          <w:sz w:val="22"/>
          <w:szCs w:val="22"/>
        </w:rPr>
      </w:pPr>
      <w:r w:rsidRPr="005060C9">
        <w:rPr>
          <w:rFonts w:ascii="Arial" w:hAnsi="Arial" w:cs="Arial"/>
          <w:sz w:val="22"/>
          <w:szCs w:val="22"/>
        </w:rPr>
        <w:t>Az uniós szabályozásnak megfelelően a teljes 1427-1518 MHz frekvenciasáv (az 1452-1492 MHz, valamint a később harmonizált 1427-1452 MHz és 1492-1518 MHz frekvenciasávok is) kizárólag a kiegészítő lemenő irányú összeköttetések (</w:t>
      </w:r>
      <w:proofErr w:type="spellStart"/>
      <w:r w:rsidRPr="005060C9">
        <w:rPr>
          <w:rFonts w:ascii="Arial" w:hAnsi="Arial" w:cs="Arial"/>
          <w:sz w:val="22"/>
          <w:szCs w:val="22"/>
        </w:rPr>
        <w:t>supplemental</w:t>
      </w:r>
      <w:proofErr w:type="spellEnd"/>
      <w:r w:rsidRPr="005060C9">
        <w:rPr>
          <w:rFonts w:ascii="Arial" w:hAnsi="Arial" w:cs="Arial"/>
          <w:sz w:val="22"/>
          <w:szCs w:val="22"/>
        </w:rPr>
        <w:t xml:space="preserve"> downlink, a továbbiakban: SDL) biztosítására használhatók. </w:t>
      </w:r>
    </w:p>
    <w:p w14:paraId="763DA146" w14:textId="7F1D9E1F" w:rsidR="000E0A73" w:rsidRPr="005060C9" w:rsidRDefault="000E0A73" w:rsidP="000E0A73">
      <w:pPr>
        <w:pStyle w:val="Behzottbekezdsnmhh"/>
        <w:rPr>
          <w:rFonts w:ascii="Arial" w:hAnsi="Arial" w:cs="Arial"/>
          <w:sz w:val="22"/>
          <w:szCs w:val="22"/>
        </w:rPr>
      </w:pPr>
      <w:r w:rsidRPr="005060C9">
        <w:rPr>
          <w:rFonts w:ascii="Arial" w:hAnsi="Arial" w:cs="Arial"/>
          <w:sz w:val="22"/>
          <w:szCs w:val="22"/>
        </w:rPr>
        <w:t>A jelenlegi hazai használat és a vonatkozó nemzetközi előírások figyelembevételével a nemzeti frekvenciafelosztásról, valamint a</w:t>
      </w:r>
      <w:r w:rsidR="00ED12D0">
        <w:rPr>
          <w:rFonts w:ascii="Arial" w:hAnsi="Arial" w:cs="Arial"/>
          <w:sz w:val="22"/>
          <w:szCs w:val="22"/>
        </w:rPr>
        <w:t>z</w:t>
      </w:r>
      <w:r w:rsidRPr="005060C9">
        <w:rPr>
          <w:rFonts w:ascii="Arial" w:hAnsi="Arial" w:cs="Arial"/>
          <w:sz w:val="22"/>
          <w:szCs w:val="22"/>
        </w:rPr>
        <w:t xml:space="preserve"> NFFF az 1427-1492 MHz frekvenciasávrész kijelölt MFCN célra, az 1492-1525 MHz frekvenciasávrész nem polgári célú használatra kijelölt, amelyből a felső 7 MHz részsávot az uniós határozat nem érintett. Az európai szabályozás alapján az 1500 MHz-es frekvenciasávban elérhető 90 MHz-es spektrumból, </w:t>
      </w:r>
      <w:r w:rsidRPr="005060C9">
        <w:rPr>
          <w:rFonts w:ascii="Arial" w:hAnsi="Arial" w:cs="Arial"/>
          <w:sz w:val="22"/>
          <w:szCs w:val="22"/>
        </w:rPr>
        <w:lastRenderedPageBreak/>
        <w:t>Magyarországon legfeljebb 65 MHz spektrum osztható el MFCN SDL számára. A frekvenciasáv használatba vétele iránti piaci igény esetén az 1427-1492 MHz frekvenciasávra a rádióspektrum-használati jogosultság versenyeztetési eljárás keretében osztható el MFCN SDL célú szolgáltatások nyújtására.</w:t>
      </w:r>
    </w:p>
    <w:p w14:paraId="137DC441" w14:textId="0327CAB6" w:rsidR="007D702C" w:rsidRPr="008731EE" w:rsidRDefault="007D702C" w:rsidP="007D7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8731EE">
        <w:rPr>
          <w:rFonts w:ascii="Arial" w:hAnsi="Arial" w:cs="Arial"/>
          <w:b/>
          <w:i/>
        </w:rPr>
        <w:t xml:space="preserve">A következő </w:t>
      </w:r>
      <w:r w:rsidR="00B75950">
        <w:rPr>
          <w:rFonts w:ascii="Arial" w:hAnsi="Arial" w:cs="Arial"/>
          <w:b/>
          <w:i/>
        </w:rPr>
        <w:t>állítással</w:t>
      </w:r>
      <w:r w:rsidR="00B75950" w:rsidRPr="008731EE">
        <w:rPr>
          <w:rFonts w:ascii="Arial" w:hAnsi="Arial" w:cs="Arial"/>
          <w:b/>
          <w:i/>
        </w:rPr>
        <w:t xml:space="preserve"> </w:t>
      </w:r>
      <w:r w:rsidRPr="008731EE">
        <w:rPr>
          <w:rFonts w:ascii="Arial" w:hAnsi="Arial" w:cs="Arial"/>
          <w:b/>
          <w:i/>
        </w:rPr>
        <w:t>kapcsolatban kérjük, fejtse ki véleményét</w:t>
      </w:r>
      <w:r w:rsidR="00747D1E">
        <w:rPr>
          <w:rFonts w:ascii="Arial" w:hAnsi="Arial" w:cs="Arial"/>
          <w:b/>
          <w:i/>
        </w:rPr>
        <w:t>!</w:t>
      </w:r>
    </w:p>
    <w:p w14:paraId="5ADEA9F5" w14:textId="0BF5A9B1" w:rsidR="007D702C" w:rsidRDefault="00F2798F" w:rsidP="00D64C04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Igény szerint a</w:t>
      </w:r>
      <w:r w:rsidR="007D702C" w:rsidRPr="00670C9D">
        <w:rPr>
          <w:rFonts w:ascii="Arial" w:hAnsi="Arial" w:cs="Arial"/>
          <w:i/>
        </w:rPr>
        <w:t xml:space="preserve">z NMHH </w:t>
      </w:r>
      <w:r w:rsidR="007D702C" w:rsidRPr="007D702C">
        <w:rPr>
          <w:rFonts w:ascii="Arial" w:hAnsi="Arial" w:cs="Arial"/>
          <w:i/>
        </w:rPr>
        <w:t>1427-1518 MHz sáv</w:t>
      </w:r>
      <w:r w:rsidR="007D702C">
        <w:rPr>
          <w:rFonts w:ascii="Arial" w:hAnsi="Arial" w:cs="Arial"/>
          <w:i/>
        </w:rPr>
        <w:t xml:space="preserve">ban </w:t>
      </w:r>
      <w:r w:rsidR="00B469E0">
        <w:rPr>
          <w:rFonts w:ascii="Arial" w:hAnsi="Arial" w:cs="Arial"/>
          <w:i/>
        </w:rPr>
        <w:t>legfeljebb</w:t>
      </w:r>
      <w:r w:rsidR="007D702C">
        <w:rPr>
          <w:rFonts w:ascii="Arial" w:hAnsi="Arial" w:cs="Arial"/>
          <w:i/>
        </w:rPr>
        <w:t xml:space="preserve"> 16 darab 5 MHz-es SDL alapblokk</w:t>
      </w:r>
      <w:r w:rsidR="007D702C" w:rsidRPr="00670C9D">
        <w:rPr>
          <w:rFonts w:ascii="Arial" w:hAnsi="Arial" w:cs="Arial"/>
          <w:i/>
        </w:rPr>
        <w:t xml:space="preserve"> versenyeztetési </w:t>
      </w:r>
      <w:r w:rsidR="0084053D">
        <w:rPr>
          <w:rFonts w:ascii="Arial" w:hAnsi="Arial" w:cs="Arial"/>
          <w:i/>
        </w:rPr>
        <w:t>el</w:t>
      </w:r>
      <w:r w:rsidR="0084053D" w:rsidRPr="00670C9D">
        <w:rPr>
          <w:rFonts w:ascii="Arial" w:hAnsi="Arial" w:cs="Arial"/>
          <w:i/>
        </w:rPr>
        <w:t xml:space="preserve">járás </w:t>
      </w:r>
      <w:r w:rsidR="007D702C" w:rsidRPr="00670C9D">
        <w:rPr>
          <w:rFonts w:ascii="Arial" w:hAnsi="Arial" w:cs="Arial"/>
          <w:i/>
        </w:rPr>
        <w:t>keretében</w:t>
      </w:r>
      <w:r w:rsidR="007D702C">
        <w:rPr>
          <w:rFonts w:ascii="Arial" w:hAnsi="Arial" w:cs="Arial"/>
          <w:i/>
        </w:rPr>
        <w:t xml:space="preserve"> történő elosztását tervezi</w:t>
      </w:r>
      <w:r w:rsidR="007D702C" w:rsidRPr="00670C9D">
        <w:rPr>
          <w:rFonts w:ascii="Arial" w:hAnsi="Arial" w:cs="Arial"/>
          <w:i/>
        </w:rPr>
        <w:t xml:space="preserve"> 20</w:t>
      </w:r>
      <w:r w:rsidR="00EB2BF2">
        <w:rPr>
          <w:rFonts w:ascii="Arial" w:hAnsi="Arial" w:cs="Arial"/>
          <w:i/>
        </w:rPr>
        <w:t>23</w:t>
      </w:r>
      <w:r w:rsidR="00F727A4">
        <w:rPr>
          <w:rFonts w:ascii="Arial" w:hAnsi="Arial" w:cs="Arial"/>
          <w:i/>
        </w:rPr>
        <w:t>. december végéig.</w:t>
      </w:r>
    </w:p>
    <w:p w14:paraId="2B2B0C9F" w14:textId="77777777" w:rsidR="007D702C" w:rsidRDefault="007D702C" w:rsidP="00597B64">
      <w:pPr>
        <w:jc w:val="both"/>
        <w:rPr>
          <w:rFonts w:ascii="Arial" w:hAnsi="Arial" w:cs="Arial"/>
        </w:rPr>
      </w:pPr>
    </w:p>
    <w:p w14:paraId="2D9009D4" w14:textId="2E480EEA" w:rsidR="00B469E0" w:rsidRDefault="00B469E0" w:rsidP="00B469E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469E0">
        <w:rPr>
          <w:rFonts w:ascii="Arial" w:hAnsi="Arial" w:cs="Arial"/>
          <w:b/>
        </w:rPr>
        <w:t>2300 MHz frekvenciasáv</w:t>
      </w:r>
    </w:p>
    <w:p w14:paraId="3946FCE3" w14:textId="0E4F4F27" w:rsidR="00842524" w:rsidRPr="00842524" w:rsidRDefault="00842524" w:rsidP="00842524">
      <w:pPr>
        <w:pStyle w:val="Behzottbekezdsnmhh"/>
        <w:rPr>
          <w:rFonts w:ascii="Arial" w:hAnsi="Arial" w:cs="Arial"/>
          <w:sz w:val="22"/>
          <w:szCs w:val="22"/>
        </w:rPr>
      </w:pPr>
      <w:r w:rsidRPr="00842524">
        <w:rPr>
          <w:rFonts w:ascii="Arial" w:hAnsi="Arial" w:cs="Arial"/>
          <w:sz w:val="22"/>
          <w:szCs w:val="22"/>
        </w:rPr>
        <w:t xml:space="preserve">A 2300-2400 MHz frekvenciasáv </w:t>
      </w:r>
      <w:r w:rsidR="009B63D3">
        <w:rPr>
          <w:rFonts w:ascii="Arial" w:hAnsi="Arial" w:cs="Arial"/>
          <w:sz w:val="22"/>
          <w:szCs w:val="22"/>
        </w:rPr>
        <w:t xml:space="preserve">(a továbbiakban: 2300 MHz-es frekvenciasáv) </w:t>
      </w:r>
      <w:r w:rsidRPr="00842524">
        <w:rPr>
          <w:rFonts w:ascii="Arial" w:hAnsi="Arial" w:cs="Arial"/>
          <w:sz w:val="22"/>
          <w:szCs w:val="22"/>
        </w:rPr>
        <w:t>a kevésbé kihasznált sávok közé tartozik, így európai szinten keresték a hatékonyság növelésének lehetőségeit. Az Európai Bizottság kezdeményezésére még 2014-ben indult harmonizációs folyamat a legkevésbé korlátozó műszaki előírások uniós szintű meghatározása érdekében. A CEPT</w:t>
      </w:r>
      <w:r w:rsidRPr="00842524">
        <w:rPr>
          <w:rStyle w:val="Lbjegyzet-hivatkozs"/>
          <w:rFonts w:ascii="Arial" w:hAnsi="Arial" w:cs="Arial"/>
          <w:sz w:val="22"/>
          <w:szCs w:val="22"/>
        </w:rPr>
        <w:footnoteReference w:id="20"/>
      </w:r>
      <w:r w:rsidRPr="00842524">
        <w:rPr>
          <w:rFonts w:ascii="Arial" w:hAnsi="Arial" w:cs="Arial"/>
          <w:sz w:val="22"/>
          <w:szCs w:val="22"/>
        </w:rPr>
        <w:t xml:space="preserve"> keretében végzett vizsgálatok eredményei alapján a megosztott használattal, a meglevő szolgálatok védelme mellett is lehetővé tehető a szélessávú rádióalkalmazások bevezetése és a 2300 MHz frekvenciasáv használata szélessávú adatátvitelt lehetővé tevő földfelszíni elektronikus hírközlő hálózatok (MFCN) céljára, nem kizárólagos jelleggel. </w:t>
      </w:r>
    </w:p>
    <w:p w14:paraId="73606A27" w14:textId="77E95827" w:rsidR="00842524" w:rsidRPr="00842524" w:rsidRDefault="00842524" w:rsidP="00842524">
      <w:pPr>
        <w:pStyle w:val="Behzottbekezdsnmhh"/>
        <w:rPr>
          <w:rFonts w:ascii="Arial" w:hAnsi="Arial" w:cs="Arial"/>
          <w:sz w:val="22"/>
          <w:szCs w:val="22"/>
        </w:rPr>
      </w:pPr>
      <w:r w:rsidRPr="00842524">
        <w:rPr>
          <w:rFonts w:ascii="Arial" w:hAnsi="Arial" w:cs="Arial"/>
          <w:sz w:val="22"/>
          <w:szCs w:val="22"/>
        </w:rPr>
        <w:t>Az Európai Unió tagállamainak jelentősen eltérő sávhasználatából adódóan megállt a harmonizációs folyamat és nem született olyan uniós jogi aktus, ami kötelezettséget rótt volna a tagállamokra. A CEPT vizsgálati eredményei és az az alapján született CEPT dokumentumok (jelentés, határozat) azonban rendelkezésre áll</w:t>
      </w:r>
      <w:r w:rsidR="00B75950">
        <w:rPr>
          <w:rFonts w:ascii="Arial" w:hAnsi="Arial" w:cs="Arial"/>
          <w:sz w:val="22"/>
          <w:szCs w:val="22"/>
        </w:rPr>
        <w:t>nak</w:t>
      </w:r>
      <w:r w:rsidRPr="00842524">
        <w:rPr>
          <w:rFonts w:ascii="Arial" w:hAnsi="Arial" w:cs="Arial"/>
          <w:sz w:val="22"/>
          <w:szCs w:val="22"/>
        </w:rPr>
        <w:t xml:space="preserve">. Európa néhány államában már elérhetővé is tették a 2300-2400 MHz frekvenciasávot vezetéknélküli szélessávú hálózatok számára. A CEPT jelenleg azt vizsgálja, hogy az 5G használatának lehetővé tételéhez melyek a leginkább alkalmas szabályozási és harmonizált műszaki feltételek. </w:t>
      </w:r>
    </w:p>
    <w:p w14:paraId="54D55B45" w14:textId="77777777" w:rsidR="00842524" w:rsidRPr="00842524" w:rsidRDefault="00842524" w:rsidP="00842524">
      <w:pPr>
        <w:pStyle w:val="Behzottbekezdsnmhh"/>
        <w:rPr>
          <w:rFonts w:ascii="Arial" w:hAnsi="Arial" w:cs="Arial"/>
          <w:sz w:val="22"/>
          <w:szCs w:val="22"/>
        </w:rPr>
      </w:pPr>
      <w:r w:rsidRPr="00842524">
        <w:rPr>
          <w:rFonts w:ascii="Arial" w:hAnsi="Arial" w:cs="Arial"/>
          <w:sz w:val="22"/>
          <w:szCs w:val="22"/>
        </w:rPr>
        <w:t>A hazai jogszabályi előírások alapján a 2300-2370 MHz sávrész polgári, a 2370-2400 MHz sávrész nem polgári célra használható Magyarországon. A polgári célra rendelkezésre álló 70 MHz sávrész TDD</w:t>
      </w:r>
      <w:r w:rsidRPr="00842524">
        <w:rPr>
          <w:rStyle w:val="Lbjegyzet-hivatkozs"/>
          <w:rFonts w:ascii="Arial" w:hAnsi="Arial" w:cs="Arial"/>
          <w:sz w:val="22"/>
          <w:szCs w:val="22"/>
        </w:rPr>
        <w:footnoteReference w:id="21"/>
      </w:r>
      <w:r w:rsidRPr="008425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2524">
        <w:rPr>
          <w:rFonts w:ascii="Arial" w:hAnsi="Arial" w:cs="Arial"/>
          <w:sz w:val="22"/>
          <w:szCs w:val="22"/>
        </w:rPr>
        <w:t>hozzáférésű</w:t>
      </w:r>
      <w:proofErr w:type="spellEnd"/>
      <w:r w:rsidRPr="00842524">
        <w:rPr>
          <w:rFonts w:ascii="Arial" w:hAnsi="Arial" w:cs="Arial"/>
          <w:sz w:val="22"/>
          <w:szCs w:val="22"/>
        </w:rPr>
        <w:t xml:space="preserve"> földfelszíni elektronikus hírközlő hálózatok számára tervezett státuszú.</w:t>
      </w:r>
    </w:p>
    <w:p w14:paraId="181B3EB6" w14:textId="353AB452" w:rsidR="00842524" w:rsidRDefault="00842524" w:rsidP="00842524">
      <w:pPr>
        <w:pStyle w:val="Behzottbekezdsnmhh"/>
      </w:pPr>
      <w:r w:rsidRPr="00842524">
        <w:rPr>
          <w:rFonts w:ascii="Arial" w:hAnsi="Arial" w:cs="Arial"/>
          <w:sz w:val="22"/>
          <w:szCs w:val="22"/>
        </w:rPr>
        <w:t xml:space="preserve">A nemzetközi törekvésekkel összhangban, a mobil szélessávú szolgáltatások további fejlődéséhez szükséges rádióspektrum biztosítása és igény szerinti használatba adása, valamint a rádióspektrum hatékony használatának biztosítása és az innovatív megoldások támogatása az NMHH kiemelt stratégiai célterületei közé tartozik. A polgári felhasználású 2300-2370 MHz frekvenciasáv jövőbeni használatára vonatkozó szabályozás kialakítása, hasznosításhoz szükséges döntések szempontjából, beleértve a használat részletes műszaki feltételeit és az elosztás módját is, fontos az MFCN iránti igények, elképzelések megismerése. Korábbi alkalommal tartott nyilvános meghallgatáson (legutóbb 2019. decemberében) már szerepelt a 2300 MHz-es frekvenciasáv hasznosításának kérdése, de megalapozott piaci igény akkor nem jelentkezett. </w:t>
      </w:r>
      <w:r w:rsidR="00132EEF">
        <w:rPr>
          <w:rFonts w:ascii="Arial" w:hAnsi="Arial" w:cs="Arial"/>
          <w:sz w:val="22"/>
          <w:szCs w:val="22"/>
        </w:rPr>
        <w:t>A sávban lehetséges országos rendszer kialakítása is, e</w:t>
      </w:r>
      <w:r w:rsidRPr="00842524">
        <w:rPr>
          <w:rFonts w:ascii="Arial" w:hAnsi="Arial" w:cs="Arial"/>
          <w:sz w:val="22"/>
          <w:szCs w:val="22"/>
        </w:rPr>
        <w:t xml:space="preserve">rre </w:t>
      </w:r>
      <w:r w:rsidRPr="00842524">
        <w:rPr>
          <w:rFonts w:ascii="Arial" w:hAnsi="Arial" w:cs="Arial"/>
          <w:sz w:val="22"/>
          <w:szCs w:val="22"/>
        </w:rPr>
        <w:lastRenderedPageBreak/>
        <w:t>tekintettel az NMHH vizsgálja a versenyeztetési eljárás, mint lehetséges</w:t>
      </w:r>
      <w:r>
        <w:t xml:space="preserve"> </w:t>
      </w:r>
      <w:r w:rsidRPr="00842524">
        <w:rPr>
          <w:rFonts w:ascii="Arial" w:hAnsi="Arial" w:cs="Arial"/>
          <w:sz w:val="22"/>
          <w:szCs w:val="22"/>
        </w:rPr>
        <w:t>elosztási mód,</w:t>
      </w:r>
      <w:r w:rsidR="00132EEF">
        <w:rPr>
          <w:rFonts w:ascii="Arial" w:hAnsi="Arial" w:cs="Arial"/>
          <w:sz w:val="22"/>
          <w:szCs w:val="22"/>
        </w:rPr>
        <w:t xml:space="preserve"> alkalmazását</w:t>
      </w:r>
      <w:r w:rsidRPr="00842524">
        <w:rPr>
          <w:rFonts w:ascii="Arial" w:hAnsi="Arial" w:cs="Arial"/>
          <w:sz w:val="22"/>
          <w:szCs w:val="22"/>
        </w:rPr>
        <w:t xml:space="preserve"> legalább a frekvenciasáv egy részében.</w:t>
      </w:r>
    </w:p>
    <w:p w14:paraId="69F41013" w14:textId="1A6D7014" w:rsidR="00BF4662" w:rsidRPr="008731EE" w:rsidRDefault="00BF4662" w:rsidP="00BF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8731EE">
        <w:rPr>
          <w:rFonts w:ascii="Arial" w:hAnsi="Arial" w:cs="Arial"/>
          <w:b/>
          <w:i/>
        </w:rPr>
        <w:t>A következő állításokkal kapcsolatban kérjük, fejtse ki véleményét</w:t>
      </w:r>
      <w:r w:rsidR="00747D1E">
        <w:rPr>
          <w:rFonts w:ascii="Arial" w:hAnsi="Arial" w:cs="Arial"/>
          <w:b/>
          <w:i/>
        </w:rPr>
        <w:t>!</w:t>
      </w:r>
    </w:p>
    <w:p w14:paraId="15AAF9D6" w14:textId="02E4B9B4" w:rsidR="00BF4662" w:rsidRDefault="00F2798F" w:rsidP="00D64C04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Igény szerint a</w:t>
      </w:r>
      <w:r w:rsidR="00BF4662" w:rsidRPr="00670C9D">
        <w:rPr>
          <w:rFonts w:ascii="Arial" w:hAnsi="Arial" w:cs="Arial"/>
          <w:i/>
        </w:rPr>
        <w:t xml:space="preserve">z NMHH </w:t>
      </w:r>
      <w:r w:rsidR="00D92433">
        <w:rPr>
          <w:rFonts w:ascii="Arial" w:hAnsi="Arial" w:cs="Arial"/>
          <w:i/>
        </w:rPr>
        <w:t>2300</w:t>
      </w:r>
      <w:bookmarkStart w:id="0" w:name="_GoBack"/>
      <w:bookmarkEnd w:id="0"/>
      <w:r w:rsidR="00BF4662" w:rsidRPr="007D702C">
        <w:rPr>
          <w:rFonts w:ascii="Arial" w:hAnsi="Arial" w:cs="Arial"/>
          <w:i/>
        </w:rPr>
        <w:t xml:space="preserve"> MHz </w:t>
      </w:r>
      <w:r w:rsidR="00AA1FD0">
        <w:rPr>
          <w:rFonts w:ascii="Arial" w:hAnsi="Arial" w:cs="Arial"/>
          <w:i/>
        </w:rPr>
        <w:t>frekvencia</w:t>
      </w:r>
      <w:r w:rsidR="00BF4662" w:rsidRPr="007D702C">
        <w:rPr>
          <w:rFonts w:ascii="Arial" w:hAnsi="Arial" w:cs="Arial"/>
          <w:i/>
        </w:rPr>
        <w:t>sáv</w:t>
      </w:r>
      <w:r w:rsidR="00BF4662">
        <w:rPr>
          <w:rFonts w:ascii="Arial" w:hAnsi="Arial" w:cs="Arial"/>
          <w:i/>
        </w:rPr>
        <w:t xml:space="preserve">ban legfeljebb </w:t>
      </w:r>
      <w:r w:rsidR="00D92433">
        <w:rPr>
          <w:rFonts w:ascii="Arial" w:hAnsi="Arial" w:cs="Arial"/>
          <w:i/>
        </w:rPr>
        <w:t xml:space="preserve">8 darab 5 MHz-es </w:t>
      </w:r>
      <w:r w:rsidR="00C24FE2">
        <w:rPr>
          <w:rFonts w:ascii="Arial" w:hAnsi="Arial" w:cs="Arial"/>
          <w:i/>
        </w:rPr>
        <w:t xml:space="preserve">MFCN </w:t>
      </w:r>
      <w:r w:rsidR="00D92433">
        <w:rPr>
          <w:rFonts w:ascii="Arial" w:hAnsi="Arial" w:cs="Arial"/>
          <w:i/>
        </w:rPr>
        <w:t>TDD</w:t>
      </w:r>
      <w:r w:rsidR="00BF4662">
        <w:rPr>
          <w:rFonts w:ascii="Arial" w:hAnsi="Arial" w:cs="Arial"/>
          <w:i/>
        </w:rPr>
        <w:t xml:space="preserve"> alapblokk</w:t>
      </w:r>
      <w:r w:rsidR="00BF4662" w:rsidRPr="00670C9D">
        <w:rPr>
          <w:rFonts w:ascii="Arial" w:hAnsi="Arial" w:cs="Arial"/>
          <w:i/>
        </w:rPr>
        <w:t xml:space="preserve"> versenyeztetési </w:t>
      </w:r>
      <w:r w:rsidR="00654539">
        <w:rPr>
          <w:rFonts w:ascii="Arial" w:hAnsi="Arial" w:cs="Arial"/>
          <w:i/>
        </w:rPr>
        <w:t>eljárás</w:t>
      </w:r>
      <w:r w:rsidR="00654539" w:rsidRPr="00670C9D">
        <w:rPr>
          <w:rFonts w:ascii="Arial" w:hAnsi="Arial" w:cs="Arial"/>
          <w:i/>
        </w:rPr>
        <w:t xml:space="preserve"> </w:t>
      </w:r>
      <w:r w:rsidR="00BF4662" w:rsidRPr="00670C9D">
        <w:rPr>
          <w:rFonts w:ascii="Arial" w:hAnsi="Arial" w:cs="Arial"/>
          <w:i/>
        </w:rPr>
        <w:t>keretében</w:t>
      </w:r>
      <w:r w:rsidR="00BF4662">
        <w:rPr>
          <w:rFonts w:ascii="Arial" w:hAnsi="Arial" w:cs="Arial"/>
          <w:i/>
        </w:rPr>
        <w:t xml:space="preserve"> történő elosztását tervezi</w:t>
      </w:r>
      <w:r w:rsidR="00BF4662" w:rsidRPr="00670C9D">
        <w:rPr>
          <w:rFonts w:ascii="Arial" w:hAnsi="Arial" w:cs="Arial"/>
          <w:i/>
        </w:rPr>
        <w:t xml:space="preserve"> 20</w:t>
      </w:r>
      <w:r w:rsidR="00EA0C9B">
        <w:rPr>
          <w:rFonts w:ascii="Arial" w:hAnsi="Arial" w:cs="Arial"/>
          <w:i/>
        </w:rPr>
        <w:t>23</w:t>
      </w:r>
      <w:r w:rsidR="0010580F">
        <w:rPr>
          <w:rFonts w:ascii="Arial" w:hAnsi="Arial" w:cs="Arial"/>
          <w:i/>
        </w:rPr>
        <w:t>. december végéig.</w:t>
      </w:r>
    </w:p>
    <w:p w14:paraId="1F2C36B5" w14:textId="52DE21D6" w:rsidR="0085393C" w:rsidRDefault="0085393C" w:rsidP="00B469E0">
      <w:pPr>
        <w:jc w:val="both"/>
        <w:rPr>
          <w:rFonts w:ascii="Arial" w:hAnsi="Arial" w:cs="Arial"/>
          <w:b/>
        </w:rPr>
      </w:pPr>
    </w:p>
    <w:p w14:paraId="6F4928CF" w14:textId="77777777" w:rsidR="009B623F" w:rsidRDefault="009B623F" w:rsidP="009B623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Harmonizációval érintett</w:t>
      </w:r>
      <w:r w:rsidRPr="008B056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már értékesített </w:t>
      </w:r>
      <w:r w:rsidRPr="008B0565">
        <w:rPr>
          <w:rFonts w:ascii="Arial" w:hAnsi="Arial" w:cs="Arial"/>
          <w:b/>
          <w:i/>
        </w:rPr>
        <w:t>sávok</w:t>
      </w:r>
    </w:p>
    <w:p w14:paraId="3B1039ED" w14:textId="3B2865A3" w:rsidR="009B623F" w:rsidRPr="00681028" w:rsidRDefault="00505F88" w:rsidP="00505F8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81028">
        <w:rPr>
          <w:rFonts w:ascii="Arial" w:hAnsi="Arial" w:cs="Arial"/>
          <w:b/>
        </w:rPr>
        <w:t>2</w:t>
      </w:r>
      <w:r w:rsidR="00842524">
        <w:rPr>
          <w:rFonts w:ascii="Arial" w:hAnsi="Arial" w:cs="Arial"/>
          <w:b/>
        </w:rPr>
        <w:t>6</w:t>
      </w:r>
      <w:r w:rsidRPr="00681028">
        <w:rPr>
          <w:rFonts w:ascii="Arial" w:hAnsi="Arial" w:cs="Arial"/>
          <w:b/>
        </w:rPr>
        <w:t>00 MHz-es frekvenciasáv</w:t>
      </w:r>
    </w:p>
    <w:p w14:paraId="7B6C41E2" w14:textId="368CAE75" w:rsidR="00132EEF" w:rsidRDefault="00842524" w:rsidP="00842524">
      <w:pPr>
        <w:pStyle w:val="Behzottbekezdsnmhh"/>
        <w:rPr>
          <w:rFonts w:ascii="Arial" w:hAnsi="Arial" w:cs="Arial"/>
          <w:sz w:val="22"/>
          <w:szCs w:val="22"/>
        </w:rPr>
      </w:pPr>
      <w:r w:rsidRPr="00842524">
        <w:rPr>
          <w:rFonts w:ascii="Arial" w:hAnsi="Arial" w:cs="Arial"/>
          <w:sz w:val="22"/>
          <w:szCs w:val="22"/>
        </w:rPr>
        <w:t xml:space="preserve">A 2500-2690 MHz frekvenciasáv egy </w:t>
      </w:r>
      <w:proofErr w:type="spellStart"/>
      <w:r w:rsidRPr="00842524">
        <w:rPr>
          <w:rFonts w:ascii="Arial" w:hAnsi="Arial" w:cs="Arial"/>
          <w:sz w:val="22"/>
          <w:szCs w:val="22"/>
        </w:rPr>
        <w:t>frekvenciaosztásos</w:t>
      </w:r>
      <w:proofErr w:type="spellEnd"/>
      <w:r w:rsidRPr="00842524">
        <w:rPr>
          <w:rFonts w:ascii="Arial" w:hAnsi="Arial" w:cs="Arial"/>
          <w:sz w:val="22"/>
          <w:szCs w:val="22"/>
        </w:rPr>
        <w:t xml:space="preserve"> duplex (FDD</w:t>
      </w:r>
      <w:r w:rsidRPr="00842524">
        <w:rPr>
          <w:rStyle w:val="Lbjegyzet-hivatkozs"/>
          <w:rFonts w:ascii="Arial" w:hAnsi="Arial" w:cs="Arial"/>
          <w:iCs/>
          <w:sz w:val="22"/>
          <w:szCs w:val="22"/>
        </w:rPr>
        <w:footnoteReference w:id="22"/>
      </w:r>
      <w:r w:rsidRPr="0084252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42524">
        <w:rPr>
          <w:rFonts w:ascii="Arial" w:hAnsi="Arial" w:cs="Arial"/>
          <w:sz w:val="22"/>
          <w:szCs w:val="22"/>
        </w:rPr>
        <w:t>hozzáférésű</w:t>
      </w:r>
      <w:proofErr w:type="spellEnd"/>
      <w:r w:rsidRPr="00842524">
        <w:rPr>
          <w:rFonts w:ascii="Arial" w:hAnsi="Arial" w:cs="Arial"/>
          <w:sz w:val="22"/>
          <w:szCs w:val="22"/>
        </w:rPr>
        <w:t xml:space="preserve"> párosított sávrészből (2500</w:t>
      </w:r>
      <w:r w:rsidR="0010580F" w:rsidRPr="0010580F">
        <w:rPr>
          <w:rFonts w:ascii="Arial" w:hAnsi="Arial" w:cs="Arial"/>
          <w:sz w:val="22"/>
          <w:szCs w:val="22"/>
        </w:rPr>
        <w:t>-</w:t>
      </w:r>
      <w:r w:rsidRPr="00842524">
        <w:rPr>
          <w:rFonts w:ascii="Arial" w:hAnsi="Arial" w:cs="Arial"/>
          <w:sz w:val="22"/>
          <w:szCs w:val="22"/>
        </w:rPr>
        <w:t>2570/2620</w:t>
      </w:r>
      <w:r w:rsidR="0010580F" w:rsidRPr="0010580F">
        <w:rPr>
          <w:rFonts w:ascii="Arial" w:hAnsi="Arial" w:cs="Arial"/>
          <w:sz w:val="22"/>
          <w:szCs w:val="22"/>
        </w:rPr>
        <w:t>-</w:t>
      </w:r>
      <w:r w:rsidRPr="00842524">
        <w:rPr>
          <w:rFonts w:ascii="Arial" w:hAnsi="Arial" w:cs="Arial"/>
          <w:sz w:val="22"/>
          <w:szCs w:val="22"/>
        </w:rPr>
        <w:t xml:space="preserve">2690 MHz) és egy </w:t>
      </w:r>
      <w:proofErr w:type="spellStart"/>
      <w:r w:rsidRPr="00842524">
        <w:rPr>
          <w:rFonts w:ascii="Arial" w:hAnsi="Arial" w:cs="Arial"/>
          <w:sz w:val="22"/>
          <w:szCs w:val="22"/>
        </w:rPr>
        <w:t>időosztásos</w:t>
      </w:r>
      <w:proofErr w:type="spellEnd"/>
      <w:r w:rsidRPr="00842524">
        <w:rPr>
          <w:rFonts w:ascii="Arial" w:hAnsi="Arial" w:cs="Arial"/>
          <w:sz w:val="22"/>
          <w:szCs w:val="22"/>
        </w:rPr>
        <w:t xml:space="preserve"> duplex (TDD</w:t>
      </w:r>
      <w:r w:rsidRPr="00842524">
        <w:rPr>
          <w:rStyle w:val="Lbjegyzet-hivatkozs"/>
          <w:rFonts w:ascii="Arial" w:hAnsi="Arial" w:cs="Arial"/>
          <w:iCs/>
          <w:sz w:val="22"/>
          <w:szCs w:val="22"/>
        </w:rPr>
        <w:footnoteReference w:id="23"/>
      </w:r>
      <w:r w:rsidRPr="00842524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842524">
        <w:rPr>
          <w:rFonts w:ascii="Arial" w:hAnsi="Arial" w:cs="Arial"/>
          <w:sz w:val="22"/>
          <w:szCs w:val="22"/>
        </w:rPr>
        <w:t>hozzáférésű</w:t>
      </w:r>
      <w:proofErr w:type="spellEnd"/>
      <w:r w:rsidRPr="008425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2524">
        <w:rPr>
          <w:rFonts w:ascii="Arial" w:hAnsi="Arial" w:cs="Arial"/>
          <w:sz w:val="22"/>
          <w:szCs w:val="22"/>
        </w:rPr>
        <w:t>párosítatlan</w:t>
      </w:r>
      <w:proofErr w:type="spellEnd"/>
      <w:r w:rsidRPr="00842524">
        <w:rPr>
          <w:rFonts w:ascii="Arial" w:hAnsi="Arial" w:cs="Arial"/>
          <w:sz w:val="22"/>
          <w:szCs w:val="22"/>
        </w:rPr>
        <w:t xml:space="preserve"> sávrészből (2570</w:t>
      </w:r>
      <w:r w:rsidR="0010580F" w:rsidRPr="0010580F">
        <w:rPr>
          <w:rFonts w:ascii="Arial" w:hAnsi="Arial" w:cs="Arial"/>
          <w:sz w:val="22"/>
          <w:szCs w:val="22"/>
        </w:rPr>
        <w:t>-</w:t>
      </w:r>
      <w:r w:rsidRPr="00842524">
        <w:rPr>
          <w:rFonts w:ascii="Arial" w:hAnsi="Arial" w:cs="Arial"/>
          <w:sz w:val="22"/>
          <w:szCs w:val="22"/>
        </w:rPr>
        <w:t xml:space="preserve">2620 MHz) áll. </w:t>
      </w:r>
    </w:p>
    <w:p w14:paraId="4E3C47E9" w14:textId="41F66FD3" w:rsidR="00842524" w:rsidRPr="00842524" w:rsidRDefault="00842524" w:rsidP="00842524">
      <w:pPr>
        <w:pStyle w:val="Behzottbekezdsnmhh"/>
        <w:rPr>
          <w:rFonts w:ascii="Arial" w:hAnsi="Arial" w:cs="Arial"/>
          <w:sz w:val="22"/>
          <w:szCs w:val="22"/>
        </w:rPr>
      </w:pPr>
      <w:r w:rsidRPr="00842524">
        <w:rPr>
          <w:rFonts w:ascii="Arial" w:hAnsi="Arial" w:cs="Arial"/>
          <w:sz w:val="22"/>
          <w:szCs w:val="22"/>
        </w:rPr>
        <w:t>A 2014-ben lefolytatott pályázati eljárás során az FDD sáv teljes egész</w:t>
      </w:r>
      <w:r w:rsidR="00132EEF">
        <w:rPr>
          <w:rFonts w:ascii="Arial" w:hAnsi="Arial" w:cs="Arial"/>
          <w:sz w:val="22"/>
          <w:szCs w:val="22"/>
        </w:rPr>
        <w:t>ére</w:t>
      </w:r>
      <w:r w:rsidRPr="00842524">
        <w:rPr>
          <w:rFonts w:ascii="Arial" w:hAnsi="Arial" w:cs="Arial"/>
          <w:sz w:val="22"/>
          <w:szCs w:val="22"/>
        </w:rPr>
        <w:t>, míg az elosztható TDD sávrésznek (2575</w:t>
      </w:r>
      <w:r w:rsidR="0010580F" w:rsidRPr="0010580F">
        <w:rPr>
          <w:rFonts w:ascii="Arial" w:hAnsi="Arial" w:cs="Arial"/>
          <w:sz w:val="22"/>
          <w:szCs w:val="22"/>
        </w:rPr>
        <w:t>-</w:t>
      </w:r>
      <w:r w:rsidRPr="00842524">
        <w:rPr>
          <w:rFonts w:ascii="Arial" w:hAnsi="Arial" w:cs="Arial"/>
          <w:sz w:val="22"/>
          <w:szCs w:val="22"/>
        </w:rPr>
        <w:t>2615 MHz) csak a 2575</w:t>
      </w:r>
      <w:r w:rsidR="0010580F" w:rsidRPr="0010580F">
        <w:rPr>
          <w:rFonts w:ascii="Arial" w:hAnsi="Arial" w:cs="Arial"/>
          <w:sz w:val="22"/>
          <w:szCs w:val="22"/>
        </w:rPr>
        <w:t>-</w:t>
      </w:r>
      <w:r w:rsidRPr="00842524">
        <w:rPr>
          <w:rFonts w:ascii="Arial" w:hAnsi="Arial" w:cs="Arial"/>
          <w:sz w:val="22"/>
          <w:szCs w:val="22"/>
        </w:rPr>
        <w:t xml:space="preserve">2600 MHz-es tartományára osztott el az NMHH a rádióspektrum-használati jogosultságot. A 2014. évi értékesítést követően megtartott nyilvános meghallgatások, illetve versenyeztetési eljárások során a fennmaradó 2600-2615 MHz sávrész iránt nem volt érdeklődés. </w:t>
      </w:r>
    </w:p>
    <w:p w14:paraId="799F92E4" w14:textId="3D160BEC" w:rsidR="00842524" w:rsidRPr="002A3527" w:rsidRDefault="00842524" w:rsidP="002A3527">
      <w:pPr>
        <w:pStyle w:val="Behzottbekezdsnmhh"/>
        <w:rPr>
          <w:rFonts w:ascii="Arial" w:hAnsi="Arial" w:cs="Arial"/>
          <w:iCs/>
          <w:sz w:val="22"/>
          <w:szCs w:val="22"/>
        </w:rPr>
      </w:pPr>
      <w:r w:rsidRPr="00842524">
        <w:rPr>
          <w:rFonts w:ascii="Arial" w:hAnsi="Arial" w:cs="Arial"/>
          <w:sz w:val="22"/>
          <w:szCs w:val="22"/>
        </w:rPr>
        <w:t>A technológia fejlődésére tekintettel szükségessé vált a nemzetközi valamint hazai szabályozás módosítása. A</w:t>
      </w:r>
      <w:r w:rsidRPr="00842524">
        <w:rPr>
          <w:rFonts w:ascii="Arial" w:hAnsi="Arial" w:cs="Arial"/>
          <w:iCs/>
          <w:sz w:val="22"/>
          <w:szCs w:val="22"/>
        </w:rPr>
        <w:t xml:space="preserve"> korábbi harmonizációs szabályok módosításával </w:t>
      </w:r>
      <w:r w:rsidR="00132EEF" w:rsidRPr="00842524">
        <w:rPr>
          <w:rFonts w:ascii="Arial" w:hAnsi="Arial" w:cs="Arial"/>
          <w:iCs/>
          <w:sz w:val="22"/>
          <w:szCs w:val="22"/>
        </w:rPr>
        <w:t>az 5G hálózatok bevezetésének elősegítése céljából</w:t>
      </w:r>
      <w:r w:rsidR="00132EEF" w:rsidRPr="00842524">
        <w:rPr>
          <w:rFonts w:ascii="Arial" w:hAnsi="Arial" w:cs="Arial"/>
          <w:sz w:val="22"/>
          <w:szCs w:val="22"/>
        </w:rPr>
        <w:t xml:space="preserve"> </w:t>
      </w:r>
      <w:r w:rsidRPr="00842524">
        <w:rPr>
          <w:rFonts w:ascii="Arial" w:hAnsi="Arial" w:cs="Arial"/>
          <w:sz w:val="22"/>
          <w:szCs w:val="22"/>
        </w:rPr>
        <w:t>az aktív antennarendszerek használata is</w:t>
      </w:r>
      <w:r w:rsidRPr="00842524">
        <w:rPr>
          <w:rFonts w:ascii="Arial" w:hAnsi="Arial" w:cs="Arial"/>
          <w:iCs/>
          <w:sz w:val="22"/>
          <w:szCs w:val="22"/>
        </w:rPr>
        <w:t xml:space="preserve"> lehetővé vált a 2600 MHz-es frekvenciasávban, továbbá a módosult szabályok alapján a 2575</w:t>
      </w:r>
      <w:r w:rsidR="0010580F" w:rsidRPr="0010580F">
        <w:rPr>
          <w:rFonts w:ascii="Arial" w:hAnsi="Arial" w:cs="Arial"/>
          <w:iCs/>
          <w:sz w:val="22"/>
          <w:szCs w:val="22"/>
        </w:rPr>
        <w:t>-</w:t>
      </w:r>
      <w:r w:rsidRPr="00842524">
        <w:rPr>
          <w:rFonts w:ascii="Arial" w:hAnsi="Arial" w:cs="Arial"/>
          <w:iCs/>
          <w:sz w:val="22"/>
          <w:szCs w:val="22"/>
        </w:rPr>
        <w:t xml:space="preserve">2615 MHz részsávon belül a TDD üzemmód mellett a kiegészítő lemenő irányú összeköttetések </w:t>
      </w:r>
      <w:r w:rsidR="002A3527">
        <w:rPr>
          <w:rFonts w:ascii="Arial" w:hAnsi="Arial" w:cs="Arial"/>
          <w:iCs/>
          <w:sz w:val="22"/>
          <w:szCs w:val="22"/>
        </w:rPr>
        <w:t>(</w:t>
      </w:r>
      <w:r w:rsidRPr="00842524">
        <w:rPr>
          <w:rFonts w:ascii="Arial" w:hAnsi="Arial" w:cs="Arial"/>
          <w:iCs/>
          <w:sz w:val="22"/>
          <w:szCs w:val="22"/>
        </w:rPr>
        <w:t>SDL</w:t>
      </w:r>
      <w:r w:rsidR="002A3527">
        <w:rPr>
          <w:rFonts w:ascii="Arial" w:hAnsi="Arial" w:cs="Arial"/>
          <w:iCs/>
          <w:sz w:val="22"/>
          <w:szCs w:val="22"/>
        </w:rPr>
        <w:t>)</w:t>
      </w:r>
      <w:r w:rsidRPr="00842524">
        <w:rPr>
          <w:rFonts w:ascii="Arial" w:hAnsi="Arial" w:cs="Arial"/>
          <w:iCs/>
          <w:sz w:val="22"/>
          <w:szCs w:val="22"/>
        </w:rPr>
        <w:t xml:space="preserve"> használata is lehetővé vált.</w:t>
      </w:r>
    </w:p>
    <w:p w14:paraId="79D323DE" w14:textId="7A64269B" w:rsidR="00842524" w:rsidRPr="00842524" w:rsidRDefault="00842524" w:rsidP="00842524">
      <w:pPr>
        <w:pStyle w:val="Behzottbekezdsnmhh"/>
        <w:rPr>
          <w:rFonts w:ascii="Arial" w:hAnsi="Arial" w:cs="Arial"/>
          <w:sz w:val="22"/>
          <w:szCs w:val="22"/>
        </w:rPr>
      </w:pPr>
      <w:r w:rsidRPr="00842524">
        <w:rPr>
          <w:rFonts w:ascii="Arial" w:hAnsi="Arial" w:cs="Arial"/>
          <w:sz w:val="22"/>
          <w:szCs w:val="22"/>
        </w:rPr>
        <w:t>Tekintettel arra, hogy a korábbi eljárásokhoz képest változott a 2500</w:t>
      </w:r>
      <w:r w:rsidR="0010580F" w:rsidRPr="0010580F">
        <w:rPr>
          <w:rFonts w:ascii="Arial" w:hAnsi="Arial" w:cs="Arial"/>
          <w:iCs/>
          <w:sz w:val="22"/>
          <w:szCs w:val="22"/>
        </w:rPr>
        <w:t>-</w:t>
      </w:r>
      <w:r w:rsidRPr="00842524">
        <w:rPr>
          <w:rFonts w:ascii="Arial" w:hAnsi="Arial" w:cs="Arial"/>
          <w:sz w:val="22"/>
          <w:szCs w:val="22"/>
        </w:rPr>
        <w:t xml:space="preserve">2690 MHz frekvenciasávra vonatkozó szabályozás, amely </w:t>
      </w:r>
      <w:r w:rsidRPr="00842524">
        <w:rPr>
          <w:rFonts w:ascii="Arial" w:hAnsi="Arial" w:cs="Arial"/>
          <w:iCs/>
          <w:sz w:val="22"/>
          <w:szCs w:val="22"/>
        </w:rPr>
        <w:t>által rugalmasabbá vált a rádióspektrumhasználat szabályozása Magyarországon is, jelen meghallgatás során ismét felmérjük az igényeket, figyelembe véve az újgenerációs hálózatok egyre növekvő spektrumszükségletét.</w:t>
      </w:r>
    </w:p>
    <w:p w14:paraId="2D443DE6" w14:textId="7F7CF1C3" w:rsidR="00EB1599" w:rsidRPr="008731EE" w:rsidRDefault="00EB1599" w:rsidP="00EB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8731EE">
        <w:rPr>
          <w:rFonts w:ascii="Arial" w:hAnsi="Arial" w:cs="Arial"/>
          <w:b/>
          <w:i/>
        </w:rPr>
        <w:t xml:space="preserve">A következő </w:t>
      </w:r>
      <w:r w:rsidR="00132EEF">
        <w:rPr>
          <w:rFonts w:ascii="Arial" w:hAnsi="Arial" w:cs="Arial"/>
          <w:b/>
          <w:i/>
        </w:rPr>
        <w:t>állítással</w:t>
      </w:r>
      <w:r w:rsidR="00132EEF" w:rsidRPr="008731EE">
        <w:rPr>
          <w:rFonts w:ascii="Arial" w:hAnsi="Arial" w:cs="Arial"/>
          <w:b/>
          <w:i/>
        </w:rPr>
        <w:t xml:space="preserve"> </w:t>
      </w:r>
      <w:r w:rsidRPr="008731EE">
        <w:rPr>
          <w:rFonts w:ascii="Arial" w:hAnsi="Arial" w:cs="Arial"/>
          <w:b/>
          <w:i/>
        </w:rPr>
        <w:t>kapcsolatban kérjük, fejtse ki véleményét</w:t>
      </w:r>
      <w:r w:rsidR="00CB47FC">
        <w:rPr>
          <w:rFonts w:ascii="Arial" w:hAnsi="Arial" w:cs="Arial"/>
          <w:b/>
          <w:i/>
        </w:rPr>
        <w:t>!</w:t>
      </w:r>
    </w:p>
    <w:p w14:paraId="2E075AED" w14:textId="666E374E" w:rsidR="00EB1599" w:rsidRDefault="00EB1599" w:rsidP="00D64C04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Az N</w:t>
      </w:r>
      <w:r w:rsidR="00AA1FD0">
        <w:rPr>
          <w:rFonts w:ascii="Arial" w:hAnsi="Arial" w:cs="Arial"/>
          <w:i/>
        </w:rPr>
        <w:t>MHH igény esetén tervezi a 2600 </w:t>
      </w:r>
      <w:r>
        <w:rPr>
          <w:rFonts w:ascii="Arial" w:hAnsi="Arial" w:cs="Arial"/>
          <w:i/>
        </w:rPr>
        <w:t xml:space="preserve">MHz-es </w:t>
      </w:r>
      <w:proofErr w:type="spellStart"/>
      <w:r>
        <w:rPr>
          <w:rFonts w:ascii="Arial" w:hAnsi="Arial" w:cs="Arial"/>
          <w:i/>
        </w:rPr>
        <w:t>párosítatlan</w:t>
      </w:r>
      <w:proofErr w:type="spellEnd"/>
      <w:r>
        <w:rPr>
          <w:rFonts w:ascii="Arial" w:hAnsi="Arial" w:cs="Arial"/>
          <w:i/>
        </w:rPr>
        <w:t xml:space="preserve"> sávrészben még elosztható </w:t>
      </w:r>
      <w:r w:rsidR="00654852">
        <w:rPr>
          <w:rFonts w:ascii="Arial" w:hAnsi="Arial" w:cs="Arial"/>
          <w:i/>
        </w:rPr>
        <w:t>15 MHz</w:t>
      </w:r>
      <w:r>
        <w:rPr>
          <w:rFonts w:ascii="Arial" w:hAnsi="Arial" w:cs="Arial"/>
          <w:i/>
        </w:rPr>
        <w:t xml:space="preserve"> </w:t>
      </w:r>
      <w:r w:rsidR="00261918">
        <w:rPr>
          <w:rFonts w:ascii="Arial" w:hAnsi="Arial" w:cs="Arial"/>
          <w:i/>
        </w:rPr>
        <w:t>versenyeztetési eljárás keretében történő hasznosítását</w:t>
      </w:r>
      <w:r w:rsidR="0060711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20</w:t>
      </w:r>
      <w:r w:rsidR="0085393C">
        <w:rPr>
          <w:rFonts w:ascii="Arial" w:hAnsi="Arial" w:cs="Arial"/>
          <w:i/>
        </w:rPr>
        <w:t>23</w:t>
      </w:r>
      <w:r>
        <w:rPr>
          <w:rFonts w:ascii="Arial" w:hAnsi="Arial" w:cs="Arial"/>
          <w:i/>
        </w:rPr>
        <w:t xml:space="preserve"> december végéig.</w:t>
      </w:r>
    </w:p>
    <w:p w14:paraId="3162D46D" w14:textId="5894B8CF" w:rsidR="00AA0E94" w:rsidRDefault="00AA0E9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7FCF27C" w14:textId="1CB39B8B" w:rsidR="008D34D1" w:rsidRDefault="008D34D1" w:rsidP="006E786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MFCN-</w:t>
      </w:r>
      <w:proofErr w:type="spellStart"/>
      <w:r>
        <w:rPr>
          <w:rFonts w:ascii="Arial" w:hAnsi="Arial" w:cs="Arial"/>
          <w:b/>
          <w:sz w:val="24"/>
        </w:rPr>
        <w:t>nel</w:t>
      </w:r>
      <w:proofErr w:type="spellEnd"/>
      <w:r>
        <w:rPr>
          <w:rFonts w:ascii="Arial" w:hAnsi="Arial" w:cs="Arial"/>
          <w:b/>
          <w:sz w:val="24"/>
        </w:rPr>
        <w:t xml:space="preserve"> összefüggő </w:t>
      </w:r>
      <w:r w:rsidR="00842524">
        <w:rPr>
          <w:rFonts w:ascii="Arial" w:hAnsi="Arial" w:cs="Arial"/>
          <w:b/>
          <w:sz w:val="24"/>
        </w:rPr>
        <w:t>egyéb kérdések</w:t>
      </w:r>
    </w:p>
    <w:p w14:paraId="4DEF670C" w14:textId="77777777" w:rsidR="008D34D1" w:rsidRDefault="008D34D1" w:rsidP="008D34D1">
      <w:pPr>
        <w:pStyle w:val="Listaszerbekezds"/>
        <w:ind w:left="1080"/>
        <w:jc w:val="both"/>
        <w:rPr>
          <w:rFonts w:ascii="Arial" w:hAnsi="Arial" w:cs="Arial"/>
          <w:b/>
          <w:sz w:val="24"/>
        </w:rPr>
      </w:pPr>
    </w:p>
    <w:p w14:paraId="745115B1" w14:textId="28D51BBD" w:rsidR="006E7860" w:rsidRPr="008D34D1" w:rsidRDefault="0010580F" w:rsidP="008D34D1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32 </w:t>
      </w:r>
      <w:proofErr w:type="spellStart"/>
      <w:r w:rsidR="00842524">
        <w:rPr>
          <w:rFonts w:ascii="Arial" w:hAnsi="Arial" w:cs="Arial"/>
          <w:b/>
          <w:i/>
          <w:sz w:val="24"/>
        </w:rPr>
        <w:t>GHz</w:t>
      </w:r>
      <w:proofErr w:type="spellEnd"/>
      <w:r w:rsidR="00842524">
        <w:rPr>
          <w:rFonts w:ascii="Arial" w:hAnsi="Arial" w:cs="Arial"/>
          <w:b/>
          <w:i/>
          <w:sz w:val="24"/>
        </w:rPr>
        <w:t>-es frekvenciasáv</w:t>
      </w:r>
    </w:p>
    <w:p w14:paraId="38B3DB36" w14:textId="7ADB45A0" w:rsidR="00E07077" w:rsidRPr="00E07077" w:rsidRDefault="0010580F" w:rsidP="00E07077">
      <w:pPr>
        <w:pStyle w:val="Behzottbekezdsnmh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32 </w:t>
      </w:r>
      <w:proofErr w:type="spellStart"/>
      <w:r w:rsidR="00E07077" w:rsidRPr="00E07077">
        <w:rPr>
          <w:rFonts w:ascii="Arial" w:hAnsi="Arial" w:cs="Arial"/>
          <w:sz w:val="22"/>
          <w:szCs w:val="22"/>
        </w:rPr>
        <w:t>GHz</w:t>
      </w:r>
      <w:proofErr w:type="spellEnd"/>
      <w:r w:rsidR="00E07077" w:rsidRPr="00E07077">
        <w:rPr>
          <w:rFonts w:ascii="Arial" w:hAnsi="Arial" w:cs="Arial"/>
          <w:sz w:val="22"/>
          <w:szCs w:val="22"/>
        </w:rPr>
        <w:t>-es frekvenciasáv elérhetővé tétele az állandó telephelyű pont-pont, valamint pont-többpont rendszerek számára a 26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="00E07077" w:rsidRPr="00E07077">
        <w:rPr>
          <w:rFonts w:ascii="Arial" w:hAnsi="Arial" w:cs="Arial"/>
          <w:sz w:val="22"/>
          <w:szCs w:val="22"/>
        </w:rPr>
        <w:t>GHz</w:t>
      </w:r>
      <w:proofErr w:type="spellEnd"/>
      <w:r w:rsidR="00E07077" w:rsidRPr="00E07077">
        <w:rPr>
          <w:rFonts w:ascii="Arial" w:hAnsi="Arial" w:cs="Arial"/>
          <w:sz w:val="22"/>
          <w:szCs w:val="22"/>
        </w:rPr>
        <w:t>-es frekvenciasáv MFCN</w:t>
      </w:r>
      <w:r w:rsidR="00E07077" w:rsidRPr="00E07077">
        <w:rPr>
          <w:rFonts w:ascii="Arial" w:hAnsi="Arial" w:cs="Arial"/>
          <w:sz w:val="22"/>
          <w:szCs w:val="22"/>
          <w:vertAlign w:val="superscript"/>
        </w:rPr>
        <w:footnoteReference w:id="24"/>
      </w:r>
      <w:r w:rsidR="00E07077" w:rsidRPr="00E07077">
        <w:rPr>
          <w:rFonts w:ascii="Arial" w:hAnsi="Arial" w:cs="Arial"/>
          <w:sz w:val="22"/>
          <w:szCs w:val="22"/>
        </w:rPr>
        <w:t xml:space="preserve"> céljára történő hasznosítására vonatkozó európai uniós kötelezettségek miatt vált szükségessé.</w:t>
      </w:r>
    </w:p>
    <w:p w14:paraId="51968AE5" w14:textId="4E9E81A3" w:rsidR="00E07077" w:rsidRPr="00E07077" w:rsidRDefault="002A3527" w:rsidP="00E07077">
      <w:pPr>
        <w:pStyle w:val="Behzottbekezdsnmhh"/>
        <w:rPr>
          <w:rFonts w:ascii="Arial" w:hAnsi="Arial" w:cs="Arial"/>
          <w:sz w:val="22"/>
          <w:szCs w:val="22"/>
        </w:rPr>
      </w:pPr>
      <w:r w:rsidRPr="002A3527">
        <w:rPr>
          <w:rFonts w:ascii="Arial" w:hAnsi="Arial" w:cs="Arial"/>
          <w:sz w:val="22"/>
          <w:szCs w:val="22"/>
        </w:rPr>
        <w:t>Az uniós kötelezettségek alapján MFCN-re tervezett 24,25–27,5</w:t>
      </w:r>
      <w:r w:rsidR="0010580F">
        <w:rPr>
          <w:rFonts w:ascii="Arial" w:hAnsi="Arial" w:cs="Arial"/>
          <w:sz w:val="22"/>
          <w:szCs w:val="22"/>
        </w:rPr>
        <w:t> </w:t>
      </w:r>
      <w:proofErr w:type="spellStart"/>
      <w:r w:rsidRPr="002A3527">
        <w:rPr>
          <w:rFonts w:ascii="Arial" w:hAnsi="Arial" w:cs="Arial"/>
          <w:sz w:val="22"/>
          <w:szCs w:val="22"/>
        </w:rPr>
        <w:t>GHz</w:t>
      </w:r>
      <w:proofErr w:type="spellEnd"/>
      <w:r w:rsidRPr="002A3527">
        <w:rPr>
          <w:rFonts w:ascii="Arial" w:hAnsi="Arial" w:cs="Arial"/>
          <w:sz w:val="22"/>
          <w:szCs w:val="22"/>
        </w:rPr>
        <w:t xml:space="preserve"> frekvenciatart</w:t>
      </w:r>
      <w:r>
        <w:rPr>
          <w:rFonts w:ascii="Arial" w:hAnsi="Arial" w:cs="Arial"/>
          <w:sz w:val="22"/>
          <w:szCs w:val="22"/>
        </w:rPr>
        <w:t>omány nagy részével át</w:t>
      </w:r>
      <w:r w:rsidR="00132EEF">
        <w:rPr>
          <w:rFonts w:ascii="Arial" w:hAnsi="Arial" w:cs="Arial"/>
          <w:sz w:val="22"/>
          <w:szCs w:val="22"/>
        </w:rPr>
        <w:t>fedésben levő</w:t>
      </w:r>
      <w:r>
        <w:rPr>
          <w:rFonts w:ascii="Arial" w:hAnsi="Arial" w:cs="Arial"/>
          <w:sz w:val="22"/>
          <w:szCs w:val="22"/>
        </w:rPr>
        <w:t xml:space="preserve"> </w:t>
      </w:r>
      <w:r w:rsidR="00E07077" w:rsidRPr="00E07077">
        <w:rPr>
          <w:rFonts w:ascii="Arial" w:hAnsi="Arial" w:cs="Arial"/>
          <w:sz w:val="22"/>
          <w:szCs w:val="22"/>
        </w:rPr>
        <w:t>a 24,5-26,5 </w:t>
      </w:r>
      <w:proofErr w:type="spellStart"/>
      <w:r w:rsidR="00E07077" w:rsidRPr="00E07077">
        <w:rPr>
          <w:rFonts w:ascii="Arial" w:hAnsi="Arial" w:cs="Arial"/>
          <w:sz w:val="22"/>
          <w:szCs w:val="22"/>
        </w:rPr>
        <w:t>GHz</w:t>
      </w:r>
      <w:proofErr w:type="spellEnd"/>
      <w:r w:rsidR="00E07077" w:rsidRPr="00E07077">
        <w:rPr>
          <w:rFonts w:ascii="Arial" w:hAnsi="Arial" w:cs="Arial"/>
          <w:sz w:val="22"/>
          <w:szCs w:val="22"/>
        </w:rPr>
        <w:t xml:space="preserve"> frekvenciasávban jelenleg állandóhelyű pont-pont és pont-többpont rendszerek működhetnek. A hálózat üzemeltetők a rádióspektrum-használati jogosultságot </w:t>
      </w:r>
      <w:r w:rsidR="00132EEF">
        <w:rPr>
          <w:rFonts w:ascii="Arial" w:hAnsi="Arial" w:cs="Arial"/>
          <w:sz w:val="22"/>
          <w:szCs w:val="22"/>
        </w:rPr>
        <w:t>versenyeztetési</w:t>
      </w:r>
      <w:r w:rsidR="00132EEF" w:rsidRPr="00E07077">
        <w:rPr>
          <w:rFonts w:ascii="Arial" w:hAnsi="Arial" w:cs="Arial"/>
          <w:sz w:val="22"/>
          <w:szCs w:val="22"/>
        </w:rPr>
        <w:t xml:space="preserve"> </w:t>
      </w:r>
      <w:r w:rsidR="00E07077" w:rsidRPr="00E07077">
        <w:rPr>
          <w:rFonts w:ascii="Arial" w:hAnsi="Arial" w:cs="Arial"/>
          <w:sz w:val="22"/>
          <w:szCs w:val="22"/>
        </w:rPr>
        <w:t>eljárások során szerezték és főként felhordóhálózati (jellemzően pont-pont) összeköttetéseket valósítanak meg a frekvenciasávban. A rádióspektrum-használati jogosultságok 2024. és 2027. között járnak le, döntő többségük 2027-ben.</w:t>
      </w:r>
    </w:p>
    <w:p w14:paraId="175B4B29" w14:textId="39AD2FB4" w:rsidR="00E07077" w:rsidRPr="00E07077" w:rsidRDefault="00E07077" w:rsidP="00371AFA">
      <w:pPr>
        <w:pStyle w:val="Behzottbekezdsnmhh"/>
        <w:rPr>
          <w:rFonts w:ascii="Arial" w:hAnsi="Arial" w:cs="Arial"/>
          <w:sz w:val="22"/>
          <w:szCs w:val="22"/>
        </w:rPr>
      </w:pPr>
      <w:r w:rsidRPr="00E07077">
        <w:rPr>
          <w:rFonts w:ascii="Arial" w:hAnsi="Arial" w:cs="Arial"/>
          <w:sz w:val="22"/>
          <w:szCs w:val="22"/>
        </w:rPr>
        <w:t>Az NMHH úgy látja, hogy csak akkor lehetséges az MFCN számára elérhetővé tenni a 26 </w:t>
      </w:r>
      <w:proofErr w:type="spellStart"/>
      <w:r w:rsidRPr="00E07077">
        <w:rPr>
          <w:rFonts w:ascii="Arial" w:hAnsi="Arial" w:cs="Arial"/>
          <w:sz w:val="22"/>
          <w:szCs w:val="22"/>
        </w:rPr>
        <w:t>GHz</w:t>
      </w:r>
      <w:proofErr w:type="spellEnd"/>
      <w:r w:rsidRPr="00E07077">
        <w:rPr>
          <w:rFonts w:ascii="Arial" w:hAnsi="Arial" w:cs="Arial"/>
          <w:sz w:val="22"/>
          <w:szCs w:val="22"/>
        </w:rPr>
        <w:t xml:space="preserve">-es frekvenciasávot, ha másik frekvenciasáv használatának lehetővé </w:t>
      </w:r>
      <w:proofErr w:type="gramStart"/>
      <w:r w:rsidRPr="00E07077">
        <w:rPr>
          <w:rFonts w:ascii="Arial" w:hAnsi="Arial" w:cs="Arial"/>
          <w:sz w:val="22"/>
          <w:szCs w:val="22"/>
        </w:rPr>
        <w:t>tételével</w:t>
      </w:r>
      <w:proofErr w:type="gramEnd"/>
      <w:r w:rsidRPr="00E07077">
        <w:rPr>
          <w:rFonts w:ascii="Arial" w:hAnsi="Arial" w:cs="Arial"/>
          <w:sz w:val="22"/>
          <w:szCs w:val="22"/>
        </w:rPr>
        <w:t xml:space="preserve"> </w:t>
      </w:r>
      <w:r w:rsidRPr="00E07077">
        <w:rPr>
          <w:rFonts w:ascii="Arial" w:hAnsi="Arial" w:cs="Arial"/>
          <w:sz w:val="22"/>
          <w:szCs w:val="22"/>
        </w:rPr>
        <w:sym w:font="Symbol" w:char="F02D"/>
      </w:r>
      <w:r w:rsidRPr="00E07077">
        <w:rPr>
          <w:rFonts w:ascii="Arial" w:hAnsi="Arial" w:cs="Arial"/>
          <w:sz w:val="22"/>
          <w:szCs w:val="22"/>
        </w:rPr>
        <w:t xml:space="preserve"> amely lehetőleg hasonló hullámterjedési tulajdonságokkal és elérhető spektrummennyiséggel rendelkezik </w:t>
      </w:r>
      <w:r w:rsidRPr="00E07077">
        <w:rPr>
          <w:rFonts w:ascii="Arial" w:hAnsi="Arial" w:cs="Arial"/>
          <w:sz w:val="22"/>
          <w:szCs w:val="22"/>
        </w:rPr>
        <w:sym w:font="Symbol" w:char="F02D"/>
      </w:r>
      <w:r w:rsidRPr="00E07077">
        <w:rPr>
          <w:rFonts w:ascii="Arial" w:hAnsi="Arial" w:cs="Arial"/>
          <w:sz w:val="22"/>
          <w:szCs w:val="22"/>
        </w:rPr>
        <w:t xml:space="preserve"> gondoskodik a felhordóhálózati rendszerek üzemelési lehetőségeinek biztosításáról. A 32 </w:t>
      </w:r>
      <w:proofErr w:type="spellStart"/>
      <w:r w:rsidRPr="00E07077">
        <w:rPr>
          <w:rFonts w:ascii="Arial" w:hAnsi="Arial" w:cs="Arial"/>
          <w:sz w:val="22"/>
          <w:szCs w:val="22"/>
        </w:rPr>
        <w:t>GHz</w:t>
      </w:r>
      <w:proofErr w:type="spellEnd"/>
      <w:r w:rsidRPr="00E07077">
        <w:rPr>
          <w:rFonts w:ascii="Arial" w:hAnsi="Arial" w:cs="Arial"/>
          <w:sz w:val="22"/>
          <w:szCs w:val="22"/>
        </w:rPr>
        <w:t>-es frekvenciasávot azonosította erre a célra az NMHH. Ezt nyilvános meghallgatáson egyeztette is a piaci szereplőkkel 2019 decemberében. Az egyeztetések eredményeként a 32</w:t>
      </w:r>
      <w:r w:rsidR="0010580F">
        <w:rPr>
          <w:rFonts w:ascii="Arial" w:hAnsi="Arial" w:cs="Arial"/>
          <w:sz w:val="22"/>
          <w:szCs w:val="22"/>
        </w:rPr>
        <w:t> </w:t>
      </w:r>
      <w:proofErr w:type="spellStart"/>
      <w:r w:rsidRPr="00E07077">
        <w:rPr>
          <w:rFonts w:ascii="Arial" w:hAnsi="Arial" w:cs="Arial"/>
          <w:sz w:val="22"/>
          <w:szCs w:val="22"/>
        </w:rPr>
        <w:t>GHz</w:t>
      </w:r>
      <w:proofErr w:type="spellEnd"/>
      <w:r w:rsidRPr="00E07077">
        <w:rPr>
          <w:rFonts w:ascii="Arial" w:hAnsi="Arial" w:cs="Arial"/>
          <w:sz w:val="22"/>
          <w:szCs w:val="22"/>
        </w:rPr>
        <w:t>-es frekvenciasáv használatára vonatkozó feltételek legfontosabb műszaki tervezéshez szükséges elemei az NFFF-</w:t>
      </w:r>
      <w:proofErr w:type="spellStart"/>
      <w:r w:rsidRPr="00E07077">
        <w:rPr>
          <w:rFonts w:ascii="Arial" w:hAnsi="Arial" w:cs="Arial"/>
          <w:sz w:val="22"/>
          <w:szCs w:val="22"/>
        </w:rPr>
        <w:t>ben</w:t>
      </w:r>
      <w:proofErr w:type="spellEnd"/>
      <w:r w:rsidRPr="00E07077">
        <w:rPr>
          <w:rFonts w:ascii="Arial" w:hAnsi="Arial" w:cs="Arial"/>
          <w:sz w:val="22"/>
          <w:szCs w:val="22"/>
        </w:rPr>
        <w:t xml:space="preserve"> már 2020-ban meghatározásra kerültek. A további részletek a műszaki </w:t>
      </w:r>
      <w:proofErr w:type="spellStart"/>
      <w:r w:rsidRPr="00E07077">
        <w:rPr>
          <w:rFonts w:ascii="Arial" w:hAnsi="Arial" w:cs="Arial"/>
          <w:sz w:val="22"/>
          <w:szCs w:val="22"/>
        </w:rPr>
        <w:t>notifikációs</w:t>
      </w:r>
      <w:proofErr w:type="spellEnd"/>
      <w:r w:rsidRPr="00E07077">
        <w:rPr>
          <w:rFonts w:ascii="Arial" w:hAnsi="Arial" w:cs="Arial"/>
          <w:sz w:val="22"/>
          <w:szCs w:val="22"/>
        </w:rPr>
        <w:t xml:space="preserve"> eljárás alatt levő NFFF módosítás tervezetében szerepelnek, amelynek kihirdetése és hatályba lépése 2022 áprilisában várható.</w:t>
      </w:r>
    </w:p>
    <w:p w14:paraId="268E2C42" w14:textId="71844571" w:rsidR="00DB699D" w:rsidRPr="00371AFA" w:rsidRDefault="00A556AB" w:rsidP="00371AFA">
      <w:pPr>
        <w:pStyle w:val="Behzottbekezdsnmh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32 </w:t>
      </w:r>
      <w:proofErr w:type="spellStart"/>
      <w:r w:rsidR="00E07077" w:rsidRPr="00E07077">
        <w:rPr>
          <w:rFonts w:ascii="Arial" w:hAnsi="Arial" w:cs="Arial"/>
          <w:sz w:val="22"/>
          <w:szCs w:val="22"/>
        </w:rPr>
        <w:t>GHz</w:t>
      </w:r>
      <w:proofErr w:type="spellEnd"/>
      <w:r w:rsidR="00E07077" w:rsidRPr="00E07077">
        <w:rPr>
          <w:rFonts w:ascii="Arial" w:hAnsi="Arial" w:cs="Arial"/>
          <w:sz w:val="22"/>
          <w:szCs w:val="22"/>
        </w:rPr>
        <w:t xml:space="preserve">-es frekvenciasáv </w:t>
      </w:r>
      <w:r w:rsidR="009B63D3">
        <w:rPr>
          <w:rFonts w:ascii="Arial" w:hAnsi="Arial" w:cs="Arial"/>
          <w:sz w:val="22"/>
          <w:szCs w:val="22"/>
        </w:rPr>
        <w:t>mielőbbi</w:t>
      </w:r>
      <w:r w:rsidR="009B63D3" w:rsidRPr="00E07077">
        <w:rPr>
          <w:rFonts w:ascii="Arial" w:hAnsi="Arial" w:cs="Arial"/>
          <w:sz w:val="22"/>
          <w:szCs w:val="22"/>
        </w:rPr>
        <w:t xml:space="preserve"> </w:t>
      </w:r>
      <w:r w:rsidR="00E07077" w:rsidRPr="00E07077">
        <w:rPr>
          <w:rFonts w:ascii="Arial" w:hAnsi="Arial" w:cs="Arial"/>
          <w:sz w:val="22"/>
          <w:szCs w:val="22"/>
        </w:rPr>
        <w:t>elosztása lehetővé teszi, hogy az új összeköttetések már ebben a sávban létesüljenek, il</w:t>
      </w:r>
      <w:r>
        <w:rPr>
          <w:rFonts w:ascii="Arial" w:hAnsi="Arial" w:cs="Arial"/>
          <w:sz w:val="22"/>
          <w:szCs w:val="22"/>
        </w:rPr>
        <w:t>letve, hogy a jelenleg még a 26 </w:t>
      </w:r>
      <w:proofErr w:type="spellStart"/>
      <w:r w:rsidR="00E07077" w:rsidRPr="00E07077">
        <w:rPr>
          <w:rFonts w:ascii="Arial" w:hAnsi="Arial" w:cs="Arial"/>
          <w:sz w:val="22"/>
          <w:szCs w:val="22"/>
        </w:rPr>
        <w:t>GHz</w:t>
      </w:r>
      <w:proofErr w:type="spellEnd"/>
      <w:r w:rsidR="00E07077" w:rsidRPr="00E07077">
        <w:rPr>
          <w:rFonts w:ascii="Arial" w:hAnsi="Arial" w:cs="Arial"/>
          <w:sz w:val="22"/>
          <w:szCs w:val="22"/>
        </w:rPr>
        <w:t>-es frekvenciasávban működő összeköttetések migrációja megtörténjen. A migráció után a 26</w:t>
      </w:r>
      <w:r w:rsidR="0010580F">
        <w:rPr>
          <w:rFonts w:ascii="Arial" w:hAnsi="Arial" w:cs="Arial"/>
          <w:sz w:val="22"/>
          <w:szCs w:val="22"/>
        </w:rPr>
        <w:t> </w:t>
      </w:r>
      <w:proofErr w:type="spellStart"/>
      <w:r w:rsidR="00E07077" w:rsidRPr="00E07077">
        <w:rPr>
          <w:rFonts w:ascii="Arial" w:hAnsi="Arial" w:cs="Arial"/>
          <w:sz w:val="22"/>
          <w:szCs w:val="22"/>
        </w:rPr>
        <w:t>GHz</w:t>
      </w:r>
      <w:proofErr w:type="spellEnd"/>
      <w:r w:rsidR="00E07077" w:rsidRPr="00E07077">
        <w:rPr>
          <w:rFonts w:ascii="Arial" w:hAnsi="Arial" w:cs="Arial"/>
          <w:sz w:val="22"/>
          <w:szCs w:val="22"/>
        </w:rPr>
        <w:t xml:space="preserve">-es frekvenciasáv is kiürül. Ezáltal piaci igény esetén nem lesz további akadálya az uniós kötelezettségnek eleget tenni és lehetővé válik az MFCN (leginkább 5G NR) bevezetése a frekvenciasávban. </w:t>
      </w:r>
    </w:p>
    <w:p w14:paraId="3744A403" w14:textId="52D7E9D6" w:rsidR="00DB699D" w:rsidRPr="008731EE" w:rsidRDefault="00DB699D" w:rsidP="00DB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8731EE">
        <w:rPr>
          <w:rFonts w:ascii="Arial" w:hAnsi="Arial" w:cs="Arial"/>
          <w:b/>
          <w:i/>
        </w:rPr>
        <w:t xml:space="preserve">A következő </w:t>
      </w:r>
      <w:r w:rsidR="00132EEF">
        <w:rPr>
          <w:rFonts w:ascii="Arial" w:hAnsi="Arial" w:cs="Arial"/>
          <w:b/>
          <w:i/>
        </w:rPr>
        <w:t>állítással</w:t>
      </w:r>
      <w:r w:rsidR="00132EEF" w:rsidRPr="008731EE">
        <w:rPr>
          <w:rFonts w:ascii="Arial" w:hAnsi="Arial" w:cs="Arial"/>
          <w:b/>
          <w:i/>
        </w:rPr>
        <w:t xml:space="preserve"> </w:t>
      </w:r>
      <w:r w:rsidRPr="008731EE">
        <w:rPr>
          <w:rFonts w:ascii="Arial" w:hAnsi="Arial" w:cs="Arial"/>
          <w:b/>
          <w:i/>
        </w:rPr>
        <w:t>kapcsolatban kérjük, fejtse ki véleményét</w:t>
      </w:r>
      <w:r w:rsidR="00CB47FC">
        <w:rPr>
          <w:rFonts w:ascii="Arial" w:hAnsi="Arial" w:cs="Arial"/>
          <w:b/>
          <w:i/>
        </w:rPr>
        <w:t>!</w:t>
      </w:r>
    </w:p>
    <w:p w14:paraId="40BC28E7" w14:textId="1A88CA1C" w:rsidR="00473FAE" w:rsidRPr="00654852" w:rsidRDefault="00DB699D" w:rsidP="00042B7D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654852">
        <w:rPr>
          <w:rFonts w:ascii="Arial" w:hAnsi="Arial" w:cs="Arial"/>
          <w:i/>
        </w:rPr>
        <w:t>Az NMHH</w:t>
      </w:r>
      <w:r w:rsidR="00654852">
        <w:rPr>
          <w:rFonts w:ascii="Arial" w:hAnsi="Arial" w:cs="Arial"/>
          <w:i/>
        </w:rPr>
        <w:t xml:space="preserve"> 2022-ben tervezi,</w:t>
      </w:r>
      <w:r w:rsidR="0010580F">
        <w:rPr>
          <w:rFonts w:ascii="Arial" w:hAnsi="Arial" w:cs="Arial"/>
          <w:i/>
        </w:rPr>
        <w:t xml:space="preserve"> hogy a 32 </w:t>
      </w:r>
      <w:proofErr w:type="spellStart"/>
      <w:r w:rsidR="00654852">
        <w:rPr>
          <w:rFonts w:ascii="Arial" w:hAnsi="Arial" w:cs="Arial"/>
          <w:i/>
        </w:rPr>
        <w:t>GHz</w:t>
      </w:r>
      <w:proofErr w:type="spellEnd"/>
      <w:r w:rsidR="00654852">
        <w:rPr>
          <w:rFonts w:ascii="Arial" w:hAnsi="Arial" w:cs="Arial"/>
          <w:i/>
        </w:rPr>
        <w:t>-es frekvenciasávban verseny</w:t>
      </w:r>
      <w:r w:rsidR="0010580F">
        <w:rPr>
          <w:rFonts w:ascii="Arial" w:hAnsi="Arial" w:cs="Arial"/>
          <w:i/>
        </w:rPr>
        <w:t>eztetési eljárást indítson a 26 </w:t>
      </w:r>
      <w:proofErr w:type="spellStart"/>
      <w:r w:rsidR="00654852">
        <w:rPr>
          <w:rFonts w:ascii="Arial" w:hAnsi="Arial" w:cs="Arial"/>
          <w:i/>
        </w:rPr>
        <w:t>GHz</w:t>
      </w:r>
      <w:proofErr w:type="spellEnd"/>
      <w:r w:rsidR="00654852">
        <w:rPr>
          <w:rFonts w:ascii="Arial" w:hAnsi="Arial" w:cs="Arial"/>
          <w:i/>
        </w:rPr>
        <w:t xml:space="preserve">-es frekvenciasávban meglevő használat </w:t>
      </w:r>
      <w:r w:rsidR="009B63D3">
        <w:rPr>
          <w:rFonts w:ascii="Arial" w:hAnsi="Arial" w:cs="Arial"/>
          <w:i/>
        </w:rPr>
        <w:t xml:space="preserve">mielőbbi </w:t>
      </w:r>
      <w:r w:rsidR="00654852">
        <w:rPr>
          <w:rFonts w:ascii="Arial" w:hAnsi="Arial" w:cs="Arial"/>
          <w:i/>
        </w:rPr>
        <w:t>migrációja érdekében</w:t>
      </w:r>
      <w:r w:rsidR="0021444B" w:rsidRPr="00654852">
        <w:rPr>
          <w:rFonts w:ascii="Arial" w:hAnsi="Arial" w:cs="Arial"/>
          <w:i/>
        </w:rPr>
        <w:t>.</w:t>
      </w:r>
    </w:p>
    <w:p w14:paraId="4F33F9AD" w14:textId="77777777" w:rsidR="008D34D1" w:rsidRDefault="008D34D1" w:rsidP="008D34D1">
      <w:pPr>
        <w:jc w:val="both"/>
        <w:rPr>
          <w:rFonts w:ascii="Arial" w:hAnsi="Arial" w:cs="Arial"/>
        </w:rPr>
      </w:pPr>
    </w:p>
    <w:p w14:paraId="17FE48F4" w14:textId="6414CB8D" w:rsidR="008D34D1" w:rsidRPr="008D34D1" w:rsidRDefault="00371AFA" w:rsidP="008D34D1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3,8-4,2 </w:t>
      </w:r>
      <w:proofErr w:type="spellStart"/>
      <w:r>
        <w:rPr>
          <w:rFonts w:ascii="Arial" w:hAnsi="Arial" w:cs="Arial"/>
          <w:b/>
          <w:i/>
          <w:sz w:val="24"/>
        </w:rPr>
        <w:t>GHz</w:t>
      </w:r>
      <w:proofErr w:type="spellEnd"/>
      <w:r>
        <w:rPr>
          <w:rFonts w:ascii="Arial" w:hAnsi="Arial" w:cs="Arial"/>
          <w:b/>
          <w:i/>
          <w:sz w:val="24"/>
        </w:rPr>
        <w:t xml:space="preserve"> frekvenciasáv</w:t>
      </w:r>
    </w:p>
    <w:p w14:paraId="58744227" w14:textId="44633BCD" w:rsidR="00371AFA" w:rsidRPr="00371AFA" w:rsidRDefault="00371AFA" w:rsidP="00371AFA">
      <w:pPr>
        <w:pStyle w:val="Behzottbekezdsnmhh"/>
        <w:rPr>
          <w:rFonts w:ascii="Arial" w:hAnsi="Arial" w:cs="Arial"/>
          <w:sz w:val="22"/>
          <w:szCs w:val="22"/>
        </w:rPr>
      </w:pPr>
      <w:r w:rsidRPr="00371AFA">
        <w:rPr>
          <w:rFonts w:ascii="Arial" w:hAnsi="Arial" w:cs="Arial"/>
          <w:sz w:val="22"/>
          <w:szCs w:val="22"/>
        </w:rPr>
        <w:t xml:space="preserve">Az Európai Unió célul tűzte ki, hogy minél szélesebb körben legyenek kiépítve nagykapacitású hálózatok, amelyek biztosítják a gigabites kapcsolatokat az Unió területén. Ennek érdekében több kezdeményezés is született az 5G bevezetésének elősegítésére (pl. 5G Action </w:t>
      </w:r>
      <w:proofErr w:type="spellStart"/>
      <w:r w:rsidRPr="00371AFA">
        <w:rPr>
          <w:rFonts w:ascii="Arial" w:hAnsi="Arial" w:cs="Arial"/>
          <w:sz w:val="22"/>
          <w:szCs w:val="22"/>
        </w:rPr>
        <w:t>Plan</w:t>
      </w:r>
      <w:proofErr w:type="spellEnd"/>
      <w:r w:rsidRPr="00371AFA">
        <w:rPr>
          <w:rFonts w:ascii="Arial" w:hAnsi="Arial" w:cs="Arial"/>
          <w:sz w:val="22"/>
          <w:szCs w:val="22"/>
        </w:rPr>
        <w:t xml:space="preserve">), amelyek közül rádióspektrum politikai szempontból a legfontosabb az </w:t>
      </w:r>
      <w:r w:rsidRPr="00371AFA">
        <w:rPr>
          <w:rFonts w:ascii="Arial" w:hAnsi="Arial" w:cs="Arial"/>
          <w:sz w:val="22"/>
          <w:szCs w:val="22"/>
        </w:rPr>
        <w:lastRenderedPageBreak/>
        <w:t>RSPG</w:t>
      </w:r>
      <w:r w:rsidRPr="00486B2E">
        <w:rPr>
          <w:rFonts w:ascii="Arial" w:hAnsi="Arial" w:cs="Arial"/>
          <w:sz w:val="22"/>
          <w:szCs w:val="22"/>
          <w:vertAlign w:val="superscript"/>
        </w:rPr>
        <w:footnoteReference w:id="25"/>
      </w:r>
      <w:r w:rsidRPr="00371AFA">
        <w:rPr>
          <w:rFonts w:ascii="Arial" w:hAnsi="Arial" w:cs="Arial"/>
          <w:sz w:val="22"/>
          <w:szCs w:val="22"/>
        </w:rPr>
        <w:t xml:space="preserve"> által kiadott három</w:t>
      </w:r>
      <w:r w:rsidRPr="00486B2E">
        <w:rPr>
          <w:rFonts w:ascii="Arial" w:hAnsi="Arial" w:cs="Arial"/>
          <w:sz w:val="22"/>
          <w:szCs w:val="22"/>
          <w:vertAlign w:val="superscript"/>
        </w:rPr>
        <w:footnoteReference w:id="26"/>
      </w:r>
      <w:r w:rsidRPr="00371AFA">
        <w:rPr>
          <w:rFonts w:ascii="Arial" w:hAnsi="Arial" w:cs="Arial"/>
          <w:sz w:val="22"/>
          <w:szCs w:val="22"/>
        </w:rPr>
        <w:t xml:space="preserve">, európai 5G stratégiával kapcsolatos szakvélemény. Különösen a harmadik szakvéleményben (2019. januári) kaptak hangsúlyos szerepet a vertikumok, amelyeknek a vezetéknélküli infrastruktúrával való ellátása különböző megoldásokkal képzelhető el. Egyik ezek közül mobilszolgáltatók segítségével megvalósuló megoldás. Lehetséges harmadik fél általi szolgáltatás is. De akár maga a vertikumba tartozó szereplő is megoldhatja a hálózat kiépítését, üzemeltetését. Az Unió azt tűzte ki célul, hogy álljon rendelkezésre a vertikumok számára is dedikált uniós harmonizált frekvenciasáv. A vertikumok számára biztosított rádióspektrum olyan szektorokban segítheti elő a </w:t>
      </w:r>
      <w:proofErr w:type="spellStart"/>
      <w:r w:rsidRPr="00371AFA">
        <w:rPr>
          <w:rFonts w:ascii="Arial" w:hAnsi="Arial" w:cs="Arial"/>
          <w:sz w:val="22"/>
          <w:szCs w:val="22"/>
        </w:rPr>
        <w:t>digitalizáció</w:t>
      </w:r>
      <w:proofErr w:type="spellEnd"/>
      <w:r w:rsidRPr="00371AFA">
        <w:rPr>
          <w:rFonts w:ascii="Arial" w:hAnsi="Arial" w:cs="Arial"/>
          <w:sz w:val="22"/>
          <w:szCs w:val="22"/>
        </w:rPr>
        <w:t xml:space="preserve"> bevezetését, kiterjesztését, mint </w:t>
      </w:r>
      <w:r w:rsidR="00132EEF">
        <w:rPr>
          <w:rFonts w:ascii="Arial" w:hAnsi="Arial" w:cs="Arial"/>
          <w:sz w:val="22"/>
          <w:szCs w:val="22"/>
        </w:rPr>
        <w:t xml:space="preserve">a </w:t>
      </w:r>
      <w:r w:rsidRPr="00371AFA">
        <w:rPr>
          <w:rFonts w:ascii="Arial" w:hAnsi="Arial" w:cs="Arial"/>
          <w:sz w:val="22"/>
          <w:szCs w:val="22"/>
        </w:rPr>
        <w:t xml:space="preserve">közlekedés, </w:t>
      </w:r>
      <w:r w:rsidR="00132EEF">
        <w:rPr>
          <w:rFonts w:ascii="Arial" w:hAnsi="Arial" w:cs="Arial"/>
          <w:sz w:val="22"/>
          <w:szCs w:val="22"/>
        </w:rPr>
        <w:t xml:space="preserve">a </w:t>
      </w:r>
      <w:r w:rsidRPr="00371AFA">
        <w:rPr>
          <w:rFonts w:ascii="Arial" w:hAnsi="Arial" w:cs="Arial"/>
          <w:sz w:val="22"/>
          <w:szCs w:val="22"/>
        </w:rPr>
        <w:t>logisztika,</w:t>
      </w:r>
      <w:r w:rsidR="00132EEF">
        <w:rPr>
          <w:rFonts w:ascii="Arial" w:hAnsi="Arial" w:cs="Arial"/>
          <w:sz w:val="22"/>
          <w:szCs w:val="22"/>
        </w:rPr>
        <w:t xml:space="preserve"> a</w:t>
      </w:r>
      <w:r w:rsidRPr="00371AFA">
        <w:rPr>
          <w:rFonts w:ascii="Arial" w:hAnsi="Arial" w:cs="Arial"/>
          <w:sz w:val="22"/>
          <w:szCs w:val="22"/>
        </w:rPr>
        <w:t xml:space="preserve"> járműipar, valamint az egészségügy, </w:t>
      </w:r>
      <w:r w:rsidR="00132EEF">
        <w:rPr>
          <w:rFonts w:ascii="Arial" w:hAnsi="Arial" w:cs="Arial"/>
          <w:sz w:val="22"/>
          <w:szCs w:val="22"/>
        </w:rPr>
        <w:t xml:space="preserve">az </w:t>
      </w:r>
      <w:r w:rsidRPr="00371AFA">
        <w:rPr>
          <w:rFonts w:ascii="Arial" w:hAnsi="Arial" w:cs="Arial"/>
          <w:sz w:val="22"/>
          <w:szCs w:val="22"/>
        </w:rPr>
        <w:t xml:space="preserve">energiaszolgáltatás, </w:t>
      </w:r>
      <w:r w:rsidR="00132EEF">
        <w:rPr>
          <w:rFonts w:ascii="Arial" w:hAnsi="Arial" w:cs="Arial"/>
          <w:sz w:val="22"/>
          <w:szCs w:val="22"/>
        </w:rPr>
        <w:t xml:space="preserve">az </w:t>
      </w:r>
      <w:r w:rsidRPr="00371AFA">
        <w:rPr>
          <w:rFonts w:ascii="Arial" w:hAnsi="Arial" w:cs="Arial"/>
          <w:sz w:val="22"/>
          <w:szCs w:val="22"/>
        </w:rPr>
        <w:t xml:space="preserve">okos gyárak, </w:t>
      </w:r>
      <w:r w:rsidR="00132EEF">
        <w:rPr>
          <w:rFonts w:ascii="Arial" w:hAnsi="Arial" w:cs="Arial"/>
          <w:sz w:val="22"/>
          <w:szCs w:val="22"/>
        </w:rPr>
        <w:t xml:space="preserve">vagy </w:t>
      </w:r>
      <w:r w:rsidRPr="00371AFA">
        <w:rPr>
          <w:rFonts w:ascii="Arial" w:hAnsi="Arial" w:cs="Arial"/>
          <w:sz w:val="22"/>
          <w:szCs w:val="22"/>
        </w:rPr>
        <w:t xml:space="preserve">média és </w:t>
      </w:r>
      <w:r w:rsidR="00132EEF">
        <w:rPr>
          <w:rFonts w:ascii="Arial" w:hAnsi="Arial" w:cs="Arial"/>
          <w:sz w:val="22"/>
          <w:szCs w:val="22"/>
        </w:rPr>
        <w:t xml:space="preserve">a </w:t>
      </w:r>
      <w:r w:rsidRPr="00371AFA">
        <w:rPr>
          <w:rFonts w:ascii="Arial" w:hAnsi="Arial" w:cs="Arial"/>
          <w:sz w:val="22"/>
          <w:szCs w:val="22"/>
        </w:rPr>
        <w:t>szórakoztatóipar. Mivel az új technológia bevezetéséhez az alkalmazási területekhez igazodó megfelelő mennyiségű és átviteli tulajdonságú rádióspektrumot kell biztosítani, ezért az Unió szintjén megindultak az 5G rádióspektrum-harmonizációs törekvések, figyelembe véve az új üzleti modelleket és ipari, illetve egyéb vertikumba sorolható ágazati megoldásokat.</w:t>
      </w:r>
    </w:p>
    <w:p w14:paraId="7F1AC747" w14:textId="668B0E74" w:rsidR="00371AFA" w:rsidRPr="00371AFA" w:rsidRDefault="00371AFA" w:rsidP="00623F06">
      <w:pPr>
        <w:pStyle w:val="Behzottbekezdsnmhh"/>
        <w:rPr>
          <w:rFonts w:ascii="Arial" w:hAnsi="Arial" w:cs="Arial"/>
          <w:sz w:val="22"/>
          <w:szCs w:val="22"/>
        </w:rPr>
      </w:pPr>
      <w:r w:rsidRPr="00371AFA">
        <w:rPr>
          <w:rFonts w:ascii="Arial" w:hAnsi="Arial" w:cs="Arial"/>
          <w:sz w:val="22"/>
          <w:szCs w:val="22"/>
        </w:rPr>
        <w:t>Vertikumot kiszolgáló helyi vezetéknélküli hálózatok megvalósításának elősegítése céljából az Európai Bizottság 2021 decemberében kiadott egy mandátumot</w:t>
      </w:r>
      <w:r w:rsidRPr="00890B66">
        <w:rPr>
          <w:rFonts w:ascii="Arial" w:hAnsi="Arial" w:cs="Arial"/>
          <w:sz w:val="22"/>
          <w:szCs w:val="22"/>
          <w:vertAlign w:val="superscript"/>
        </w:rPr>
        <w:footnoteReference w:id="27"/>
      </w:r>
      <w:r w:rsidRPr="00371AFA">
        <w:rPr>
          <w:rFonts w:ascii="Arial" w:hAnsi="Arial" w:cs="Arial"/>
          <w:sz w:val="22"/>
          <w:szCs w:val="22"/>
        </w:rPr>
        <w:t xml:space="preserve"> a CEPT részére, amelyben az 5G-én alapuló he</w:t>
      </w:r>
      <w:r w:rsidR="0010580F">
        <w:rPr>
          <w:rFonts w:ascii="Arial" w:hAnsi="Arial" w:cs="Arial"/>
          <w:sz w:val="22"/>
          <w:szCs w:val="22"/>
        </w:rPr>
        <w:t>lyi hálózatok céljára a 3,8-4,2 </w:t>
      </w:r>
      <w:proofErr w:type="spellStart"/>
      <w:r w:rsidRPr="00371AFA">
        <w:rPr>
          <w:rFonts w:ascii="Arial" w:hAnsi="Arial" w:cs="Arial"/>
          <w:sz w:val="22"/>
          <w:szCs w:val="22"/>
        </w:rPr>
        <w:t>GHz</w:t>
      </w:r>
      <w:proofErr w:type="spellEnd"/>
      <w:r w:rsidRPr="00371AFA">
        <w:rPr>
          <w:rFonts w:ascii="Arial" w:hAnsi="Arial" w:cs="Arial"/>
          <w:sz w:val="22"/>
          <w:szCs w:val="22"/>
        </w:rPr>
        <w:t xml:space="preserve"> frekvenciasávot azonosították. A mandátum alapján vizsgálni kell a frekvenciasávban már meglévő szolgálatok és alkalmazásokkal való együttélés, illetve a megosztott használat lehetőségét. A harmonizált műszaki feltételeket úgy kell meghatározni a megosztott használatra vonatkozóan, hogy a frekvenciasávban működő egyéb rendszerek (műholdas állandóhelyű szolgálat keretében működő földi vevőállomások és állandóhelyű szolgálat keretében működő pont-pont összeköttetések) védelme és a szomszédos frekvenciasávokban működő alkalmazáso</w:t>
      </w:r>
      <w:r w:rsidR="0010580F">
        <w:rPr>
          <w:rFonts w:ascii="Arial" w:hAnsi="Arial" w:cs="Arial"/>
          <w:sz w:val="22"/>
          <w:szCs w:val="22"/>
        </w:rPr>
        <w:t>kkal (pl. 4,2-4,4 </w:t>
      </w:r>
      <w:proofErr w:type="spellStart"/>
      <w:r w:rsidRPr="00371AFA">
        <w:rPr>
          <w:rFonts w:ascii="Arial" w:hAnsi="Arial" w:cs="Arial"/>
          <w:sz w:val="22"/>
          <w:szCs w:val="22"/>
        </w:rPr>
        <w:t>GHz</w:t>
      </w:r>
      <w:proofErr w:type="spellEnd"/>
      <w:r w:rsidRPr="00371AFA">
        <w:rPr>
          <w:rFonts w:ascii="Arial" w:hAnsi="Arial" w:cs="Arial"/>
          <w:sz w:val="22"/>
          <w:szCs w:val="22"/>
        </w:rPr>
        <w:t xml:space="preserve"> frekvenciasávban működő repülőgép fedélzeti magasságmérők) való együttélés biztosítva legyen. </w:t>
      </w:r>
    </w:p>
    <w:p w14:paraId="415BEB53" w14:textId="2B23DE45" w:rsidR="00371AFA" w:rsidRPr="00371AFA" w:rsidRDefault="00371AFA" w:rsidP="00623F06">
      <w:pPr>
        <w:pStyle w:val="Behzottbekezdsnmhh"/>
        <w:rPr>
          <w:rFonts w:ascii="Arial" w:hAnsi="Arial" w:cs="Arial"/>
          <w:sz w:val="22"/>
          <w:szCs w:val="22"/>
        </w:rPr>
      </w:pPr>
      <w:r w:rsidRPr="00371AFA">
        <w:rPr>
          <w:rFonts w:ascii="Arial" w:hAnsi="Arial" w:cs="Arial"/>
          <w:sz w:val="22"/>
          <w:szCs w:val="22"/>
        </w:rPr>
        <w:t>A vizsgálatok eredményeitől függően, és azokat felhasznál</w:t>
      </w:r>
      <w:r w:rsidR="0010580F">
        <w:rPr>
          <w:rFonts w:ascii="Arial" w:hAnsi="Arial" w:cs="Arial"/>
          <w:sz w:val="22"/>
          <w:szCs w:val="22"/>
        </w:rPr>
        <w:t>va dolgozza ki a CEPT a 3,8-4,2 </w:t>
      </w:r>
      <w:proofErr w:type="spellStart"/>
      <w:r w:rsidRPr="00371AFA">
        <w:rPr>
          <w:rFonts w:ascii="Arial" w:hAnsi="Arial" w:cs="Arial"/>
          <w:sz w:val="22"/>
          <w:szCs w:val="22"/>
        </w:rPr>
        <w:t>GHz</w:t>
      </w:r>
      <w:proofErr w:type="spellEnd"/>
      <w:r w:rsidRPr="00371AFA">
        <w:rPr>
          <w:rFonts w:ascii="Arial" w:hAnsi="Arial" w:cs="Arial"/>
          <w:sz w:val="22"/>
          <w:szCs w:val="22"/>
        </w:rPr>
        <w:t xml:space="preserve"> frekvenciasáv helyi jellegű megosztott használatára vonatkozó legkevésbé korlátozó harmonizált műszaki feltételeket. A műszaki feltételeket úgy kell meghatározni, hogy a sávon belüli és szomszédos sávban működő alkalmazások zavarmentes működése biztosított legyen, és a határmenti rádióspektrum-használat se okozzon gondot.</w:t>
      </w:r>
    </w:p>
    <w:p w14:paraId="7E5FA4CB" w14:textId="77777777" w:rsidR="00371AFA" w:rsidRPr="00371AFA" w:rsidRDefault="00371AFA" w:rsidP="00623F06">
      <w:pPr>
        <w:pStyle w:val="Behzottbekezdsnmhh"/>
        <w:rPr>
          <w:rFonts w:ascii="Arial" w:hAnsi="Arial" w:cs="Arial"/>
          <w:sz w:val="22"/>
          <w:szCs w:val="22"/>
        </w:rPr>
      </w:pPr>
      <w:r w:rsidRPr="00371AFA">
        <w:rPr>
          <w:rFonts w:ascii="Arial" w:hAnsi="Arial" w:cs="Arial"/>
          <w:sz w:val="22"/>
          <w:szCs w:val="22"/>
        </w:rPr>
        <w:t>Az előzetes ütemterv az alábbi táblázatban látható:</w:t>
      </w:r>
    </w:p>
    <w:tbl>
      <w:tblPr>
        <w:tblStyle w:val="Rcsostblzat1"/>
        <w:tblW w:w="9781" w:type="dxa"/>
        <w:tblInd w:w="-5" w:type="dxa"/>
        <w:tblLook w:val="04A0" w:firstRow="1" w:lastRow="0" w:firstColumn="1" w:lastColumn="0" w:noHBand="0" w:noVBand="1"/>
      </w:tblPr>
      <w:tblGrid>
        <w:gridCol w:w="3247"/>
        <w:gridCol w:w="6534"/>
      </w:tblGrid>
      <w:tr w:rsidR="00371AFA" w:rsidRPr="00371AFA" w14:paraId="02C02CF4" w14:textId="77777777" w:rsidTr="00F008FE">
        <w:trPr>
          <w:trHeight w:val="531"/>
        </w:trPr>
        <w:tc>
          <w:tcPr>
            <w:tcW w:w="3247" w:type="dxa"/>
            <w:shd w:val="clear" w:color="auto" w:fill="0556A5"/>
            <w:vAlign w:val="center"/>
          </w:tcPr>
          <w:p w14:paraId="3641F130" w14:textId="77777777" w:rsidR="00371AFA" w:rsidRPr="00371AFA" w:rsidRDefault="00371AFA" w:rsidP="00371AFA">
            <w:pPr>
              <w:spacing w:line="280" w:lineRule="exact"/>
              <w:jc w:val="center"/>
              <w:rPr>
                <w:rFonts w:ascii="Arial" w:eastAsia="Calibri" w:hAnsi="Arial" w:cs="Times New Roman"/>
                <w:b/>
                <w:color w:val="FFFFFF"/>
                <w:sz w:val="20"/>
                <w:szCs w:val="20"/>
              </w:rPr>
            </w:pPr>
            <w:r w:rsidRPr="00371AFA">
              <w:rPr>
                <w:rFonts w:ascii="Arial" w:eastAsia="Calibri" w:hAnsi="Arial" w:cs="Times New Roman"/>
                <w:b/>
                <w:color w:val="FFFFFF"/>
                <w:sz w:val="20"/>
                <w:szCs w:val="20"/>
              </w:rPr>
              <w:t>Határidő</w:t>
            </w:r>
          </w:p>
        </w:tc>
        <w:tc>
          <w:tcPr>
            <w:tcW w:w="6534" w:type="dxa"/>
            <w:shd w:val="clear" w:color="auto" w:fill="0556A5"/>
            <w:vAlign w:val="center"/>
          </w:tcPr>
          <w:p w14:paraId="1ACE9894" w14:textId="77777777" w:rsidR="00371AFA" w:rsidRPr="00371AFA" w:rsidRDefault="00371AFA" w:rsidP="00371AFA">
            <w:pPr>
              <w:spacing w:line="280" w:lineRule="exact"/>
              <w:jc w:val="center"/>
              <w:rPr>
                <w:rFonts w:ascii="Arial" w:eastAsia="Calibri" w:hAnsi="Arial" w:cs="Times New Roman"/>
                <w:b/>
                <w:color w:val="0D0D0D"/>
                <w:sz w:val="20"/>
                <w:szCs w:val="20"/>
              </w:rPr>
            </w:pPr>
            <w:r w:rsidRPr="00371AFA">
              <w:rPr>
                <w:rFonts w:ascii="Arial" w:eastAsia="Calibri" w:hAnsi="Arial" w:cs="Times New Roman"/>
                <w:b/>
                <w:color w:val="FFFFFF"/>
                <w:sz w:val="20"/>
                <w:szCs w:val="20"/>
              </w:rPr>
              <w:t>Kimeneti dokumentum</w:t>
            </w:r>
          </w:p>
        </w:tc>
      </w:tr>
      <w:tr w:rsidR="00371AFA" w:rsidRPr="00371AFA" w14:paraId="1126A625" w14:textId="77777777" w:rsidTr="00F008FE">
        <w:trPr>
          <w:trHeight w:val="269"/>
        </w:trPr>
        <w:tc>
          <w:tcPr>
            <w:tcW w:w="3247" w:type="dxa"/>
          </w:tcPr>
          <w:p w14:paraId="21892F2F" w14:textId="77777777" w:rsidR="00371AFA" w:rsidRPr="00371AFA" w:rsidRDefault="00371AFA" w:rsidP="00371AFA">
            <w:pPr>
              <w:spacing w:before="80" w:after="80" w:line="280" w:lineRule="exact"/>
              <w:rPr>
                <w:rFonts w:ascii="Arial" w:eastAsia="Calibri" w:hAnsi="Arial" w:cs="Times New Roman"/>
                <w:color w:val="0D0D0D"/>
                <w:sz w:val="20"/>
                <w:szCs w:val="20"/>
              </w:rPr>
            </w:pPr>
            <w:r w:rsidRPr="00371AFA">
              <w:rPr>
                <w:rFonts w:ascii="Arial" w:eastAsia="Calibri" w:hAnsi="Arial" w:cs="Times New Roman"/>
                <w:sz w:val="20"/>
              </w:rPr>
              <w:t>2022. november</w:t>
            </w:r>
          </w:p>
        </w:tc>
        <w:tc>
          <w:tcPr>
            <w:tcW w:w="6534" w:type="dxa"/>
          </w:tcPr>
          <w:p w14:paraId="26E3EDCD" w14:textId="77777777" w:rsidR="00371AFA" w:rsidRPr="00371AFA" w:rsidRDefault="00371AFA" w:rsidP="00371AFA">
            <w:pPr>
              <w:spacing w:before="80" w:after="80" w:line="280" w:lineRule="exact"/>
              <w:rPr>
                <w:rFonts w:ascii="Arial" w:eastAsia="Calibri" w:hAnsi="Arial" w:cs="Times New Roman"/>
                <w:color w:val="0D0D0D"/>
                <w:sz w:val="20"/>
                <w:szCs w:val="20"/>
              </w:rPr>
            </w:pPr>
            <w:r w:rsidRPr="00371AFA">
              <w:rPr>
                <w:rFonts w:ascii="Arial" w:eastAsia="Calibri" w:hAnsi="Arial" w:cs="Times New Roman"/>
                <w:sz w:val="20"/>
              </w:rPr>
              <w:t>CEPT által készített első jelentés a Bizottság részére</w:t>
            </w:r>
          </w:p>
        </w:tc>
      </w:tr>
      <w:tr w:rsidR="00371AFA" w:rsidRPr="00371AFA" w14:paraId="7123762B" w14:textId="77777777" w:rsidTr="00F008FE">
        <w:tc>
          <w:tcPr>
            <w:tcW w:w="3247" w:type="dxa"/>
          </w:tcPr>
          <w:p w14:paraId="12C096A9" w14:textId="77777777" w:rsidR="00371AFA" w:rsidRPr="00371AFA" w:rsidRDefault="00371AFA" w:rsidP="00371AFA">
            <w:pPr>
              <w:spacing w:before="80" w:after="80" w:line="280" w:lineRule="exact"/>
              <w:rPr>
                <w:rFonts w:ascii="Arial" w:eastAsia="Calibri" w:hAnsi="Arial" w:cs="Times New Roman"/>
                <w:color w:val="0D0D0D"/>
                <w:sz w:val="20"/>
                <w:szCs w:val="20"/>
              </w:rPr>
            </w:pPr>
            <w:r w:rsidRPr="00371AFA">
              <w:rPr>
                <w:rFonts w:ascii="Arial" w:eastAsia="Calibri" w:hAnsi="Arial" w:cs="Times New Roman"/>
                <w:sz w:val="20"/>
              </w:rPr>
              <w:t>2023. július</w:t>
            </w:r>
          </w:p>
        </w:tc>
        <w:tc>
          <w:tcPr>
            <w:tcW w:w="6534" w:type="dxa"/>
          </w:tcPr>
          <w:p w14:paraId="0160943C" w14:textId="77777777" w:rsidR="00371AFA" w:rsidRPr="00371AFA" w:rsidRDefault="00371AFA" w:rsidP="00371AFA">
            <w:pPr>
              <w:spacing w:before="80" w:after="80" w:line="280" w:lineRule="exact"/>
              <w:rPr>
                <w:rFonts w:ascii="Arial" w:eastAsia="Calibri" w:hAnsi="Arial" w:cs="Times New Roman"/>
                <w:i/>
                <w:color w:val="0D0D0D"/>
                <w:sz w:val="20"/>
                <w:szCs w:val="20"/>
              </w:rPr>
            </w:pPr>
            <w:r w:rsidRPr="00371AFA">
              <w:rPr>
                <w:rFonts w:ascii="Arial" w:eastAsia="Calibri" w:hAnsi="Arial" w:cs="Times New Roman"/>
                <w:sz w:val="20"/>
              </w:rPr>
              <w:t>CEPT által készített végleges jelentéstervezet a Bizottság részére</w:t>
            </w:r>
          </w:p>
        </w:tc>
      </w:tr>
      <w:tr w:rsidR="00371AFA" w:rsidRPr="00371AFA" w14:paraId="597DA48F" w14:textId="77777777" w:rsidTr="00F008FE">
        <w:tc>
          <w:tcPr>
            <w:tcW w:w="3247" w:type="dxa"/>
          </w:tcPr>
          <w:p w14:paraId="78794E8C" w14:textId="77777777" w:rsidR="00371AFA" w:rsidRPr="00371AFA" w:rsidRDefault="00371AFA" w:rsidP="00371AFA">
            <w:pPr>
              <w:spacing w:before="80" w:after="80" w:line="280" w:lineRule="exact"/>
              <w:rPr>
                <w:rFonts w:ascii="Arial" w:eastAsia="Calibri" w:hAnsi="Arial" w:cs="Times New Roman"/>
                <w:color w:val="0D0D0D"/>
                <w:sz w:val="20"/>
                <w:szCs w:val="20"/>
              </w:rPr>
            </w:pPr>
            <w:r w:rsidRPr="00371AFA">
              <w:rPr>
                <w:rFonts w:ascii="Arial" w:eastAsia="Calibri" w:hAnsi="Arial" w:cs="Times New Roman"/>
                <w:sz w:val="20"/>
              </w:rPr>
              <w:t>2024. március</w:t>
            </w:r>
          </w:p>
        </w:tc>
        <w:tc>
          <w:tcPr>
            <w:tcW w:w="6534" w:type="dxa"/>
          </w:tcPr>
          <w:p w14:paraId="60C7510F" w14:textId="77777777" w:rsidR="00371AFA" w:rsidRPr="00371AFA" w:rsidRDefault="00371AFA" w:rsidP="00371AFA">
            <w:pPr>
              <w:spacing w:before="80" w:after="80" w:line="280" w:lineRule="exact"/>
              <w:rPr>
                <w:rFonts w:ascii="Arial" w:eastAsia="Calibri" w:hAnsi="Arial" w:cs="Times New Roman"/>
                <w:color w:val="0D0D0D"/>
                <w:sz w:val="20"/>
                <w:szCs w:val="20"/>
              </w:rPr>
            </w:pPr>
            <w:r w:rsidRPr="00371AFA">
              <w:rPr>
                <w:rFonts w:ascii="Arial" w:eastAsia="Calibri" w:hAnsi="Arial" w:cs="Times New Roman"/>
                <w:sz w:val="20"/>
              </w:rPr>
              <w:t>CEPT által készített végleges jelentés a Bizottság részére, figyelembe véve a nyilvános konzultáció eredményeit is</w:t>
            </w:r>
          </w:p>
        </w:tc>
      </w:tr>
    </w:tbl>
    <w:p w14:paraId="441EE24F" w14:textId="77777777" w:rsidR="00371AFA" w:rsidRPr="00371AFA" w:rsidRDefault="00371AFA" w:rsidP="00371AFA">
      <w:pPr>
        <w:spacing w:after="160" w:line="280" w:lineRule="exact"/>
        <w:ind w:left="360"/>
        <w:jc w:val="both"/>
        <w:rPr>
          <w:rFonts w:ascii="Arial" w:eastAsia="Calibri" w:hAnsi="Arial" w:cs="Times New Roman"/>
          <w:sz w:val="20"/>
        </w:rPr>
      </w:pPr>
    </w:p>
    <w:p w14:paraId="04EA9831" w14:textId="28A68BF2" w:rsidR="00371AFA" w:rsidRPr="00371AFA" w:rsidRDefault="00371AFA" w:rsidP="00623F06">
      <w:pPr>
        <w:pStyle w:val="Behzottbekezdsnmhh"/>
        <w:rPr>
          <w:rFonts w:ascii="Arial" w:hAnsi="Arial" w:cs="Arial"/>
          <w:sz w:val="22"/>
          <w:szCs w:val="22"/>
        </w:rPr>
      </w:pPr>
      <w:r w:rsidRPr="00371AFA">
        <w:rPr>
          <w:rFonts w:ascii="Arial" w:hAnsi="Arial" w:cs="Arial"/>
          <w:sz w:val="22"/>
          <w:szCs w:val="22"/>
        </w:rPr>
        <w:t>A nemzeti frekvenciafelosztásról, valamint a</w:t>
      </w:r>
      <w:r w:rsidR="00ED12D0">
        <w:rPr>
          <w:rFonts w:ascii="Arial" w:hAnsi="Arial" w:cs="Arial"/>
          <w:sz w:val="22"/>
          <w:szCs w:val="22"/>
        </w:rPr>
        <w:t>z</w:t>
      </w:r>
      <w:r w:rsidRPr="00371AFA">
        <w:rPr>
          <w:rFonts w:ascii="Arial" w:hAnsi="Arial" w:cs="Arial"/>
          <w:sz w:val="22"/>
          <w:szCs w:val="22"/>
        </w:rPr>
        <w:t xml:space="preserve"> NFFF alapján a 3,8-4,2 </w:t>
      </w:r>
      <w:proofErr w:type="spellStart"/>
      <w:r w:rsidRPr="00371AFA">
        <w:rPr>
          <w:rFonts w:ascii="Arial" w:hAnsi="Arial" w:cs="Arial"/>
          <w:sz w:val="22"/>
          <w:szCs w:val="22"/>
        </w:rPr>
        <w:t>GHz</w:t>
      </w:r>
      <w:proofErr w:type="spellEnd"/>
      <w:r w:rsidRPr="00371AFA">
        <w:rPr>
          <w:rFonts w:ascii="Arial" w:hAnsi="Arial" w:cs="Arial"/>
          <w:sz w:val="22"/>
          <w:szCs w:val="22"/>
        </w:rPr>
        <w:t xml:space="preserve"> frekvenciasáv állandóhelyű pont-pont alkalmazások és műholdas állandóhelyű szolgálat űr-Föld irányú </w:t>
      </w:r>
      <w:r w:rsidRPr="00371AFA">
        <w:rPr>
          <w:rFonts w:ascii="Arial" w:hAnsi="Arial" w:cs="Arial"/>
          <w:sz w:val="22"/>
          <w:szCs w:val="22"/>
        </w:rPr>
        <w:lastRenderedPageBreak/>
        <w:t>alkalmazások számára kijelölt. Műholdas rendszerek esetén a frekvenciasávban tehát csak vétel történhet (adás nem), ezért csak földi vevőállomások létesítése lehetséges.</w:t>
      </w:r>
    </w:p>
    <w:p w14:paraId="36DD35B8" w14:textId="77777777" w:rsidR="00371AFA" w:rsidRPr="00371AFA" w:rsidRDefault="00371AFA" w:rsidP="00623F06">
      <w:pPr>
        <w:pStyle w:val="Behzottbekezdsnmhh"/>
        <w:spacing w:after="0"/>
        <w:rPr>
          <w:rFonts w:ascii="Arial" w:hAnsi="Arial" w:cs="Arial"/>
          <w:sz w:val="22"/>
          <w:szCs w:val="22"/>
        </w:rPr>
      </w:pPr>
      <w:r w:rsidRPr="00371AFA">
        <w:rPr>
          <w:rFonts w:ascii="Arial" w:hAnsi="Arial" w:cs="Arial"/>
          <w:sz w:val="22"/>
          <w:szCs w:val="22"/>
        </w:rPr>
        <w:t>A frekvenciasávban hazánkban nincs jelentős használat:</w:t>
      </w:r>
    </w:p>
    <w:p w14:paraId="5F629ADD" w14:textId="5710A351" w:rsidR="00371AFA" w:rsidRPr="00371AFA" w:rsidRDefault="000721C9" w:rsidP="00371AFA">
      <w:pPr>
        <w:numPr>
          <w:ilvl w:val="0"/>
          <w:numId w:val="26"/>
        </w:numPr>
        <w:spacing w:after="160" w:line="280" w:lineRule="exact"/>
        <w:contextualSpacing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védelmet igénylő </w:t>
      </w:r>
      <w:r w:rsidR="00371AFA" w:rsidRPr="00371AFA">
        <w:rPr>
          <w:rFonts w:ascii="Arial" w:eastAsia="Calibri" w:hAnsi="Arial" w:cs="Times New Roman"/>
        </w:rPr>
        <w:t>műholdas földi vevőállomás jelenleg két telephelyen működik,</w:t>
      </w:r>
    </w:p>
    <w:p w14:paraId="64DC08B1" w14:textId="393F72A1" w:rsidR="00371AFA" w:rsidRPr="00371AFA" w:rsidRDefault="00371AFA" w:rsidP="00371AFA">
      <w:pPr>
        <w:numPr>
          <w:ilvl w:val="0"/>
          <w:numId w:val="26"/>
        </w:numPr>
        <w:spacing w:after="160" w:line="280" w:lineRule="exact"/>
        <w:contextualSpacing/>
        <w:jc w:val="both"/>
        <w:rPr>
          <w:rFonts w:ascii="Arial" w:eastAsia="Calibri" w:hAnsi="Arial" w:cs="Times New Roman"/>
        </w:rPr>
      </w:pPr>
      <w:r w:rsidRPr="00371AFA">
        <w:rPr>
          <w:rFonts w:ascii="Arial" w:eastAsia="Calibri" w:hAnsi="Arial" w:cs="Times New Roman"/>
        </w:rPr>
        <w:t>állandóhelyű szolgálati összeköttetések igen kis számban (jelenleg 6 db kétirányú összeköttetés) működnek csak a frekvenciasávban, és a használat növekedése nem várható a jövőben</w:t>
      </w:r>
      <w:r w:rsidR="00623F06">
        <w:rPr>
          <w:rFonts w:ascii="Arial" w:eastAsia="Calibri" w:hAnsi="Arial" w:cs="Times New Roman"/>
        </w:rPr>
        <w:t>.</w:t>
      </w:r>
    </w:p>
    <w:p w14:paraId="68466A88" w14:textId="5C5419B1" w:rsidR="00371AFA" w:rsidRPr="00371AFA" w:rsidRDefault="00371AFA" w:rsidP="00623F06">
      <w:pPr>
        <w:pStyle w:val="Behzottbekezdsnmhh"/>
        <w:rPr>
          <w:rFonts w:ascii="Arial" w:hAnsi="Arial" w:cs="Arial"/>
          <w:sz w:val="22"/>
          <w:szCs w:val="22"/>
        </w:rPr>
      </w:pPr>
      <w:r w:rsidRPr="00371AFA">
        <w:rPr>
          <w:rFonts w:ascii="Arial" w:hAnsi="Arial" w:cs="Arial"/>
          <w:sz w:val="22"/>
          <w:szCs w:val="22"/>
        </w:rPr>
        <w:t>A folyamatban levő uniós harmonizációra, valamint jelenlegi és várható jövőbeli hazai haszná</w:t>
      </w:r>
      <w:r w:rsidR="0010580F">
        <w:rPr>
          <w:rFonts w:ascii="Arial" w:hAnsi="Arial" w:cs="Arial"/>
          <w:sz w:val="22"/>
          <w:szCs w:val="22"/>
        </w:rPr>
        <w:t>latot figyelembe véve a 3,8-4,2 </w:t>
      </w:r>
      <w:proofErr w:type="spellStart"/>
      <w:r w:rsidRPr="00371AFA">
        <w:rPr>
          <w:rFonts w:ascii="Arial" w:hAnsi="Arial" w:cs="Arial"/>
          <w:sz w:val="22"/>
          <w:szCs w:val="22"/>
        </w:rPr>
        <w:t>GHz</w:t>
      </w:r>
      <w:proofErr w:type="spellEnd"/>
      <w:r w:rsidRPr="00371AFA">
        <w:rPr>
          <w:rFonts w:ascii="Arial" w:hAnsi="Arial" w:cs="Arial"/>
          <w:sz w:val="22"/>
          <w:szCs w:val="22"/>
        </w:rPr>
        <w:t xml:space="preserve"> frekvenciasáv használata jó megoldás lehet a vezetéknélküli szélessávú alkalmazások helyi célú megvalósítására, különös tekintettel a vertikum igényeinek kielégítésére. </w:t>
      </w:r>
    </w:p>
    <w:p w14:paraId="4FD8CA00" w14:textId="75DFE4A7" w:rsidR="00A52F1D" w:rsidRPr="008731EE" w:rsidRDefault="00A52F1D" w:rsidP="00A52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8731EE">
        <w:rPr>
          <w:rFonts w:ascii="Arial" w:hAnsi="Arial" w:cs="Arial"/>
          <w:b/>
          <w:i/>
        </w:rPr>
        <w:t>A következő állításokkal kapcsolatban kérjük, fejtse ki véleményét</w:t>
      </w:r>
      <w:r w:rsidR="00CB47FC">
        <w:rPr>
          <w:rFonts w:ascii="Arial" w:hAnsi="Arial" w:cs="Arial"/>
          <w:b/>
          <w:i/>
        </w:rPr>
        <w:t>!</w:t>
      </w:r>
    </w:p>
    <w:p w14:paraId="4DFE7AE7" w14:textId="0A667AF4" w:rsidR="00A52F1D" w:rsidRDefault="00817223" w:rsidP="0063640E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817223">
        <w:rPr>
          <w:rFonts w:ascii="Arial" w:hAnsi="Arial" w:cs="Arial"/>
          <w:i/>
        </w:rPr>
        <w:t>Az NMHH a nemzetközi tárgyalások során magánhálózati megoldásokat lehetővé tevő megoldásokat támogató lépéseket tesz és amint a nemzetközi szabályozás alapján lehetségessé válik, a 3,8-4,2</w:t>
      </w:r>
      <w:r w:rsidR="00A556AB">
        <w:rPr>
          <w:rFonts w:ascii="Arial" w:hAnsi="Arial" w:cs="Arial"/>
          <w:i/>
        </w:rPr>
        <w:t> </w:t>
      </w:r>
      <w:proofErr w:type="spellStart"/>
      <w:r w:rsidRPr="00817223">
        <w:rPr>
          <w:rFonts w:ascii="Arial" w:hAnsi="Arial" w:cs="Arial"/>
          <w:i/>
        </w:rPr>
        <w:t>GHz</w:t>
      </w:r>
      <w:proofErr w:type="spellEnd"/>
      <w:r w:rsidRPr="00817223">
        <w:rPr>
          <w:rFonts w:ascii="Arial" w:hAnsi="Arial" w:cs="Arial"/>
          <w:i/>
        </w:rPr>
        <w:t>-es frekvenciasávot elérhetővé teszi MFCN bevezetését.</w:t>
      </w:r>
    </w:p>
    <w:p w14:paraId="36BDD06D" w14:textId="60F26D0F" w:rsidR="00767C83" w:rsidRDefault="00767C83">
      <w:pPr>
        <w:rPr>
          <w:rFonts w:ascii="Arial" w:hAnsi="Arial" w:cs="Arial"/>
        </w:rPr>
      </w:pPr>
    </w:p>
    <w:sectPr w:rsidR="00767C8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03943" w14:textId="77777777" w:rsidR="0063566E" w:rsidRDefault="0063566E" w:rsidP="00391940">
      <w:pPr>
        <w:spacing w:after="0" w:line="240" w:lineRule="auto"/>
      </w:pPr>
      <w:r>
        <w:separator/>
      </w:r>
    </w:p>
  </w:endnote>
  <w:endnote w:type="continuationSeparator" w:id="0">
    <w:p w14:paraId="23059B38" w14:textId="77777777" w:rsidR="0063566E" w:rsidRDefault="0063566E" w:rsidP="0039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275389"/>
      <w:docPartObj>
        <w:docPartGallery w:val="Page Numbers (Bottom of Page)"/>
        <w:docPartUnique/>
      </w:docPartObj>
    </w:sdtPr>
    <w:sdtEndPr/>
    <w:sdtContent>
      <w:p w14:paraId="712D8D81" w14:textId="61F0CF74" w:rsidR="00DF1C30" w:rsidRDefault="00453105">
        <w:pPr>
          <w:pStyle w:val="llb"/>
          <w:jc w:val="center"/>
        </w:pPr>
        <w:r w:rsidRPr="00453105">
          <w:rPr>
            <w:rFonts w:ascii="Arial" w:eastAsia="Arial" w:hAnsi="Arial" w:cs="Arial"/>
            <w:noProof/>
            <w:lang w:eastAsia="hu-HU"/>
          </w:rPr>
          <w:drawing>
            <wp:anchor distT="0" distB="0" distL="114300" distR="114300" simplePos="0" relativeHeight="251659264" behindDoc="1" locked="0" layoutInCell="1" allowOverlap="1" wp14:anchorId="1DD6AFE1" wp14:editId="57C7FC1B">
              <wp:simplePos x="0" y="0"/>
              <wp:positionH relativeFrom="page">
                <wp:posOffset>4527</wp:posOffset>
              </wp:positionH>
              <wp:positionV relativeFrom="page">
                <wp:posOffset>10139636</wp:posOffset>
              </wp:positionV>
              <wp:extent cx="7545070" cy="534035"/>
              <wp:effectExtent l="0" t="0" r="0" b="0"/>
              <wp:wrapNone/>
              <wp:docPr id="11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mhh_levelpapir_foot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5070" cy="534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F1C30">
          <w:fldChar w:fldCharType="begin"/>
        </w:r>
        <w:r w:rsidR="00DF1C30">
          <w:instrText>PAGE   \* MERGEFORMAT</w:instrText>
        </w:r>
        <w:r w:rsidR="00DF1C30">
          <w:fldChar w:fldCharType="separate"/>
        </w:r>
        <w:r w:rsidR="00AA1FD0">
          <w:rPr>
            <w:noProof/>
          </w:rPr>
          <w:t>15</w:t>
        </w:r>
        <w:r w:rsidR="00DF1C30">
          <w:fldChar w:fldCharType="end"/>
        </w:r>
      </w:p>
    </w:sdtContent>
  </w:sdt>
  <w:p w14:paraId="453D6ACC" w14:textId="12A9A566" w:rsidR="00DF1C30" w:rsidRDefault="00DF1C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895DA" w14:textId="77777777" w:rsidR="0063566E" w:rsidRDefault="0063566E" w:rsidP="00391940">
      <w:pPr>
        <w:spacing w:after="0" w:line="240" w:lineRule="auto"/>
      </w:pPr>
      <w:r>
        <w:separator/>
      </w:r>
    </w:p>
  </w:footnote>
  <w:footnote w:type="continuationSeparator" w:id="0">
    <w:p w14:paraId="13A0781E" w14:textId="77777777" w:rsidR="0063566E" w:rsidRDefault="0063566E" w:rsidP="00391940">
      <w:pPr>
        <w:spacing w:after="0" w:line="240" w:lineRule="auto"/>
      </w:pPr>
      <w:r>
        <w:continuationSeparator/>
      </w:r>
    </w:p>
  </w:footnote>
  <w:footnote w:id="1">
    <w:p w14:paraId="79656D5F" w14:textId="51D37289" w:rsidR="00664028" w:rsidRDefault="006640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64028">
        <w:t xml:space="preserve">Public </w:t>
      </w:r>
      <w:proofErr w:type="spellStart"/>
      <w:r w:rsidRPr="00664028">
        <w:t>Protection</w:t>
      </w:r>
      <w:proofErr w:type="spellEnd"/>
      <w:r w:rsidRPr="00664028">
        <w:t xml:space="preserve"> and </w:t>
      </w:r>
      <w:proofErr w:type="spellStart"/>
      <w:r w:rsidRPr="00664028">
        <w:t>Disaster</w:t>
      </w:r>
      <w:proofErr w:type="spellEnd"/>
      <w:r w:rsidRPr="00664028">
        <w:t xml:space="preserve"> Relief - közrendvédelem és katasztrófavédelem</w:t>
      </w:r>
    </w:p>
  </w:footnote>
  <w:footnote w:id="2">
    <w:p w14:paraId="6FD992BB" w14:textId="77777777" w:rsidR="00664028" w:rsidRPr="0084499F" w:rsidRDefault="00664028" w:rsidP="00664028">
      <w:pPr>
        <w:pStyle w:val="Lbjegyzetszveg"/>
        <w:tabs>
          <w:tab w:val="left" w:pos="0"/>
        </w:tabs>
        <w:rPr>
          <w:rStyle w:val="Lbjegyzet-hivatkozs"/>
          <w:rFonts w:ascii="Arial" w:hAnsi="Arial" w:cs="Arial"/>
          <w:szCs w:val="18"/>
        </w:rPr>
      </w:pPr>
      <w:r w:rsidRPr="00B941DA">
        <w:rPr>
          <w:rStyle w:val="Lbjegyzet-hivatkozs"/>
          <w:rFonts w:ascii="Arial" w:hAnsi="Arial" w:cs="Arial"/>
          <w:szCs w:val="18"/>
        </w:rPr>
        <w:footnoteRef/>
      </w:r>
      <w:r w:rsidRPr="00B941DA">
        <w:rPr>
          <w:rStyle w:val="Lbjegyzet-hivatkozs"/>
          <w:rFonts w:ascii="Arial" w:hAnsi="Arial" w:cs="Arial"/>
          <w:szCs w:val="18"/>
        </w:rPr>
        <w:t xml:space="preserve"> </w:t>
      </w:r>
      <w:r w:rsidRPr="00527F1C">
        <w:rPr>
          <w:rStyle w:val="Lbjegyzet-hivatkozs"/>
          <w:vertAlign w:val="baseline"/>
        </w:rPr>
        <w:t>MFCN:</w:t>
      </w:r>
      <w:r w:rsidRPr="00527F1C">
        <w:rPr>
          <w:rFonts w:ascii="Arial" w:hAnsi="Arial" w:cs="Arial"/>
          <w:szCs w:val="18"/>
        </w:rPr>
        <w:t xml:space="preserve"> </w:t>
      </w:r>
      <w:r w:rsidRPr="00527F1C">
        <w:rPr>
          <w:rStyle w:val="Lbjegyzet-hivatkozs"/>
          <w:rFonts w:ascii="Arial" w:hAnsi="Arial" w:cs="Arial"/>
          <w:szCs w:val="18"/>
          <w:vertAlign w:val="baseline"/>
        </w:rPr>
        <w:t xml:space="preserve">Mobile/Fixed </w:t>
      </w:r>
      <w:proofErr w:type="spellStart"/>
      <w:r w:rsidRPr="00527F1C">
        <w:rPr>
          <w:rStyle w:val="Lbjegyzet-hivatkozs"/>
          <w:rFonts w:ascii="Arial" w:hAnsi="Arial" w:cs="Arial"/>
          <w:szCs w:val="18"/>
          <w:vertAlign w:val="baseline"/>
        </w:rPr>
        <w:t>Communications</w:t>
      </w:r>
      <w:proofErr w:type="spellEnd"/>
      <w:r w:rsidRPr="00527F1C">
        <w:rPr>
          <w:rStyle w:val="Lbjegyzet-hivatkozs"/>
          <w:rFonts w:ascii="Arial" w:hAnsi="Arial" w:cs="Arial"/>
          <w:szCs w:val="18"/>
          <w:vertAlign w:val="baseline"/>
        </w:rPr>
        <w:t xml:space="preserve"> </w:t>
      </w:r>
      <w:proofErr w:type="spellStart"/>
      <w:r w:rsidRPr="00527F1C">
        <w:rPr>
          <w:rStyle w:val="Lbjegyzet-hivatkozs"/>
          <w:rFonts w:ascii="Arial" w:hAnsi="Arial" w:cs="Arial"/>
          <w:szCs w:val="18"/>
          <w:vertAlign w:val="baseline"/>
        </w:rPr>
        <w:t>Networks</w:t>
      </w:r>
      <w:proofErr w:type="spellEnd"/>
      <w:r w:rsidRPr="00527F1C">
        <w:rPr>
          <w:rStyle w:val="Lbjegyzet-hivatkozs"/>
          <w:vertAlign w:val="baseline"/>
        </w:rPr>
        <w:t xml:space="preserve"> </w:t>
      </w:r>
      <w:r w:rsidRPr="00527F1C">
        <w:t xml:space="preserve">- </w:t>
      </w:r>
      <w:r w:rsidRPr="00527F1C">
        <w:rPr>
          <w:rStyle w:val="Lbjegyzet-hivatkozs"/>
          <w:vertAlign w:val="baseline"/>
        </w:rPr>
        <w:t>Mozgó/állandóhelyű hírközlési hálózatok</w:t>
      </w:r>
      <w:r w:rsidRPr="00527F1C">
        <w:t xml:space="preserve"> </w:t>
      </w:r>
      <w:r w:rsidRPr="00527F1C">
        <w:rPr>
          <w:rStyle w:val="Lbjegyzet-hivatkozs"/>
          <w:vertAlign w:val="baseline"/>
        </w:rPr>
        <w:t>(Az</w:t>
      </w:r>
      <w:r w:rsidRPr="00527F1C">
        <w:rPr>
          <w:rFonts w:ascii="Arial" w:hAnsi="Arial" w:cs="Arial"/>
          <w:szCs w:val="18"/>
        </w:rPr>
        <w:t xml:space="preserve"> állandóhelyű és a mozgó vezetéknélküli kommunikációs szolgálatok konvergenciája kapcsán a CEPT szabályozásában bevezetésre került az MFCN (Mobile/Fixed </w:t>
      </w:r>
      <w:proofErr w:type="spellStart"/>
      <w:r w:rsidRPr="00527F1C">
        <w:rPr>
          <w:rFonts w:ascii="Arial" w:hAnsi="Arial" w:cs="Arial"/>
          <w:szCs w:val="18"/>
        </w:rPr>
        <w:t>Communication</w:t>
      </w:r>
      <w:proofErr w:type="spellEnd"/>
      <w:r w:rsidRPr="00527F1C">
        <w:rPr>
          <w:rFonts w:ascii="Arial" w:hAnsi="Arial" w:cs="Arial"/>
          <w:szCs w:val="18"/>
        </w:rPr>
        <w:t xml:space="preserve"> </w:t>
      </w:r>
      <w:proofErr w:type="spellStart"/>
      <w:r w:rsidRPr="00527F1C">
        <w:rPr>
          <w:rFonts w:ascii="Arial" w:hAnsi="Arial" w:cs="Arial"/>
          <w:szCs w:val="18"/>
        </w:rPr>
        <w:t>Networks</w:t>
      </w:r>
      <w:proofErr w:type="spellEnd"/>
      <w:r w:rsidRPr="00527F1C">
        <w:rPr>
          <w:rFonts w:ascii="Arial" w:hAnsi="Arial" w:cs="Arial"/>
          <w:szCs w:val="18"/>
        </w:rPr>
        <w:t xml:space="preserve">) gyűjtőfogalom. Ide tartoznak az ITU szóhasználat szerinti IMT (International Mobile </w:t>
      </w:r>
      <w:proofErr w:type="spellStart"/>
      <w:r w:rsidRPr="00527F1C">
        <w:rPr>
          <w:rFonts w:ascii="Arial" w:hAnsi="Arial" w:cs="Arial"/>
          <w:szCs w:val="18"/>
        </w:rPr>
        <w:t>Telecommunication</w:t>
      </w:r>
      <w:proofErr w:type="spellEnd"/>
      <w:r w:rsidRPr="00527F1C">
        <w:rPr>
          <w:rFonts w:ascii="Arial" w:hAnsi="Arial" w:cs="Arial"/>
          <w:szCs w:val="18"/>
        </w:rPr>
        <w:t xml:space="preserve">) rendszerek is.) </w:t>
      </w:r>
    </w:p>
  </w:footnote>
  <w:footnote w:id="3">
    <w:p w14:paraId="78A58C37" w14:textId="68D32E0F" w:rsidR="00FA098A" w:rsidRPr="00664028" w:rsidRDefault="00FA098A" w:rsidP="00924035">
      <w:pPr>
        <w:spacing w:after="0"/>
        <w:ind w:left="142" w:hanging="142"/>
        <w:rPr>
          <w:sz w:val="16"/>
          <w:szCs w:val="16"/>
        </w:rPr>
      </w:pPr>
      <w:r w:rsidRPr="00924035">
        <w:rPr>
          <w:rStyle w:val="Lbjegyzet-hivatkozs"/>
          <w:sz w:val="20"/>
          <w:szCs w:val="20"/>
        </w:rPr>
        <w:footnoteRef/>
      </w:r>
      <w:r w:rsidR="00924035">
        <w:t xml:space="preserve"> </w:t>
      </w:r>
      <w:r w:rsidRPr="00664028">
        <w:rPr>
          <w:sz w:val="16"/>
          <w:szCs w:val="16"/>
        </w:rPr>
        <w:t xml:space="preserve">A Bizottság közleménye az Európai Parlamentnek, a Tanácsnak, az Európai Gazdasági és Szociális Bizottságnak és a Régiók Bizottságának: Digitális iránytű 2030-ig: a digitális évtized megvalósításának európai módja, </w:t>
      </w:r>
      <w:proofErr w:type="gramStart"/>
      <w:r w:rsidRPr="00664028">
        <w:rPr>
          <w:sz w:val="16"/>
          <w:szCs w:val="16"/>
        </w:rPr>
        <w:t>COM(</w:t>
      </w:r>
      <w:proofErr w:type="gramEnd"/>
      <w:r w:rsidRPr="00664028">
        <w:rPr>
          <w:sz w:val="16"/>
          <w:szCs w:val="16"/>
        </w:rPr>
        <w:t xml:space="preserve">2021) 118 </w:t>
      </w:r>
      <w:proofErr w:type="spellStart"/>
      <w:r w:rsidRPr="00664028">
        <w:rPr>
          <w:sz w:val="16"/>
          <w:szCs w:val="16"/>
        </w:rPr>
        <w:t>final</w:t>
      </w:r>
      <w:proofErr w:type="spellEnd"/>
      <w:r w:rsidRPr="00664028">
        <w:rPr>
          <w:sz w:val="16"/>
          <w:szCs w:val="16"/>
        </w:rPr>
        <w:t xml:space="preserve">/2, 2021.3.9. </w:t>
      </w:r>
    </w:p>
  </w:footnote>
  <w:footnote w:id="4">
    <w:p w14:paraId="5456282E" w14:textId="4157088C" w:rsidR="00610CB1" w:rsidRPr="00924035" w:rsidRDefault="00610CB1" w:rsidP="00610CB1">
      <w:pPr>
        <w:spacing w:after="0"/>
        <w:ind w:left="425" w:hanging="425"/>
        <w:rPr>
          <w:sz w:val="16"/>
          <w:szCs w:val="16"/>
        </w:rPr>
      </w:pPr>
      <w:r w:rsidRPr="00924035">
        <w:rPr>
          <w:rStyle w:val="Lbjegyzet-hivatkozs"/>
          <w:sz w:val="20"/>
          <w:szCs w:val="20"/>
        </w:rPr>
        <w:footnoteRef/>
      </w:r>
      <w:r w:rsidR="00924035">
        <w:rPr>
          <w:sz w:val="16"/>
          <w:szCs w:val="16"/>
        </w:rPr>
        <w:t xml:space="preserve"> </w:t>
      </w:r>
      <w:r w:rsidRPr="00924035">
        <w:rPr>
          <w:sz w:val="16"/>
          <w:szCs w:val="16"/>
        </w:rPr>
        <w:t xml:space="preserve">Hosszú távú jövőkép az EU vidéki területei számára. </w:t>
      </w:r>
      <w:proofErr w:type="gramStart"/>
      <w:r w:rsidRPr="00924035">
        <w:rPr>
          <w:sz w:val="16"/>
          <w:szCs w:val="16"/>
        </w:rPr>
        <w:t>COM(</w:t>
      </w:r>
      <w:proofErr w:type="gramEnd"/>
      <w:r w:rsidRPr="00924035">
        <w:rPr>
          <w:sz w:val="16"/>
          <w:szCs w:val="16"/>
        </w:rPr>
        <w:t xml:space="preserve">2021) 345 </w:t>
      </w:r>
      <w:proofErr w:type="spellStart"/>
      <w:r w:rsidRPr="00924035">
        <w:rPr>
          <w:sz w:val="16"/>
          <w:szCs w:val="16"/>
        </w:rPr>
        <w:t>final</w:t>
      </w:r>
      <w:proofErr w:type="spellEnd"/>
      <w:r w:rsidRPr="00924035">
        <w:rPr>
          <w:sz w:val="16"/>
          <w:szCs w:val="16"/>
        </w:rPr>
        <w:t>.</w:t>
      </w:r>
    </w:p>
  </w:footnote>
  <w:footnote w:id="5">
    <w:p w14:paraId="24CFB04C" w14:textId="77777777" w:rsidR="006F527F" w:rsidRPr="00623312" w:rsidRDefault="006F527F" w:rsidP="006F527F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623312">
        <w:rPr>
          <w:sz w:val="16"/>
          <w:szCs w:val="16"/>
        </w:rPr>
        <w:t>az</w:t>
      </w:r>
      <w:proofErr w:type="gramEnd"/>
      <w:r w:rsidRPr="00623312">
        <w:rPr>
          <w:sz w:val="16"/>
          <w:szCs w:val="16"/>
        </w:rPr>
        <w:t xml:space="preserve"> Európai Parlament és a Tanács (EU) 2018/1972 irányelve (2018. december 11.) az Európai Elektronikus Hírközlési Kódex létrehozásáról (HL L 321., 2018.12.17., 36. o.)</w:t>
      </w:r>
    </w:p>
  </w:footnote>
  <w:footnote w:id="6">
    <w:p w14:paraId="4CAC438F" w14:textId="77777777" w:rsidR="000F7F29" w:rsidRPr="0058365A" w:rsidRDefault="000F7F29" w:rsidP="000F7F29">
      <w:pPr>
        <w:pStyle w:val="Lbjegyzetszveg"/>
        <w:rPr>
          <w:sz w:val="16"/>
          <w:szCs w:val="16"/>
        </w:rPr>
      </w:pPr>
      <w:r w:rsidRPr="0058365A">
        <w:rPr>
          <w:rStyle w:val="Lbjegyzet-hivatkozs"/>
          <w:sz w:val="16"/>
          <w:szCs w:val="16"/>
        </w:rPr>
        <w:footnoteRef/>
      </w:r>
      <w:r w:rsidRPr="0058365A">
        <w:rPr>
          <w:sz w:val="16"/>
          <w:szCs w:val="16"/>
        </w:rPr>
        <w:t xml:space="preserve"> </w:t>
      </w:r>
      <w:proofErr w:type="gramStart"/>
      <w:r w:rsidRPr="0058365A">
        <w:rPr>
          <w:sz w:val="16"/>
          <w:szCs w:val="16"/>
        </w:rPr>
        <w:t>közrendvédelem</w:t>
      </w:r>
      <w:proofErr w:type="gramEnd"/>
      <w:r w:rsidRPr="0058365A">
        <w:rPr>
          <w:sz w:val="16"/>
          <w:szCs w:val="16"/>
        </w:rPr>
        <w:t xml:space="preserve"> és katasztrófavédelem – Public </w:t>
      </w:r>
      <w:proofErr w:type="spellStart"/>
      <w:r w:rsidRPr="0058365A">
        <w:rPr>
          <w:sz w:val="16"/>
          <w:szCs w:val="16"/>
        </w:rPr>
        <w:t>Protection</w:t>
      </w:r>
      <w:proofErr w:type="spellEnd"/>
      <w:r w:rsidRPr="0058365A">
        <w:rPr>
          <w:sz w:val="16"/>
          <w:szCs w:val="16"/>
        </w:rPr>
        <w:t xml:space="preserve"> and </w:t>
      </w:r>
      <w:proofErr w:type="spellStart"/>
      <w:r w:rsidRPr="0058365A">
        <w:rPr>
          <w:sz w:val="16"/>
          <w:szCs w:val="16"/>
        </w:rPr>
        <w:t>Disaster</w:t>
      </w:r>
      <w:proofErr w:type="spellEnd"/>
      <w:r w:rsidRPr="0058365A">
        <w:rPr>
          <w:sz w:val="16"/>
          <w:szCs w:val="16"/>
        </w:rPr>
        <w:t xml:space="preserve"> Relief, PPDR</w:t>
      </w:r>
    </w:p>
  </w:footnote>
  <w:footnote w:id="7">
    <w:p w14:paraId="55DF0CCC" w14:textId="1B19FDE5" w:rsidR="001E6F89" w:rsidRPr="001E6F89" w:rsidRDefault="001E6F89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31169A" w:rsidRPr="001E6F89">
        <w:rPr>
          <w:sz w:val="16"/>
          <w:szCs w:val="16"/>
        </w:rPr>
        <w:t>Harmonizált műszaki feltételek és frekvenciasávok a szélessávú közrendvédelmi és katasztrófavédelmi (BB-PPDR) rendszerek megvalósítása részére (2019. március 8.)</w:t>
      </w:r>
      <w:r w:rsidR="0031169A">
        <w:rPr>
          <w:sz w:val="16"/>
          <w:szCs w:val="16"/>
        </w:rPr>
        <w:t xml:space="preserve"> - </w:t>
      </w:r>
      <w:proofErr w:type="spellStart"/>
      <w:r w:rsidRPr="001E6F89">
        <w:rPr>
          <w:sz w:val="16"/>
          <w:szCs w:val="16"/>
        </w:rPr>
        <w:t>Harmonised</w:t>
      </w:r>
      <w:proofErr w:type="spellEnd"/>
      <w:r w:rsidRPr="001E6F89">
        <w:rPr>
          <w:sz w:val="16"/>
          <w:szCs w:val="16"/>
        </w:rPr>
        <w:t xml:space="preserve"> </w:t>
      </w:r>
      <w:proofErr w:type="spellStart"/>
      <w:r w:rsidRPr="001E6F89">
        <w:rPr>
          <w:sz w:val="16"/>
          <w:szCs w:val="16"/>
        </w:rPr>
        <w:t>technical</w:t>
      </w:r>
      <w:proofErr w:type="spellEnd"/>
      <w:r w:rsidRPr="001E6F89">
        <w:rPr>
          <w:sz w:val="16"/>
          <w:szCs w:val="16"/>
        </w:rPr>
        <w:t xml:space="preserve"> </w:t>
      </w:r>
      <w:proofErr w:type="spellStart"/>
      <w:r w:rsidRPr="001E6F89">
        <w:rPr>
          <w:sz w:val="16"/>
          <w:szCs w:val="16"/>
        </w:rPr>
        <w:t>conditions</w:t>
      </w:r>
      <w:proofErr w:type="spellEnd"/>
      <w:r w:rsidRPr="001E6F89">
        <w:rPr>
          <w:sz w:val="16"/>
          <w:szCs w:val="16"/>
        </w:rPr>
        <w:t xml:space="preserve"> and </w:t>
      </w:r>
      <w:proofErr w:type="spellStart"/>
      <w:r w:rsidRPr="001E6F89">
        <w:rPr>
          <w:sz w:val="16"/>
          <w:szCs w:val="16"/>
        </w:rPr>
        <w:t>frequency</w:t>
      </w:r>
      <w:proofErr w:type="spellEnd"/>
      <w:r w:rsidRPr="001E6F89">
        <w:rPr>
          <w:sz w:val="16"/>
          <w:szCs w:val="16"/>
        </w:rPr>
        <w:t xml:space="preserve"> </w:t>
      </w:r>
      <w:proofErr w:type="spellStart"/>
      <w:r w:rsidRPr="001E6F89">
        <w:rPr>
          <w:sz w:val="16"/>
          <w:szCs w:val="16"/>
        </w:rPr>
        <w:t>bands</w:t>
      </w:r>
      <w:proofErr w:type="spellEnd"/>
      <w:r w:rsidRPr="001E6F89">
        <w:rPr>
          <w:sz w:val="16"/>
          <w:szCs w:val="16"/>
        </w:rPr>
        <w:t xml:space="preserve"> </w:t>
      </w:r>
      <w:proofErr w:type="spellStart"/>
      <w:r w:rsidRPr="001E6F89">
        <w:rPr>
          <w:sz w:val="16"/>
          <w:szCs w:val="16"/>
        </w:rPr>
        <w:t>for</w:t>
      </w:r>
      <w:proofErr w:type="spellEnd"/>
      <w:r w:rsidRPr="001E6F89">
        <w:rPr>
          <w:sz w:val="16"/>
          <w:szCs w:val="16"/>
        </w:rPr>
        <w:t xml:space="preserve"> </w:t>
      </w:r>
      <w:proofErr w:type="spellStart"/>
      <w:r w:rsidRPr="001E6F89">
        <w:rPr>
          <w:sz w:val="16"/>
          <w:szCs w:val="16"/>
        </w:rPr>
        <w:t>the</w:t>
      </w:r>
      <w:proofErr w:type="spellEnd"/>
      <w:r w:rsidRPr="001E6F89">
        <w:rPr>
          <w:sz w:val="16"/>
          <w:szCs w:val="16"/>
        </w:rPr>
        <w:t xml:space="preserve"> </w:t>
      </w:r>
      <w:proofErr w:type="spellStart"/>
      <w:r w:rsidRPr="001E6F89">
        <w:rPr>
          <w:sz w:val="16"/>
          <w:szCs w:val="16"/>
        </w:rPr>
        <w:t>implementation</w:t>
      </w:r>
      <w:proofErr w:type="spellEnd"/>
      <w:r w:rsidRPr="001E6F89">
        <w:rPr>
          <w:sz w:val="16"/>
          <w:szCs w:val="16"/>
        </w:rPr>
        <w:t xml:space="preserve"> of </w:t>
      </w:r>
      <w:proofErr w:type="spellStart"/>
      <w:r w:rsidRPr="001E6F89">
        <w:rPr>
          <w:sz w:val="16"/>
          <w:szCs w:val="16"/>
        </w:rPr>
        <w:t>Broadband</w:t>
      </w:r>
      <w:proofErr w:type="spellEnd"/>
      <w:r w:rsidRPr="001E6F89">
        <w:rPr>
          <w:sz w:val="16"/>
          <w:szCs w:val="16"/>
        </w:rPr>
        <w:t xml:space="preserve"> Public </w:t>
      </w:r>
      <w:proofErr w:type="spellStart"/>
      <w:r w:rsidRPr="001E6F89">
        <w:rPr>
          <w:sz w:val="16"/>
          <w:szCs w:val="16"/>
        </w:rPr>
        <w:t>Protection</w:t>
      </w:r>
      <w:proofErr w:type="spellEnd"/>
      <w:r w:rsidRPr="001E6F89">
        <w:rPr>
          <w:sz w:val="16"/>
          <w:szCs w:val="16"/>
        </w:rPr>
        <w:t xml:space="preserve"> and </w:t>
      </w:r>
      <w:proofErr w:type="spellStart"/>
      <w:r w:rsidRPr="001E6F89">
        <w:rPr>
          <w:sz w:val="16"/>
          <w:szCs w:val="16"/>
        </w:rPr>
        <w:t>Disaster</w:t>
      </w:r>
      <w:proofErr w:type="spellEnd"/>
      <w:r w:rsidRPr="001E6F89">
        <w:rPr>
          <w:sz w:val="16"/>
          <w:szCs w:val="16"/>
        </w:rPr>
        <w:t xml:space="preserve"> Relief (BB-PPDR) </w:t>
      </w:r>
      <w:proofErr w:type="spellStart"/>
      <w:r w:rsidRPr="001E6F89">
        <w:rPr>
          <w:sz w:val="16"/>
          <w:szCs w:val="16"/>
        </w:rPr>
        <w:t>systems</w:t>
      </w:r>
      <w:proofErr w:type="spellEnd"/>
      <w:r w:rsidRPr="001E6F89">
        <w:rPr>
          <w:sz w:val="16"/>
          <w:szCs w:val="16"/>
        </w:rPr>
        <w:t xml:space="preserve"> (8 </w:t>
      </w:r>
      <w:proofErr w:type="spellStart"/>
      <w:r w:rsidRPr="001E6F89">
        <w:rPr>
          <w:sz w:val="16"/>
          <w:szCs w:val="16"/>
        </w:rPr>
        <w:t>March</w:t>
      </w:r>
      <w:proofErr w:type="spellEnd"/>
      <w:r w:rsidRPr="001E6F89">
        <w:rPr>
          <w:sz w:val="16"/>
          <w:szCs w:val="16"/>
        </w:rPr>
        <w:t xml:space="preserve"> 2019) – </w:t>
      </w:r>
      <w:hyperlink r:id="rId1" w:history="1">
        <w:r w:rsidRPr="00AE562B">
          <w:rPr>
            <w:rStyle w:val="Hiperhivatkozs"/>
            <w:sz w:val="16"/>
            <w:szCs w:val="16"/>
          </w:rPr>
          <w:t>https://docdb.cept.org/download/1486</w:t>
        </w:r>
      </w:hyperlink>
      <w:r>
        <w:rPr>
          <w:sz w:val="16"/>
          <w:szCs w:val="16"/>
        </w:rPr>
        <w:t xml:space="preserve"> </w:t>
      </w:r>
    </w:p>
  </w:footnote>
  <w:footnote w:id="8">
    <w:p w14:paraId="7BE47F7F" w14:textId="6086701A" w:rsidR="00733621" w:rsidRDefault="0073362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33621">
        <w:rPr>
          <w:sz w:val="16"/>
          <w:szCs w:val="16"/>
        </w:rPr>
        <w:t xml:space="preserve">Az előkészítő dokumentum írásakor: </w:t>
      </w:r>
      <w:proofErr w:type="gramStart"/>
      <w:r w:rsidRPr="00733621">
        <w:rPr>
          <w:sz w:val="16"/>
          <w:szCs w:val="16"/>
        </w:rPr>
        <w:t>AH</w:t>
      </w:r>
      <w:proofErr w:type="gramEnd"/>
      <w:r w:rsidRPr="00733621">
        <w:rPr>
          <w:sz w:val="16"/>
          <w:szCs w:val="16"/>
        </w:rPr>
        <w:t xml:space="preserve"> Net Zrt.</w:t>
      </w:r>
    </w:p>
  </w:footnote>
  <w:footnote w:id="9">
    <w:p w14:paraId="6C593788" w14:textId="77777777" w:rsidR="00320039" w:rsidRPr="0058365A" w:rsidRDefault="00320039" w:rsidP="00320039">
      <w:pPr>
        <w:pStyle w:val="Lbjegyzetszveg"/>
        <w:rPr>
          <w:sz w:val="16"/>
          <w:szCs w:val="16"/>
        </w:rPr>
      </w:pPr>
      <w:r w:rsidRPr="0058365A">
        <w:rPr>
          <w:rStyle w:val="Lbjegyzet-hivatkozs"/>
          <w:sz w:val="16"/>
          <w:szCs w:val="16"/>
        </w:rPr>
        <w:footnoteRef/>
      </w:r>
      <w:r w:rsidRPr="0058365A">
        <w:rPr>
          <w:sz w:val="16"/>
          <w:szCs w:val="16"/>
        </w:rPr>
        <w:t xml:space="preserve"> </w:t>
      </w:r>
      <w:proofErr w:type="gramStart"/>
      <w:r w:rsidRPr="0058365A">
        <w:rPr>
          <w:sz w:val="16"/>
          <w:szCs w:val="16"/>
        </w:rPr>
        <w:t>közrendvédelem</w:t>
      </w:r>
      <w:proofErr w:type="gramEnd"/>
      <w:r w:rsidRPr="0058365A">
        <w:rPr>
          <w:sz w:val="16"/>
          <w:szCs w:val="16"/>
        </w:rPr>
        <w:t xml:space="preserve"> és katasztrófavédelem – Public </w:t>
      </w:r>
      <w:proofErr w:type="spellStart"/>
      <w:r w:rsidRPr="0058365A">
        <w:rPr>
          <w:sz w:val="16"/>
          <w:szCs w:val="16"/>
        </w:rPr>
        <w:t>Protection</w:t>
      </w:r>
      <w:proofErr w:type="spellEnd"/>
      <w:r w:rsidRPr="0058365A">
        <w:rPr>
          <w:sz w:val="16"/>
          <w:szCs w:val="16"/>
        </w:rPr>
        <w:t xml:space="preserve"> and </w:t>
      </w:r>
      <w:proofErr w:type="spellStart"/>
      <w:r w:rsidRPr="0058365A">
        <w:rPr>
          <w:sz w:val="16"/>
          <w:szCs w:val="16"/>
        </w:rPr>
        <w:t>Disaster</w:t>
      </w:r>
      <w:proofErr w:type="spellEnd"/>
      <w:r w:rsidRPr="0058365A">
        <w:rPr>
          <w:sz w:val="16"/>
          <w:szCs w:val="16"/>
        </w:rPr>
        <w:t xml:space="preserve"> Relief, PPDR</w:t>
      </w:r>
    </w:p>
  </w:footnote>
  <w:footnote w:id="10">
    <w:p w14:paraId="5FE601C7" w14:textId="77777777" w:rsidR="00B5011D" w:rsidRPr="00B56C98" w:rsidRDefault="00B5011D" w:rsidP="00B5011D">
      <w:pPr>
        <w:pStyle w:val="Lbjegyzetszveg"/>
        <w:rPr>
          <w:sz w:val="16"/>
          <w:szCs w:val="16"/>
        </w:rPr>
      </w:pPr>
      <w:r w:rsidRPr="00B56C98">
        <w:rPr>
          <w:rStyle w:val="Lbjegyzet-hivatkozs"/>
          <w:sz w:val="16"/>
          <w:szCs w:val="16"/>
        </w:rPr>
        <w:footnoteRef/>
      </w:r>
      <w:r w:rsidRPr="00B56C98">
        <w:rPr>
          <w:sz w:val="16"/>
          <w:szCs w:val="16"/>
        </w:rPr>
        <w:t xml:space="preserve"> </w:t>
      </w:r>
      <w:proofErr w:type="spellStart"/>
      <w:r w:rsidRPr="00E718E8">
        <w:rPr>
          <w:sz w:val="16"/>
          <w:szCs w:val="16"/>
        </w:rPr>
        <w:t>Land</w:t>
      </w:r>
      <w:proofErr w:type="spellEnd"/>
      <w:r w:rsidRPr="00E718E8">
        <w:rPr>
          <w:sz w:val="16"/>
          <w:szCs w:val="16"/>
        </w:rPr>
        <w:t xml:space="preserve"> mobile </w:t>
      </w:r>
      <w:proofErr w:type="spellStart"/>
      <w:r w:rsidRPr="00E718E8">
        <w:rPr>
          <w:sz w:val="16"/>
          <w:szCs w:val="16"/>
        </w:rPr>
        <w:t>systems</w:t>
      </w:r>
      <w:proofErr w:type="spellEnd"/>
      <w:r w:rsidRPr="00E718E8">
        <w:rPr>
          <w:sz w:val="16"/>
          <w:szCs w:val="16"/>
        </w:rPr>
        <w:t xml:space="preserve"> in </w:t>
      </w:r>
      <w:proofErr w:type="spellStart"/>
      <w:r w:rsidRPr="00E718E8">
        <w:rPr>
          <w:sz w:val="16"/>
          <w:szCs w:val="16"/>
        </w:rPr>
        <w:t>the</w:t>
      </w:r>
      <w:proofErr w:type="spellEnd"/>
      <w:r w:rsidRPr="00E718E8">
        <w:rPr>
          <w:sz w:val="16"/>
          <w:szCs w:val="16"/>
        </w:rPr>
        <w:t xml:space="preserve"> </w:t>
      </w:r>
      <w:proofErr w:type="spellStart"/>
      <w:r w:rsidRPr="00E718E8">
        <w:rPr>
          <w:sz w:val="16"/>
          <w:szCs w:val="16"/>
        </w:rPr>
        <w:t>frequency</w:t>
      </w:r>
      <w:proofErr w:type="spellEnd"/>
      <w:r w:rsidRPr="00E718E8">
        <w:rPr>
          <w:sz w:val="16"/>
          <w:szCs w:val="16"/>
        </w:rPr>
        <w:t xml:space="preserve"> </w:t>
      </w:r>
      <w:proofErr w:type="spellStart"/>
      <w:r w:rsidRPr="00E718E8">
        <w:rPr>
          <w:sz w:val="16"/>
          <w:szCs w:val="16"/>
        </w:rPr>
        <w:t>ranges</w:t>
      </w:r>
      <w:proofErr w:type="spellEnd"/>
      <w:r w:rsidRPr="00E718E8">
        <w:rPr>
          <w:sz w:val="16"/>
          <w:szCs w:val="16"/>
        </w:rPr>
        <w:t xml:space="preserve"> 68-87.5 MHz, 146-174 MHz, 406.1-410 MHz, 410-430 MHz, 440-450 MHz and 450-470 MHz (8 </w:t>
      </w:r>
      <w:proofErr w:type="spellStart"/>
      <w:r w:rsidRPr="00E718E8">
        <w:rPr>
          <w:sz w:val="16"/>
          <w:szCs w:val="16"/>
        </w:rPr>
        <w:t>March</w:t>
      </w:r>
      <w:proofErr w:type="spellEnd"/>
      <w:r w:rsidRPr="00E718E8">
        <w:rPr>
          <w:sz w:val="16"/>
          <w:szCs w:val="16"/>
        </w:rPr>
        <w:t xml:space="preserve"> 2019) - </w:t>
      </w:r>
      <w:r w:rsidRPr="00040AF1">
        <w:rPr>
          <w:sz w:val="16"/>
          <w:szCs w:val="16"/>
        </w:rPr>
        <w:t>Földi mozgó rendszerek a 68–87,5 MHz, 146–174 MHz, 406,1–410 MHz, 410–430 MHz, 440–450 MHz és a 450–470 MHz frekvenciatartományban</w:t>
      </w:r>
      <w:r w:rsidRPr="00027D17">
        <w:rPr>
          <w:sz w:val="16"/>
          <w:szCs w:val="16"/>
        </w:rPr>
        <w:t xml:space="preserve"> (2019. március 8.) – </w:t>
      </w:r>
      <w:hyperlink r:id="rId2" w:history="1">
        <w:r w:rsidRPr="00B56C98">
          <w:rPr>
            <w:rStyle w:val="Hiperhivatkozs"/>
            <w:sz w:val="16"/>
            <w:szCs w:val="16"/>
          </w:rPr>
          <w:t>https://docdb.cept.org/download/1455</w:t>
        </w:r>
      </w:hyperlink>
    </w:p>
  </w:footnote>
  <w:footnote w:id="11">
    <w:p w14:paraId="15DF2921" w14:textId="77777777" w:rsidR="00B5011D" w:rsidRDefault="00B5011D" w:rsidP="00B5011D">
      <w:pPr>
        <w:pStyle w:val="Lbjegyzetszveg"/>
      </w:pPr>
      <w:r w:rsidRPr="00B56C98">
        <w:rPr>
          <w:rStyle w:val="Lbjegyzet-hivatkozs"/>
          <w:sz w:val="16"/>
          <w:szCs w:val="16"/>
        </w:rPr>
        <w:footnoteRef/>
      </w:r>
      <w:r w:rsidRPr="00B56C98">
        <w:rPr>
          <w:sz w:val="16"/>
          <w:szCs w:val="16"/>
        </w:rPr>
        <w:t xml:space="preserve"> </w:t>
      </w:r>
      <w:proofErr w:type="spellStart"/>
      <w:r w:rsidRPr="00000E56">
        <w:rPr>
          <w:sz w:val="16"/>
          <w:szCs w:val="16"/>
        </w:rPr>
        <w:t>Harmonised</w:t>
      </w:r>
      <w:proofErr w:type="spellEnd"/>
      <w:r w:rsidRPr="00000E56">
        <w:rPr>
          <w:sz w:val="16"/>
          <w:szCs w:val="16"/>
        </w:rPr>
        <w:t xml:space="preserve"> </w:t>
      </w:r>
      <w:proofErr w:type="spellStart"/>
      <w:r w:rsidRPr="00000E56">
        <w:rPr>
          <w:sz w:val="16"/>
          <w:szCs w:val="16"/>
        </w:rPr>
        <w:t>technical</w:t>
      </w:r>
      <w:proofErr w:type="spellEnd"/>
      <w:r w:rsidRPr="00000E56">
        <w:rPr>
          <w:sz w:val="16"/>
          <w:szCs w:val="16"/>
        </w:rPr>
        <w:t xml:space="preserve"> </w:t>
      </w:r>
      <w:proofErr w:type="spellStart"/>
      <w:r w:rsidRPr="00000E56">
        <w:rPr>
          <w:sz w:val="16"/>
          <w:szCs w:val="16"/>
        </w:rPr>
        <w:t>conditions</w:t>
      </w:r>
      <w:proofErr w:type="spellEnd"/>
      <w:r w:rsidRPr="00000E56">
        <w:rPr>
          <w:sz w:val="16"/>
          <w:szCs w:val="16"/>
        </w:rPr>
        <w:t xml:space="preserve"> and </w:t>
      </w:r>
      <w:proofErr w:type="spellStart"/>
      <w:r w:rsidRPr="00000E56">
        <w:rPr>
          <w:sz w:val="16"/>
          <w:szCs w:val="16"/>
        </w:rPr>
        <w:t>frequency</w:t>
      </w:r>
      <w:proofErr w:type="spellEnd"/>
      <w:r w:rsidRPr="00000E56">
        <w:rPr>
          <w:sz w:val="16"/>
          <w:szCs w:val="16"/>
        </w:rPr>
        <w:t xml:space="preserve"> </w:t>
      </w:r>
      <w:proofErr w:type="spellStart"/>
      <w:r w:rsidRPr="00000E56">
        <w:rPr>
          <w:sz w:val="16"/>
          <w:szCs w:val="16"/>
        </w:rPr>
        <w:t>bands</w:t>
      </w:r>
      <w:proofErr w:type="spellEnd"/>
      <w:r w:rsidRPr="00000E56">
        <w:rPr>
          <w:sz w:val="16"/>
          <w:szCs w:val="16"/>
        </w:rPr>
        <w:t xml:space="preserve"> </w:t>
      </w:r>
      <w:proofErr w:type="spellStart"/>
      <w:r w:rsidRPr="00000E56">
        <w:rPr>
          <w:sz w:val="16"/>
          <w:szCs w:val="16"/>
        </w:rPr>
        <w:t>for</w:t>
      </w:r>
      <w:proofErr w:type="spellEnd"/>
      <w:r w:rsidRPr="00000E56">
        <w:rPr>
          <w:sz w:val="16"/>
          <w:szCs w:val="16"/>
        </w:rPr>
        <w:t xml:space="preserve"> </w:t>
      </w:r>
      <w:proofErr w:type="spellStart"/>
      <w:r w:rsidRPr="00000E56">
        <w:rPr>
          <w:sz w:val="16"/>
          <w:szCs w:val="16"/>
        </w:rPr>
        <w:t>the</w:t>
      </w:r>
      <w:proofErr w:type="spellEnd"/>
      <w:r w:rsidRPr="00000E56">
        <w:rPr>
          <w:sz w:val="16"/>
          <w:szCs w:val="16"/>
        </w:rPr>
        <w:t xml:space="preserve"> </w:t>
      </w:r>
      <w:proofErr w:type="spellStart"/>
      <w:r w:rsidRPr="00000E56">
        <w:rPr>
          <w:sz w:val="16"/>
          <w:szCs w:val="16"/>
        </w:rPr>
        <w:t>implementation</w:t>
      </w:r>
      <w:proofErr w:type="spellEnd"/>
      <w:r w:rsidRPr="00000E56">
        <w:rPr>
          <w:sz w:val="16"/>
          <w:szCs w:val="16"/>
        </w:rPr>
        <w:t xml:space="preserve"> of </w:t>
      </w:r>
      <w:proofErr w:type="spellStart"/>
      <w:r w:rsidRPr="00000E56">
        <w:rPr>
          <w:sz w:val="16"/>
          <w:szCs w:val="16"/>
        </w:rPr>
        <w:t>Broadband</w:t>
      </w:r>
      <w:proofErr w:type="spellEnd"/>
      <w:r w:rsidRPr="00000E56">
        <w:rPr>
          <w:sz w:val="16"/>
          <w:szCs w:val="16"/>
        </w:rPr>
        <w:t xml:space="preserve"> Public </w:t>
      </w:r>
      <w:proofErr w:type="spellStart"/>
      <w:r w:rsidRPr="00000E56">
        <w:rPr>
          <w:sz w:val="16"/>
          <w:szCs w:val="16"/>
        </w:rPr>
        <w:t>Protection</w:t>
      </w:r>
      <w:proofErr w:type="spellEnd"/>
      <w:r w:rsidRPr="00000E56">
        <w:rPr>
          <w:sz w:val="16"/>
          <w:szCs w:val="16"/>
        </w:rPr>
        <w:t xml:space="preserve"> and </w:t>
      </w:r>
      <w:proofErr w:type="spellStart"/>
      <w:r w:rsidRPr="00000E56">
        <w:rPr>
          <w:sz w:val="16"/>
          <w:szCs w:val="16"/>
        </w:rPr>
        <w:t>Disaster</w:t>
      </w:r>
      <w:proofErr w:type="spellEnd"/>
      <w:r w:rsidRPr="00000E56">
        <w:rPr>
          <w:sz w:val="16"/>
          <w:szCs w:val="16"/>
        </w:rPr>
        <w:t xml:space="preserve"> Relief (BB-PPDR) </w:t>
      </w:r>
      <w:proofErr w:type="spellStart"/>
      <w:r w:rsidRPr="00000E56">
        <w:rPr>
          <w:sz w:val="16"/>
          <w:szCs w:val="16"/>
        </w:rPr>
        <w:t>systems</w:t>
      </w:r>
      <w:proofErr w:type="spellEnd"/>
      <w:r w:rsidRPr="00000E56">
        <w:rPr>
          <w:sz w:val="16"/>
          <w:szCs w:val="16"/>
        </w:rPr>
        <w:t xml:space="preserve"> (8 </w:t>
      </w:r>
      <w:proofErr w:type="spellStart"/>
      <w:r w:rsidRPr="00000E56">
        <w:rPr>
          <w:sz w:val="16"/>
          <w:szCs w:val="16"/>
        </w:rPr>
        <w:t>March</w:t>
      </w:r>
      <w:proofErr w:type="spellEnd"/>
      <w:r w:rsidRPr="00000E56">
        <w:rPr>
          <w:sz w:val="16"/>
          <w:szCs w:val="16"/>
        </w:rPr>
        <w:t xml:space="preserve"> 2019) - </w:t>
      </w:r>
      <w:r w:rsidRPr="00027D17">
        <w:rPr>
          <w:sz w:val="16"/>
          <w:szCs w:val="16"/>
        </w:rPr>
        <w:t xml:space="preserve">Harmonizált műszaki feltételek és frekvenciasávok a szélessávú közrendvédelmi és katasztrófavédelmi (BB-PPDR) rendszerek megvalósítása részére (2019. március 8.) – </w:t>
      </w:r>
      <w:hyperlink r:id="rId3" w:history="1">
        <w:r w:rsidRPr="00B56C98">
          <w:rPr>
            <w:rStyle w:val="Hiperhivatkozs"/>
            <w:sz w:val="16"/>
            <w:szCs w:val="16"/>
          </w:rPr>
          <w:t>https://docdb.cept.org/download/1486</w:t>
        </w:r>
      </w:hyperlink>
      <w:r>
        <w:t xml:space="preserve"> </w:t>
      </w:r>
    </w:p>
  </w:footnote>
  <w:footnote w:id="12">
    <w:p w14:paraId="2D3997CD" w14:textId="77777777" w:rsidR="00B5011D" w:rsidRPr="009E0601" w:rsidRDefault="00B5011D" w:rsidP="00B5011D">
      <w:pPr>
        <w:spacing w:after="0" w:line="240" w:lineRule="auto"/>
        <w:rPr>
          <w:rFonts w:cs="Arial"/>
          <w:color w:val="000000"/>
          <w:sz w:val="16"/>
          <w:szCs w:val="16"/>
          <w:lang w:val="en-GB"/>
        </w:rPr>
      </w:pPr>
      <w:r w:rsidRPr="009E0601">
        <w:rPr>
          <w:rStyle w:val="Lbjegyzet-hivatkozs"/>
          <w:sz w:val="16"/>
          <w:szCs w:val="16"/>
        </w:rPr>
        <w:footnoteRef/>
      </w:r>
      <w:r w:rsidRPr="009E0601">
        <w:rPr>
          <w:sz w:val="16"/>
          <w:szCs w:val="16"/>
        </w:rPr>
        <w:t xml:space="preserve"> </w:t>
      </w:r>
      <w:r w:rsidRPr="009E0601">
        <w:rPr>
          <w:rFonts w:cs="Arial"/>
          <w:color w:val="000000"/>
          <w:sz w:val="16"/>
          <w:szCs w:val="16"/>
          <w:lang w:val="en-GB"/>
        </w:rPr>
        <w:t>Planning criteria and cross-border coordination of frequencies for land mobile systems in the range 29.7</w:t>
      </w:r>
      <w:r w:rsidRPr="009E0601">
        <w:rPr>
          <w:rFonts w:cs="Arial"/>
          <w:color w:val="000000"/>
          <w:sz w:val="16"/>
          <w:szCs w:val="16"/>
        </w:rPr>
        <w:t>-470</w:t>
      </w:r>
      <w:r w:rsidRPr="009E0601">
        <w:rPr>
          <w:rFonts w:cs="Arial"/>
          <w:color w:val="000000"/>
          <w:sz w:val="16"/>
          <w:szCs w:val="16"/>
          <w:lang w:val="en-GB"/>
        </w:rPr>
        <w:t xml:space="preserve"> MHz (28 September 2018)</w:t>
      </w:r>
    </w:p>
    <w:p w14:paraId="158171E3" w14:textId="77777777" w:rsidR="00B5011D" w:rsidRPr="009E0601" w:rsidRDefault="00B5011D" w:rsidP="00B5011D">
      <w:pPr>
        <w:pStyle w:val="Lbjegyzetszveg"/>
        <w:rPr>
          <w:sz w:val="16"/>
          <w:szCs w:val="16"/>
        </w:rPr>
      </w:pPr>
      <w:r w:rsidRPr="009E0601">
        <w:rPr>
          <w:rFonts w:cs="Arial"/>
          <w:color w:val="000000"/>
          <w:sz w:val="16"/>
          <w:szCs w:val="16"/>
        </w:rPr>
        <w:t>A 29,7</w:t>
      </w:r>
      <w:r w:rsidRPr="009E0601">
        <w:rPr>
          <w:rFonts w:cs="Arial"/>
          <w:color w:val="000000"/>
          <w:sz w:val="16"/>
          <w:szCs w:val="16"/>
        </w:rPr>
        <w:sym w:font="Symbol" w:char="F02D"/>
      </w:r>
      <w:r w:rsidRPr="009E0601">
        <w:rPr>
          <w:rFonts w:cs="Arial"/>
          <w:color w:val="000000"/>
          <w:sz w:val="16"/>
          <w:szCs w:val="16"/>
        </w:rPr>
        <w:t>470 MHz tartományban működő földi mozgó rendszerek tervezési kritériumai és határövezeti frekvenciakoordinációja (2018. szeptember 28.)</w:t>
      </w:r>
      <w:r>
        <w:rPr>
          <w:rFonts w:cs="Arial"/>
          <w:color w:val="000000"/>
          <w:sz w:val="16"/>
          <w:szCs w:val="16"/>
          <w:lang w:val="en-GB"/>
        </w:rPr>
        <w:t xml:space="preserve"> –</w:t>
      </w:r>
      <w:r w:rsidRPr="009E0601">
        <w:rPr>
          <w:rFonts w:cs="Arial"/>
          <w:color w:val="000000"/>
          <w:sz w:val="16"/>
          <w:szCs w:val="16"/>
          <w:lang w:val="en-GB"/>
        </w:rPr>
        <w:t xml:space="preserve"> </w:t>
      </w:r>
      <w:hyperlink r:id="rId4" w:history="1">
        <w:r w:rsidRPr="009E0601">
          <w:rPr>
            <w:rStyle w:val="Hiperhivatkozs"/>
            <w:sz w:val="16"/>
            <w:szCs w:val="16"/>
          </w:rPr>
          <w:t>https://docdb.cept.org/document/909</w:t>
        </w:r>
      </w:hyperlink>
    </w:p>
  </w:footnote>
  <w:footnote w:id="13">
    <w:p w14:paraId="43172CAC" w14:textId="77777777" w:rsidR="00486B2E" w:rsidRPr="0084499F" w:rsidRDefault="00486B2E" w:rsidP="00486B2E">
      <w:pPr>
        <w:pStyle w:val="Lbjegyzetszveg"/>
        <w:tabs>
          <w:tab w:val="left" w:pos="0"/>
        </w:tabs>
        <w:rPr>
          <w:rStyle w:val="Lbjegyzet-hivatkozs"/>
        </w:rPr>
      </w:pPr>
      <w:r w:rsidRPr="0070634E">
        <w:rPr>
          <w:rStyle w:val="Lbjegyzet-hivatkozs"/>
          <w:rFonts w:ascii="Arial" w:hAnsi="Arial" w:cs="Arial"/>
          <w:szCs w:val="18"/>
          <w:lang w:val="en-GB"/>
        </w:rPr>
        <w:footnoteRef/>
      </w:r>
      <w:r w:rsidRPr="00DF7F25">
        <w:rPr>
          <w:rStyle w:val="Lbjegyzet-hivatkozs"/>
        </w:rPr>
        <w:t>BB-PPDR:</w:t>
      </w:r>
      <w:r w:rsidRPr="0084499F">
        <w:rPr>
          <w:rFonts w:ascii="Arial" w:hAnsi="Arial" w:cs="Arial"/>
          <w:szCs w:val="18"/>
        </w:rPr>
        <w:t xml:space="preserve"> </w:t>
      </w:r>
      <w:r w:rsidRPr="0084499F">
        <w:rPr>
          <w:rStyle w:val="Lbjegyzet-hivatkozs"/>
          <w:rFonts w:ascii="Arial" w:hAnsi="Arial" w:cs="Arial"/>
          <w:szCs w:val="18"/>
        </w:rPr>
        <w:t xml:space="preserve"> </w:t>
      </w:r>
      <w:proofErr w:type="spellStart"/>
      <w:r w:rsidRPr="0084499F">
        <w:rPr>
          <w:rStyle w:val="Lbjegyzet-hivatkozs"/>
        </w:rPr>
        <w:t>Broadband</w:t>
      </w:r>
      <w:proofErr w:type="spellEnd"/>
      <w:r w:rsidRPr="0084499F">
        <w:rPr>
          <w:rStyle w:val="Lbjegyzet-hivatkozs"/>
        </w:rPr>
        <w:t xml:space="preserve">: Public </w:t>
      </w:r>
      <w:proofErr w:type="spellStart"/>
      <w:r w:rsidRPr="0084499F">
        <w:rPr>
          <w:rStyle w:val="Lbjegyzet-hivatkozs"/>
        </w:rPr>
        <w:t>Protection</w:t>
      </w:r>
      <w:proofErr w:type="spellEnd"/>
      <w:r w:rsidRPr="0084499F">
        <w:rPr>
          <w:rStyle w:val="Lbjegyzet-hivatkozs"/>
        </w:rPr>
        <w:t xml:space="preserve"> and </w:t>
      </w:r>
      <w:proofErr w:type="spellStart"/>
      <w:r w:rsidRPr="0084499F">
        <w:rPr>
          <w:rStyle w:val="Lbjegyzet-hivatkozs"/>
        </w:rPr>
        <w:t>Disaster</w:t>
      </w:r>
      <w:proofErr w:type="spellEnd"/>
      <w:r w:rsidRPr="0084499F">
        <w:rPr>
          <w:rStyle w:val="Lbjegyzet-hivatkozs"/>
        </w:rPr>
        <w:t xml:space="preserve"> Relief </w:t>
      </w:r>
      <w:r w:rsidRPr="00DF7F25">
        <w:rPr>
          <w:rStyle w:val="Lbjegyzet-hivatkozs"/>
        </w:rPr>
        <w:t xml:space="preserve"> - Közrendvédelem és katasztrófavédelem</w:t>
      </w:r>
    </w:p>
  </w:footnote>
  <w:footnote w:id="14">
    <w:p w14:paraId="6B19A77C" w14:textId="77777777" w:rsidR="00486B2E" w:rsidRPr="004A459F" w:rsidRDefault="00486B2E" w:rsidP="00486B2E">
      <w:pPr>
        <w:pStyle w:val="Lbjegyzetszveg"/>
        <w:tabs>
          <w:tab w:val="left" w:pos="0"/>
        </w:tabs>
        <w:rPr>
          <w:rStyle w:val="Lbjegyzet-hivatkozs"/>
          <w:lang w:val="en-GB"/>
        </w:rPr>
      </w:pPr>
      <w:r w:rsidRPr="004A459F">
        <w:rPr>
          <w:rStyle w:val="Lbjegyzet-hivatkozs"/>
          <w:lang w:val="en-GB"/>
        </w:rPr>
        <w:footnoteRef/>
      </w:r>
      <w:r w:rsidRPr="004A459F">
        <w:rPr>
          <w:rStyle w:val="Lbjegyzet-hivatkozs"/>
          <w:lang w:val="en-GB"/>
        </w:rPr>
        <w:t xml:space="preserve"> </w:t>
      </w:r>
      <w:r w:rsidRPr="004A459F">
        <w:rPr>
          <w:rStyle w:val="Lbjegyzet-hivatkozs"/>
        </w:rPr>
        <w:t xml:space="preserve">SDL: </w:t>
      </w:r>
      <w:r w:rsidRPr="0070634E">
        <w:rPr>
          <w:rStyle w:val="Lbjegyzet-hivatkozs"/>
          <w:lang w:val="en-GB"/>
        </w:rPr>
        <w:t xml:space="preserve">Supplemental Downlink </w:t>
      </w:r>
      <w:r w:rsidRPr="004A459F">
        <w:rPr>
          <w:rStyle w:val="Lbjegyzet-hivatkozs"/>
        </w:rPr>
        <w:t>– kiegészítő lemenő irányú összeköttetés</w:t>
      </w:r>
    </w:p>
  </w:footnote>
  <w:footnote w:id="15">
    <w:p w14:paraId="523B3A8E" w14:textId="77777777" w:rsidR="00486B2E" w:rsidRPr="00CF1845" w:rsidRDefault="00486B2E" w:rsidP="00486B2E">
      <w:pPr>
        <w:pStyle w:val="Lbjegyzetszveg"/>
        <w:tabs>
          <w:tab w:val="left" w:pos="0"/>
        </w:tabs>
        <w:rPr>
          <w:rStyle w:val="Lbjegyzet-hivatkozs"/>
          <w:rFonts w:ascii="Arial" w:hAnsi="Arial" w:cs="Arial"/>
          <w:szCs w:val="18"/>
          <w:lang w:val="en-GB"/>
        </w:rPr>
      </w:pPr>
      <w:r w:rsidRPr="00CF1845">
        <w:rPr>
          <w:rStyle w:val="Lbjegyzet-hivatkozs"/>
          <w:rFonts w:ascii="Arial" w:hAnsi="Arial" w:cs="Arial"/>
          <w:szCs w:val="18"/>
          <w:lang w:val="en-GB"/>
        </w:rPr>
        <w:footnoteRef/>
      </w:r>
      <w:r>
        <w:rPr>
          <w:rStyle w:val="Lbjegyzet-hivatkozs"/>
          <w:rFonts w:ascii="Arial" w:hAnsi="Arial" w:cs="Arial"/>
          <w:szCs w:val="18"/>
          <w:lang w:val="en-GB"/>
        </w:rPr>
        <w:t xml:space="preserve"> PMSE: Programme Making and Special Events</w:t>
      </w:r>
      <w:r w:rsidRPr="00CF1845">
        <w:rPr>
          <w:rStyle w:val="Lbjegyzet-hivatkozs"/>
          <w:rFonts w:ascii="Arial" w:hAnsi="Arial" w:cs="Arial"/>
          <w:szCs w:val="18"/>
          <w:lang w:val="en-GB"/>
        </w:rPr>
        <w:t xml:space="preserve"> –</w:t>
      </w:r>
      <w:r w:rsidRPr="00056B50">
        <w:rPr>
          <w:rStyle w:val="Lbjegyzet-hivatkozs"/>
        </w:rPr>
        <w:t xml:space="preserve"> Műsorgyártás és különleges események</w:t>
      </w:r>
    </w:p>
  </w:footnote>
  <w:footnote w:id="16">
    <w:p w14:paraId="454232D3" w14:textId="77777777" w:rsidR="00486B2E" w:rsidRPr="007A6D52" w:rsidRDefault="00486B2E" w:rsidP="00486B2E">
      <w:pPr>
        <w:pStyle w:val="Lbjegyzetszveg"/>
        <w:tabs>
          <w:tab w:val="left" w:pos="0"/>
        </w:tabs>
        <w:rPr>
          <w:rStyle w:val="Lbjegyzet-hivatkozs"/>
          <w:lang w:val="en-GB"/>
        </w:rPr>
      </w:pPr>
      <w:r w:rsidRPr="007A6D52">
        <w:rPr>
          <w:rStyle w:val="Lbjegyzet-hivatkozs"/>
          <w:lang w:val="en-GB"/>
        </w:rPr>
        <w:footnoteRef/>
      </w:r>
      <w:r w:rsidRPr="007A6D52">
        <w:rPr>
          <w:rStyle w:val="Lbjegyzet-hivatkozs"/>
          <w:lang w:val="en-GB"/>
        </w:rPr>
        <w:t xml:space="preserve"> </w:t>
      </w:r>
      <w:r w:rsidRPr="007A6D52">
        <w:rPr>
          <w:rStyle w:val="Lbjegyzet-hivatkozs"/>
        </w:rPr>
        <w:t xml:space="preserve">M2M: </w:t>
      </w:r>
      <w:r w:rsidRPr="0070634E">
        <w:rPr>
          <w:rStyle w:val="Lbjegyzet-hivatkozs"/>
          <w:lang w:val="en-GB"/>
        </w:rPr>
        <w:t>Machine to Machine</w:t>
      </w:r>
      <w:r w:rsidRPr="007A6D52">
        <w:rPr>
          <w:rStyle w:val="Lbjegyzet-hivatkozs"/>
        </w:rPr>
        <w:t xml:space="preserve"> – gépek közötti kommunikáció</w:t>
      </w:r>
      <w:r w:rsidRPr="0070634E">
        <w:rPr>
          <w:rStyle w:val="Lbjegyzet-hivatkozs"/>
          <w:lang w:val="en-GB"/>
        </w:rPr>
        <w:t xml:space="preserve"> </w:t>
      </w:r>
    </w:p>
  </w:footnote>
  <w:footnote w:id="17">
    <w:p w14:paraId="30D25CC7" w14:textId="77777777" w:rsidR="00486B2E" w:rsidRDefault="00486B2E" w:rsidP="00486B2E">
      <w:pPr>
        <w:pStyle w:val="Lbjegyzetszveg"/>
        <w:tabs>
          <w:tab w:val="left" w:pos="0"/>
        </w:tabs>
      </w:pPr>
      <w:r w:rsidRPr="007A6D52">
        <w:rPr>
          <w:rStyle w:val="Lbjegyzet-hivatkozs"/>
          <w:rFonts w:ascii="Arial" w:hAnsi="Arial" w:cs="Arial"/>
          <w:szCs w:val="18"/>
        </w:rPr>
        <w:footnoteRef/>
      </w:r>
      <w:r w:rsidRPr="00623F00">
        <w:rPr>
          <w:rStyle w:val="Lbjegyzet-hivatkozs"/>
          <w:rFonts w:ascii="Arial" w:hAnsi="Arial" w:cs="Arial"/>
          <w:szCs w:val="18"/>
        </w:rPr>
        <w:t xml:space="preserve"> </w:t>
      </w:r>
      <w:r w:rsidRPr="00623F00">
        <w:rPr>
          <w:rStyle w:val="Lbjegyzet-hivatkozs"/>
          <w:rFonts w:ascii="Arial" w:hAnsi="Arial"/>
          <w:szCs w:val="18"/>
        </w:rPr>
        <w:t xml:space="preserve">a VHF III. sáv (174-230 MHz) és az UHF sáv (470-790 MHz) hasznosításáról szóló Nemzeti Ütemtervet, melyet </w:t>
      </w:r>
      <w:r w:rsidRPr="00796B79">
        <w:rPr>
          <w:rStyle w:val="Lbjegyzet-hivatkozs"/>
        </w:rPr>
        <w:t xml:space="preserve">az NMHH </w:t>
      </w:r>
      <w:r w:rsidRPr="00623F00">
        <w:rPr>
          <w:rStyle w:val="Lbjegyzet-hivatkozs"/>
          <w:rFonts w:ascii="Arial" w:hAnsi="Arial"/>
          <w:szCs w:val="18"/>
        </w:rPr>
        <w:t xml:space="preserve">2017. szeptember 8-án tett közzé honlapján: </w:t>
      </w:r>
      <w:hyperlink r:id="rId5" w:history="1">
        <w:r w:rsidRPr="00623F00">
          <w:rPr>
            <w:rStyle w:val="Lbjegyzet-hivatkozs"/>
            <w:rFonts w:ascii="Arial" w:hAnsi="Arial"/>
            <w:szCs w:val="18"/>
          </w:rPr>
          <w:t>http://nmhh.hu/dokumentum/189921/uhf_nemzeti_utemterv.pdf</w:t>
        </w:r>
      </w:hyperlink>
      <w:r w:rsidRPr="00623F00">
        <w:rPr>
          <w:rStyle w:val="Lbjegyzet-hivatkozs"/>
          <w:rFonts w:ascii="Arial" w:hAnsi="Arial"/>
          <w:szCs w:val="18"/>
        </w:rPr>
        <w:t xml:space="preserve"> </w:t>
      </w:r>
    </w:p>
  </w:footnote>
  <w:footnote w:id="18">
    <w:p w14:paraId="17086D5B" w14:textId="77777777" w:rsidR="002C2BCE" w:rsidRDefault="002C2BCE" w:rsidP="002C2BC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0328D">
        <w:rPr>
          <w:sz w:val="16"/>
          <w:szCs w:val="16"/>
        </w:rPr>
        <w:t xml:space="preserve">MFCN: Mobile/Fixed </w:t>
      </w:r>
      <w:proofErr w:type="spellStart"/>
      <w:r w:rsidRPr="0060328D">
        <w:rPr>
          <w:sz w:val="16"/>
          <w:szCs w:val="16"/>
        </w:rPr>
        <w:t>Communication</w:t>
      </w:r>
      <w:proofErr w:type="spellEnd"/>
      <w:r w:rsidRPr="0060328D">
        <w:rPr>
          <w:sz w:val="16"/>
          <w:szCs w:val="16"/>
        </w:rPr>
        <w:t xml:space="preserve"> Network </w:t>
      </w:r>
      <w:r>
        <w:rPr>
          <w:sz w:val="16"/>
          <w:szCs w:val="16"/>
        </w:rPr>
        <w:t>(</w:t>
      </w:r>
      <w:r w:rsidRPr="0060328D">
        <w:rPr>
          <w:sz w:val="16"/>
          <w:szCs w:val="16"/>
        </w:rPr>
        <w:t>mozgó és ál</w:t>
      </w:r>
      <w:r>
        <w:rPr>
          <w:sz w:val="16"/>
          <w:szCs w:val="16"/>
        </w:rPr>
        <w:t>landóhelyű hírközlési hálózatok)</w:t>
      </w:r>
    </w:p>
  </w:footnote>
  <w:footnote w:id="19">
    <w:p w14:paraId="3957E8A4" w14:textId="77777777" w:rsidR="002C2BCE" w:rsidRDefault="002C2BCE" w:rsidP="002C2BC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61B55">
        <w:rPr>
          <w:sz w:val="16"/>
          <w:szCs w:val="16"/>
        </w:rPr>
        <w:t>NR:</w:t>
      </w:r>
      <w:r w:rsidRPr="00A56D0C">
        <w:rPr>
          <w:sz w:val="16"/>
        </w:rPr>
        <w:t xml:space="preserve"> New </w:t>
      </w:r>
      <w:proofErr w:type="spellStart"/>
      <w:r w:rsidRPr="00A56D0C">
        <w:rPr>
          <w:sz w:val="16"/>
        </w:rPr>
        <w:t>Radio</w:t>
      </w:r>
      <w:proofErr w:type="spellEnd"/>
      <w:r>
        <w:t xml:space="preserve"> </w:t>
      </w:r>
    </w:p>
  </w:footnote>
  <w:footnote w:id="20">
    <w:p w14:paraId="68417B05" w14:textId="77777777" w:rsidR="00842524" w:rsidRPr="00CD4DFB" w:rsidRDefault="00842524" w:rsidP="00842524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>
        <w:t xml:space="preserve"> </w:t>
      </w:r>
      <w:r w:rsidRPr="00CD4DFB">
        <w:rPr>
          <w:sz w:val="16"/>
        </w:rPr>
        <w:t xml:space="preserve">European </w:t>
      </w:r>
      <w:proofErr w:type="spellStart"/>
      <w:r w:rsidRPr="00CD4DFB">
        <w:rPr>
          <w:sz w:val="16"/>
        </w:rPr>
        <w:t>Conference</w:t>
      </w:r>
      <w:proofErr w:type="spellEnd"/>
      <w:r w:rsidRPr="00CD4DFB">
        <w:rPr>
          <w:sz w:val="16"/>
        </w:rPr>
        <w:t xml:space="preserve"> of </w:t>
      </w:r>
      <w:proofErr w:type="spellStart"/>
      <w:r w:rsidRPr="00CD4DFB">
        <w:rPr>
          <w:sz w:val="16"/>
        </w:rPr>
        <w:t>Postal</w:t>
      </w:r>
      <w:proofErr w:type="spellEnd"/>
      <w:r w:rsidRPr="00CD4DFB">
        <w:rPr>
          <w:sz w:val="16"/>
        </w:rPr>
        <w:t xml:space="preserve"> and </w:t>
      </w:r>
      <w:proofErr w:type="spellStart"/>
      <w:r w:rsidRPr="00CD4DFB">
        <w:rPr>
          <w:sz w:val="16"/>
        </w:rPr>
        <w:t>Telecommunications</w:t>
      </w:r>
      <w:proofErr w:type="spellEnd"/>
      <w:r w:rsidRPr="00CD4DFB">
        <w:rPr>
          <w:sz w:val="16"/>
        </w:rPr>
        <w:t xml:space="preserve"> </w:t>
      </w:r>
      <w:proofErr w:type="spellStart"/>
      <w:r w:rsidRPr="00CD4DFB">
        <w:rPr>
          <w:sz w:val="16"/>
        </w:rPr>
        <w:t>Administrations</w:t>
      </w:r>
      <w:proofErr w:type="spellEnd"/>
      <w:r>
        <w:rPr>
          <w:sz w:val="16"/>
        </w:rPr>
        <w:t xml:space="preserve"> - Postai és Távközlési Igazgatások Európai Értekezlete</w:t>
      </w:r>
    </w:p>
  </w:footnote>
  <w:footnote w:id="21">
    <w:p w14:paraId="7015B7E2" w14:textId="77777777" w:rsidR="00842524" w:rsidRPr="00F9670C" w:rsidRDefault="00842524" w:rsidP="00842524">
      <w:pPr>
        <w:pStyle w:val="Lbjegyzetszveg"/>
        <w:rPr>
          <w:sz w:val="16"/>
        </w:rPr>
      </w:pPr>
      <w:r>
        <w:rPr>
          <w:rStyle w:val="Lbjegyzet-hivatkozs"/>
        </w:rPr>
        <w:footnoteRef/>
      </w:r>
      <w:r w:rsidRPr="00F9670C">
        <w:rPr>
          <w:sz w:val="16"/>
        </w:rPr>
        <w:t xml:space="preserve">Time </w:t>
      </w:r>
      <w:proofErr w:type="spellStart"/>
      <w:r w:rsidRPr="00F9670C">
        <w:rPr>
          <w:sz w:val="16"/>
        </w:rPr>
        <w:t>division</w:t>
      </w:r>
      <w:proofErr w:type="spellEnd"/>
      <w:r w:rsidRPr="00F9670C">
        <w:rPr>
          <w:sz w:val="16"/>
        </w:rPr>
        <w:t xml:space="preserve"> duplex, a kommunikáció </w:t>
      </w:r>
      <w:proofErr w:type="spellStart"/>
      <w:r w:rsidRPr="00F9670C">
        <w:rPr>
          <w:sz w:val="16"/>
        </w:rPr>
        <w:t>kétirányúsítását</w:t>
      </w:r>
      <w:proofErr w:type="spellEnd"/>
      <w:r w:rsidRPr="00F9670C">
        <w:rPr>
          <w:sz w:val="16"/>
        </w:rPr>
        <w:t xml:space="preserve"> időosztás elvén megvalósító módszer</w:t>
      </w:r>
    </w:p>
  </w:footnote>
  <w:footnote w:id="22">
    <w:p w14:paraId="34140358" w14:textId="77777777" w:rsidR="00842524" w:rsidRDefault="00842524" w:rsidP="00842524">
      <w:pPr>
        <w:pStyle w:val="Lbjegyzetszveg"/>
      </w:pPr>
      <w:r w:rsidRPr="00C703D7">
        <w:rPr>
          <w:rStyle w:val="Lbjegyzet-hivatkozs"/>
        </w:rPr>
        <w:footnoteRef/>
      </w:r>
      <w:r w:rsidRPr="00C703D7">
        <w:rPr>
          <w:sz w:val="16"/>
          <w:szCs w:val="16"/>
        </w:rPr>
        <w:t xml:space="preserve"> </w:t>
      </w:r>
      <w:r>
        <w:rPr>
          <w:sz w:val="16"/>
          <w:szCs w:val="16"/>
        </w:rPr>
        <w:t>FDD</w:t>
      </w:r>
      <w:r w:rsidRPr="00C703D7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Frequency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Division</w:t>
      </w:r>
      <w:proofErr w:type="spellEnd"/>
      <w:r>
        <w:rPr>
          <w:sz w:val="16"/>
          <w:szCs w:val="16"/>
        </w:rPr>
        <w:t xml:space="preserve"> Duplex</w:t>
      </w:r>
      <w:r w:rsidRPr="00C703D7">
        <w:rPr>
          <w:sz w:val="16"/>
          <w:szCs w:val="16"/>
        </w:rPr>
        <w:t xml:space="preserve"> (</w:t>
      </w:r>
      <w:proofErr w:type="spellStart"/>
      <w:r>
        <w:rPr>
          <w:rFonts w:eastAsia="Calibri" w:cs="Arial"/>
          <w:color w:val="000000"/>
          <w:sz w:val="16"/>
          <w:szCs w:val="16"/>
        </w:rPr>
        <w:t>frekvenciaosztásos</w:t>
      </w:r>
      <w:proofErr w:type="spellEnd"/>
      <w:r>
        <w:rPr>
          <w:rFonts w:eastAsia="Calibri" w:cs="Arial"/>
          <w:color w:val="000000"/>
          <w:sz w:val="16"/>
          <w:szCs w:val="16"/>
        </w:rPr>
        <w:t xml:space="preserve"> duplex</w:t>
      </w:r>
      <w:r>
        <w:rPr>
          <w:rFonts w:eastAsia="Calibri" w:cs="Arial"/>
          <w:color w:val="000000"/>
          <w:szCs w:val="22"/>
        </w:rPr>
        <w:t>)</w:t>
      </w:r>
    </w:p>
  </w:footnote>
  <w:footnote w:id="23">
    <w:p w14:paraId="7ED11F02" w14:textId="77777777" w:rsidR="00842524" w:rsidRDefault="00842524" w:rsidP="00842524">
      <w:pPr>
        <w:pStyle w:val="Lbjegyzetszveg"/>
      </w:pPr>
      <w:r w:rsidRPr="00C703D7">
        <w:rPr>
          <w:rStyle w:val="Lbjegyzet-hivatkozs"/>
        </w:rPr>
        <w:footnoteRef/>
      </w:r>
      <w:r w:rsidRPr="00C703D7">
        <w:rPr>
          <w:sz w:val="16"/>
          <w:szCs w:val="16"/>
        </w:rPr>
        <w:t xml:space="preserve"> </w:t>
      </w:r>
      <w:r>
        <w:rPr>
          <w:sz w:val="16"/>
          <w:szCs w:val="16"/>
        </w:rPr>
        <w:t>TDD</w:t>
      </w:r>
      <w:r w:rsidRPr="00C703D7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Time </w:t>
      </w:r>
      <w:proofErr w:type="spellStart"/>
      <w:r>
        <w:rPr>
          <w:sz w:val="16"/>
          <w:szCs w:val="16"/>
        </w:rPr>
        <w:t>Division</w:t>
      </w:r>
      <w:proofErr w:type="spellEnd"/>
      <w:r>
        <w:rPr>
          <w:sz w:val="16"/>
          <w:szCs w:val="16"/>
        </w:rPr>
        <w:t xml:space="preserve"> Duplex</w:t>
      </w:r>
      <w:r w:rsidRPr="00C703D7">
        <w:rPr>
          <w:sz w:val="16"/>
          <w:szCs w:val="16"/>
        </w:rPr>
        <w:t xml:space="preserve"> (</w:t>
      </w:r>
      <w:proofErr w:type="spellStart"/>
      <w:r>
        <w:rPr>
          <w:rFonts w:eastAsia="Calibri" w:cs="Arial"/>
          <w:color w:val="000000"/>
          <w:sz w:val="16"/>
          <w:szCs w:val="16"/>
        </w:rPr>
        <w:t>időosztásos</w:t>
      </w:r>
      <w:proofErr w:type="spellEnd"/>
      <w:r>
        <w:rPr>
          <w:rFonts w:eastAsia="Calibri" w:cs="Arial"/>
          <w:color w:val="000000"/>
          <w:sz w:val="16"/>
          <w:szCs w:val="16"/>
        </w:rPr>
        <w:t xml:space="preserve"> duplex</w:t>
      </w:r>
      <w:r>
        <w:rPr>
          <w:rFonts w:eastAsia="Calibri" w:cs="Arial"/>
          <w:color w:val="000000"/>
          <w:szCs w:val="22"/>
        </w:rPr>
        <w:t>)</w:t>
      </w:r>
    </w:p>
  </w:footnote>
  <w:footnote w:id="24">
    <w:p w14:paraId="707A98E3" w14:textId="77777777" w:rsidR="00E07077" w:rsidRDefault="00E07077" w:rsidP="00E0707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0328D">
        <w:rPr>
          <w:sz w:val="16"/>
          <w:szCs w:val="16"/>
        </w:rPr>
        <w:t xml:space="preserve">MFCN: Mobile/Fixed </w:t>
      </w:r>
      <w:proofErr w:type="spellStart"/>
      <w:r w:rsidRPr="0060328D">
        <w:rPr>
          <w:sz w:val="16"/>
          <w:szCs w:val="16"/>
        </w:rPr>
        <w:t>Communication</w:t>
      </w:r>
      <w:proofErr w:type="spellEnd"/>
      <w:r w:rsidRPr="0060328D">
        <w:rPr>
          <w:sz w:val="16"/>
          <w:szCs w:val="16"/>
        </w:rPr>
        <w:t xml:space="preserve"> Network </w:t>
      </w:r>
      <w:r>
        <w:rPr>
          <w:sz w:val="16"/>
          <w:szCs w:val="16"/>
        </w:rPr>
        <w:t>(</w:t>
      </w:r>
      <w:r w:rsidRPr="0060328D">
        <w:rPr>
          <w:sz w:val="16"/>
          <w:szCs w:val="16"/>
        </w:rPr>
        <w:t>mozgó és ál</w:t>
      </w:r>
      <w:r>
        <w:rPr>
          <w:sz w:val="16"/>
          <w:szCs w:val="16"/>
        </w:rPr>
        <w:t>landóhelyű hírközlési hálózatok)</w:t>
      </w:r>
    </w:p>
  </w:footnote>
  <w:footnote w:id="25">
    <w:p w14:paraId="7071C363" w14:textId="77777777" w:rsidR="00371AFA" w:rsidRDefault="00371AFA" w:rsidP="00371A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Rádióspektrum P</w:t>
      </w:r>
      <w:r w:rsidRPr="00365308">
        <w:rPr>
          <w:sz w:val="16"/>
          <w:szCs w:val="16"/>
        </w:rPr>
        <w:t xml:space="preserve">olitikai csoport </w:t>
      </w:r>
      <w:r>
        <w:rPr>
          <w:sz w:val="16"/>
          <w:szCs w:val="16"/>
        </w:rPr>
        <w:t xml:space="preserve">- </w:t>
      </w:r>
      <w:proofErr w:type="spellStart"/>
      <w:r w:rsidRPr="00365308">
        <w:rPr>
          <w:sz w:val="16"/>
          <w:szCs w:val="16"/>
        </w:rPr>
        <w:t>Radio</w:t>
      </w:r>
      <w:proofErr w:type="spellEnd"/>
      <w:r w:rsidRPr="00365308">
        <w:rPr>
          <w:sz w:val="16"/>
          <w:szCs w:val="16"/>
        </w:rPr>
        <w:t xml:space="preserve"> </w:t>
      </w:r>
      <w:proofErr w:type="spellStart"/>
      <w:r w:rsidRPr="00365308">
        <w:rPr>
          <w:sz w:val="16"/>
          <w:szCs w:val="16"/>
        </w:rPr>
        <w:t>Spect</w:t>
      </w:r>
      <w:r>
        <w:rPr>
          <w:sz w:val="16"/>
          <w:szCs w:val="16"/>
        </w:rPr>
        <w:t>rum</w:t>
      </w:r>
      <w:proofErr w:type="spellEnd"/>
      <w:r>
        <w:rPr>
          <w:sz w:val="16"/>
          <w:szCs w:val="16"/>
        </w:rPr>
        <w:t xml:space="preserve"> Policy Group, </w:t>
      </w:r>
      <w:r w:rsidRPr="00365308">
        <w:rPr>
          <w:sz w:val="16"/>
          <w:szCs w:val="16"/>
        </w:rPr>
        <w:t>RSPG</w:t>
      </w:r>
    </w:p>
  </w:footnote>
  <w:footnote w:id="26">
    <w:p w14:paraId="5761A0F4" w14:textId="77777777" w:rsidR="00371AFA" w:rsidRDefault="00371AFA" w:rsidP="00371A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5308">
        <w:rPr>
          <w:sz w:val="16"/>
          <w:szCs w:val="16"/>
        </w:rPr>
        <w:t>2016. novemberi, 2018. januári és 2019. januári RSPG szakvélemény</w:t>
      </w:r>
      <w:r>
        <w:rPr>
          <w:sz w:val="16"/>
          <w:szCs w:val="16"/>
        </w:rPr>
        <w:t xml:space="preserve">: </w:t>
      </w:r>
      <w:r w:rsidRPr="00365308">
        <w:rPr>
          <w:sz w:val="16"/>
          <w:szCs w:val="16"/>
        </w:rPr>
        <w:t>https://rspg-spectrum.eu/rspg-opinions-main-deliverables/</w:t>
      </w:r>
    </w:p>
  </w:footnote>
  <w:footnote w:id="27">
    <w:p w14:paraId="5768915F" w14:textId="77777777" w:rsidR="00371AFA" w:rsidRDefault="00371AFA" w:rsidP="00371A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5308">
        <w:t>h</w:t>
      </w:r>
      <w:r w:rsidRPr="00365308">
        <w:rPr>
          <w:sz w:val="16"/>
          <w:szCs w:val="16"/>
        </w:rPr>
        <w:t>ttps://digital-strategy.ec.europa.eu/en/library/radio-spectrum-cept-mandates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88F"/>
    <w:multiLevelType w:val="hybridMultilevel"/>
    <w:tmpl w:val="853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3F8"/>
    <w:multiLevelType w:val="hybridMultilevel"/>
    <w:tmpl w:val="4678CB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0AA8"/>
    <w:multiLevelType w:val="hybridMultilevel"/>
    <w:tmpl w:val="6AAE1E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621C"/>
    <w:multiLevelType w:val="hybridMultilevel"/>
    <w:tmpl w:val="508A54B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05A69"/>
    <w:multiLevelType w:val="hybridMultilevel"/>
    <w:tmpl w:val="602016F4"/>
    <w:lvl w:ilvl="0" w:tplc="D97CFA84">
      <w:start w:val="2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421B"/>
    <w:multiLevelType w:val="hybridMultilevel"/>
    <w:tmpl w:val="78A27942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2B1066"/>
    <w:multiLevelType w:val="hybridMultilevel"/>
    <w:tmpl w:val="1550E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3362A"/>
    <w:multiLevelType w:val="hybridMultilevel"/>
    <w:tmpl w:val="41C4690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51429"/>
    <w:multiLevelType w:val="hybridMultilevel"/>
    <w:tmpl w:val="7AD6E5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7D4"/>
    <w:multiLevelType w:val="hybridMultilevel"/>
    <w:tmpl w:val="432C43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52ABC"/>
    <w:multiLevelType w:val="hybridMultilevel"/>
    <w:tmpl w:val="5BCAEF94"/>
    <w:lvl w:ilvl="0" w:tplc="5952F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531BB"/>
    <w:multiLevelType w:val="hybridMultilevel"/>
    <w:tmpl w:val="D83E5D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83189"/>
    <w:multiLevelType w:val="hybridMultilevel"/>
    <w:tmpl w:val="21AE8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4416F"/>
    <w:multiLevelType w:val="hybridMultilevel"/>
    <w:tmpl w:val="CEAC43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905C5"/>
    <w:multiLevelType w:val="hybridMultilevel"/>
    <w:tmpl w:val="287C91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C6944"/>
    <w:multiLevelType w:val="hybridMultilevel"/>
    <w:tmpl w:val="A06A84E6"/>
    <w:lvl w:ilvl="0" w:tplc="5952F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74BB"/>
    <w:multiLevelType w:val="hybridMultilevel"/>
    <w:tmpl w:val="F1D064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65A38"/>
    <w:multiLevelType w:val="hybridMultilevel"/>
    <w:tmpl w:val="C2D29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D36B5"/>
    <w:multiLevelType w:val="hybridMultilevel"/>
    <w:tmpl w:val="1826C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871A4"/>
    <w:multiLevelType w:val="hybridMultilevel"/>
    <w:tmpl w:val="E122845A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3ED2C89"/>
    <w:multiLevelType w:val="hybridMultilevel"/>
    <w:tmpl w:val="FFC253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A3DFB"/>
    <w:multiLevelType w:val="multilevel"/>
    <w:tmpl w:val="ACF4831E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9F2B3B"/>
    <w:multiLevelType w:val="hybridMultilevel"/>
    <w:tmpl w:val="77B002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15CF4"/>
    <w:multiLevelType w:val="hybridMultilevel"/>
    <w:tmpl w:val="96D4A80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62442E0"/>
    <w:multiLevelType w:val="hybridMultilevel"/>
    <w:tmpl w:val="985814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DE4187"/>
    <w:multiLevelType w:val="hybridMultilevel"/>
    <w:tmpl w:val="44A4DA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82C3F"/>
    <w:multiLevelType w:val="hybridMultilevel"/>
    <w:tmpl w:val="25F6B730"/>
    <w:lvl w:ilvl="0" w:tplc="FF448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71E0B"/>
    <w:multiLevelType w:val="hybridMultilevel"/>
    <w:tmpl w:val="B1B292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3"/>
  </w:num>
  <w:num w:numId="8">
    <w:abstractNumId w:val="25"/>
  </w:num>
  <w:num w:numId="9">
    <w:abstractNumId w:val="13"/>
  </w:num>
  <w:num w:numId="10">
    <w:abstractNumId w:val="10"/>
  </w:num>
  <w:num w:numId="11">
    <w:abstractNumId w:val="23"/>
  </w:num>
  <w:num w:numId="12">
    <w:abstractNumId w:val="18"/>
  </w:num>
  <w:num w:numId="13">
    <w:abstractNumId w:val="8"/>
  </w:num>
  <w:num w:numId="14">
    <w:abstractNumId w:val="27"/>
  </w:num>
  <w:num w:numId="15">
    <w:abstractNumId w:val="2"/>
  </w:num>
  <w:num w:numId="16">
    <w:abstractNumId w:val="9"/>
  </w:num>
  <w:num w:numId="17">
    <w:abstractNumId w:val="15"/>
  </w:num>
  <w:num w:numId="18">
    <w:abstractNumId w:val="17"/>
  </w:num>
  <w:num w:numId="19">
    <w:abstractNumId w:val="14"/>
  </w:num>
  <w:num w:numId="20">
    <w:abstractNumId w:val="21"/>
  </w:num>
  <w:num w:numId="21">
    <w:abstractNumId w:val="4"/>
  </w:num>
  <w:num w:numId="22">
    <w:abstractNumId w:val="6"/>
  </w:num>
  <w:num w:numId="23">
    <w:abstractNumId w:val="11"/>
  </w:num>
  <w:num w:numId="24">
    <w:abstractNumId w:val="0"/>
  </w:num>
  <w:num w:numId="25">
    <w:abstractNumId w:val="16"/>
  </w:num>
  <w:num w:numId="26">
    <w:abstractNumId w:val="24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1B"/>
    <w:rsid w:val="00016390"/>
    <w:rsid w:val="00036DF4"/>
    <w:rsid w:val="000478E0"/>
    <w:rsid w:val="00061AC2"/>
    <w:rsid w:val="00065704"/>
    <w:rsid w:val="00067995"/>
    <w:rsid w:val="00070331"/>
    <w:rsid w:val="00070CD2"/>
    <w:rsid w:val="00071FBD"/>
    <w:rsid w:val="000721C9"/>
    <w:rsid w:val="0009369A"/>
    <w:rsid w:val="000A751B"/>
    <w:rsid w:val="000A7E2D"/>
    <w:rsid w:val="000B14B4"/>
    <w:rsid w:val="000B2274"/>
    <w:rsid w:val="000B32AD"/>
    <w:rsid w:val="000C596E"/>
    <w:rsid w:val="000E0A73"/>
    <w:rsid w:val="000F7F29"/>
    <w:rsid w:val="0010580F"/>
    <w:rsid w:val="001207A6"/>
    <w:rsid w:val="00126596"/>
    <w:rsid w:val="00126BC9"/>
    <w:rsid w:val="00126CE7"/>
    <w:rsid w:val="00132EEF"/>
    <w:rsid w:val="00140BDF"/>
    <w:rsid w:val="00143D5A"/>
    <w:rsid w:val="00153510"/>
    <w:rsid w:val="00154FDB"/>
    <w:rsid w:val="00167B8C"/>
    <w:rsid w:val="001718A3"/>
    <w:rsid w:val="00181FD4"/>
    <w:rsid w:val="00182299"/>
    <w:rsid w:val="00197262"/>
    <w:rsid w:val="001A0C7E"/>
    <w:rsid w:val="001B044E"/>
    <w:rsid w:val="001D2FF8"/>
    <w:rsid w:val="001E1EFE"/>
    <w:rsid w:val="001E3954"/>
    <w:rsid w:val="001E6F89"/>
    <w:rsid w:val="001F18EF"/>
    <w:rsid w:val="001F4311"/>
    <w:rsid w:val="00203AF5"/>
    <w:rsid w:val="0021444B"/>
    <w:rsid w:val="0023547A"/>
    <w:rsid w:val="00241F6A"/>
    <w:rsid w:val="00250A00"/>
    <w:rsid w:val="00261918"/>
    <w:rsid w:val="00263DD1"/>
    <w:rsid w:val="00267A91"/>
    <w:rsid w:val="002773C1"/>
    <w:rsid w:val="00282BBE"/>
    <w:rsid w:val="00291588"/>
    <w:rsid w:val="002967E4"/>
    <w:rsid w:val="00296E0C"/>
    <w:rsid w:val="002A3527"/>
    <w:rsid w:val="002B1057"/>
    <w:rsid w:val="002B15FB"/>
    <w:rsid w:val="002C1862"/>
    <w:rsid w:val="002C2BCE"/>
    <w:rsid w:val="002D49E7"/>
    <w:rsid w:val="002E364A"/>
    <w:rsid w:val="002E4EFF"/>
    <w:rsid w:val="002F0D37"/>
    <w:rsid w:val="002F2117"/>
    <w:rsid w:val="0030261B"/>
    <w:rsid w:val="0030649E"/>
    <w:rsid w:val="0031169A"/>
    <w:rsid w:val="00317D24"/>
    <w:rsid w:val="00320039"/>
    <w:rsid w:val="003465BD"/>
    <w:rsid w:val="00347987"/>
    <w:rsid w:val="00350553"/>
    <w:rsid w:val="003521F3"/>
    <w:rsid w:val="003529E0"/>
    <w:rsid w:val="00353292"/>
    <w:rsid w:val="00354052"/>
    <w:rsid w:val="003636C0"/>
    <w:rsid w:val="0036699D"/>
    <w:rsid w:val="00371AFA"/>
    <w:rsid w:val="00376A20"/>
    <w:rsid w:val="003800F3"/>
    <w:rsid w:val="00382922"/>
    <w:rsid w:val="00385678"/>
    <w:rsid w:val="00391940"/>
    <w:rsid w:val="003927F1"/>
    <w:rsid w:val="00397019"/>
    <w:rsid w:val="003A1314"/>
    <w:rsid w:val="003C658D"/>
    <w:rsid w:val="003F45B4"/>
    <w:rsid w:val="00407039"/>
    <w:rsid w:val="00424DCA"/>
    <w:rsid w:val="00434C53"/>
    <w:rsid w:val="00435F56"/>
    <w:rsid w:val="0043754B"/>
    <w:rsid w:val="00443EAC"/>
    <w:rsid w:val="00451C56"/>
    <w:rsid w:val="00453105"/>
    <w:rsid w:val="00454A69"/>
    <w:rsid w:val="00473FAE"/>
    <w:rsid w:val="004748A1"/>
    <w:rsid w:val="00481704"/>
    <w:rsid w:val="00482A32"/>
    <w:rsid w:val="00486B2E"/>
    <w:rsid w:val="004A7095"/>
    <w:rsid w:val="004B7572"/>
    <w:rsid w:val="004D3BEB"/>
    <w:rsid w:val="004E509A"/>
    <w:rsid w:val="004F4FDF"/>
    <w:rsid w:val="00505F88"/>
    <w:rsid w:val="005060C9"/>
    <w:rsid w:val="0050786C"/>
    <w:rsid w:val="005104B0"/>
    <w:rsid w:val="00513CCB"/>
    <w:rsid w:val="00521ADE"/>
    <w:rsid w:val="00527981"/>
    <w:rsid w:val="00527F1C"/>
    <w:rsid w:val="00527F59"/>
    <w:rsid w:val="005617A3"/>
    <w:rsid w:val="005762D5"/>
    <w:rsid w:val="00576980"/>
    <w:rsid w:val="00581B81"/>
    <w:rsid w:val="0058711A"/>
    <w:rsid w:val="00597B64"/>
    <w:rsid w:val="005A0F0C"/>
    <w:rsid w:val="005B76D7"/>
    <w:rsid w:val="005C4E02"/>
    <w:rsid w:val="005E7487"/>
    <w:rsid w:val="005F0E2A"/>
    <w:rsid w:val="0060711E"/>
    <w:rsid w:val="00610CB1"/>
    <w:rsid w:val="00623F06"/>
    <w:rsid w:val="006259EB"/>
    <w:rsid w:val="00625FFC"/>
    <w:rsid w:val="0063566E"/>
    <w:rsid w:val="0063640E"/>
    <w:rsid w:val="00637EA7"/>
    <w:rsid w:val="00644839"/>
    <w:rsid w:val="006527BE"/>
    <w:rsid w:val="00654539"/>
    <w:rsid w:val="00654852"/>
    <w:rsid w:val="00664028"/>
    <w:rsid w:val="00667F0A"/>
    <w:rsid w:val="006704B2"/>
    <w:rsid w:val="00670C9D"/>
    <w:rsid w:val="006716B0"/>
    <w:rsid w:val="00676BC0"/>
    <w:rsid w:val="00681028"/>
    <w:rsid w:val="00683118"/>
    <w:rsid w:val="006B0EC5"/>
    <w:rsid w:val="006D5268"/>
    <w:rsid w:val="006D6788"/>
    <w:rsid w:val="006E7860"/>
    <w:rsid w:val="006F527F"/>
    <w:rsid w:val="006F6BBD"/>
    <w:rsid w:val="006F6EC1"/>
    <w:rsid w:val="00714C77"/>
    <w:rsid w:val="0072391A"/>
    <w:rsid w:val="007312B2"/>
    <w:rsid w:val="007315C3"/>
    <w:rsid w:val="00733621"/>
    <w:rsid w:val="00747D1E"/>
    <w:rsid w:val="00754378"/>
    <w:rsid w:val="00755669"/>
    <w:rsid w:val="0075723C"/>
    <w:rsid w:val="00764737"/>
    <w:rsid w:val="00764854"/>
    <w:rsid w:val="00767C83"/>
    <w:rsid w:val="0077502F"/>
    <w:rsid w:val="007D702C"/>
    <w:rsid w:val="007E4FD1"/>
    <w:rsid w:val="007E5CF9"/>
    <w:rsid w:val="007F6986"/>
    <w:rsid w:val="00817223"/>
    <w:rsid w:val="00820368"/>
    <w:rsid w:val="008348CD"/>
    <w:rsid w:val="008371A7"/>
    <w:rsid w:val="00837579"/>
    <w:rsid w:val="0084053D"/>
    <w:rsid w:val="008416C6"/>
    <w:rsid w:val="00842524"/>
    <w:rsid w:val="0085393C"/>
    <w:rsid w:val="008603B9"/>
    <w:rsid w:val="008726B2"/>
    <w:rsid w:val="008731EE"/>
    <w:rsid w:val="008850E9"/>
    <w:rsid w:val="00887C30"/>
    <w:rsid w:val="00890B66"/>
    <w:rsid w:val="00893E37"/>
    <w:rsid w:val="00897405"/>
    <w:rsid w:val="008A1C73"/>
    <w:rsid w:val="008A3B0E"/>
    <w:rsid w:val="008B0565"/>
    <w:rsid w:val="008B3D97"/>
    <w:rsid w:val="008C4BAA"/>
    <w:rsid w:val="008D34D1"/>
    <w:rsid w:val="00907102"/>
    <w:rsid w:val="009075E4"/>
    <w:rsid w:val="00910008"/>
    <w:rsid w:val="0091103E"/>
    <w:rsid w:val="009135C3"/>
    <w:rsid w:val="00916150"/>
    <w:rsid w:val="0091783F"/>
    <w:rsid w:val="00924035"/>
    <w:rsid w:val="00950EB5"/>
    <w:rsid w:val="009724C1"/>
    <w:rsid w:val="00975EF5"/>
    <w:rsid w:val="00982460"/>
    <w:rsid w:val="00993E1D"/>
    <w:rsid w:val="00997349"/>
    <w:rsid w:val="009A25F4"/>
    <w:rsid w:val="009B4D74"/>
    <w:rsid w:val="009B5D48"/>
    <w:rsid w:val="009B623F"/>
    <w:rsid w:val="009B63D3"/>
    <w:rsid w:val="009C1491"/>
    <w:rsid w:val="009C3C1D"/>
    <w:rsid w:val="009C4E7F"/>
    <w:rsid w:val="009C5C0F"/>
    <w:rsid w:val="009D1CB7"/>
    <w:rsid w:val="009E2DF4"/>
    <w:rsid w:val="009E4403"/>
    <w:rsid w:val="009E752F"/>
    <w:rsid w:val="00A22C6E"/>
    <w:rsid w:val="00A25F67"/>
    <w:rsid w:val="00A33A63"/>
    <w:rsid w:val="00A52F1D"/>
    <w:rsid w:val="00A54382"/>
    <w:rsid w:val="00A556AB"/>
    <w:rsid w:val="00A5677E"/>
    <w:rsid w:val="00A70A4E"/>
    <w:rsid w:val="00A87B8C"/>
    <w:rsid w:val="00A955CF"/>
    <w:rsid w:val="00A957F6"/>
    <w:rsid w:val="00AA0E94"/>
    <w:rsid w:val="00AA1FD0"/>
    <w:rsid w:val="00AB1795"/>
    <w:rsid w:val="00AB76B4"/>
    <w:rsid w:val="00AC33CF"/>
    <w:rsid w:val="00AD36BC"/>
    <w:rsid w:val="00AD463C"/>
    <w:rsid w:val="00AF115C"/>
    <w:rsid w:val="00B01B44"/>
    <w:rsid w:val="00B16F38"/>
    <w:rsid w:val="00B20692"/>
    <w:rsid w:val="00B23BC5"/>
    <w:rsid w:val="00B25C38"/>
    <w:rsid w:val="00B45A56"/>
    <w:rsid w:val="00B469E0"/>
    <w:rsid w:val="00B5011D"/>
    <w:rsid w:val="00B53E39"/>
    <w:rsid w:val="00B543F4"/>
    <w:rsid w:val="00B629AB"/>
    <w:rsid w:val="00B70C51"/>
    <w:rsid w:val="00B75950"/>
    <w:rsid w:val="00B8148B"/>
    <w:rsid w:val="00B83255"/>
    <w:rsid w:val="00B83819"/>
    <w:rsid w:val="00B868C3"/>
    <w:rsid w:val="00B93685"/>
    <w:rsid w:val="00BD27D0"/>
    <w:rsid w:val="00BF4662"/>
    <w:rsid w:val="00C06DBF"/>
    <w:rsid w:val="00C1109C"/>
    <w:rsid w:val="00C20659"/>
    <w:rsid w:val="00C24FE2"/>
    <w:rsid w:val="00C331A6"/>
    <w:rsid w:val="00C3618B"/>
    <w:rsid w:val="00C4554C"/>
    <w:rsid w:val="00C610E3"/>
    <w:rsid w:val="00C658D2"/>
    <w:rsid w:val="00C74A04"/>
    <w:rsid w:val="00C755ED"/>
    <w:rsid w:val="00C90C88"/>
    <w:rsid w:val="00C92674"/>
    <w:rsid w:val="00CB2CA0"/>
    <w:rsid w:val="00CB3691"/>
    <w:rsid w:val="00CB47FC"/>
    <w:rsid w:val="00CE2267"/>
    <w:rsid w:val="00CE6C4F"/>
    <w:rsid w:val="00CF5736"/>
    <w:rsid w:val="00D02082"/>
    <w:rsid w:val="00D049B6"/>
    <w:rsid w:val="00D13B82"/>
    <w:rsid w:val="00D2325A"/>
    <w:rsid w:val="00D37912"/>
    <w:rsid w:val="00D6148D"/>
    <w:rsid w:val="00D64C04"/>
    <w:rsid w:val="00D92433"/>
    <w:rsid w:val="00DA5D2B"/>
    <w:rsid w:val="00DA60ED"/>
    <w:rsid w:val="00DA6C1B"/>
    <w:rsid w:val="00DB2CCF"/>
    <w:rsid w:val="00DB699D"/>
    <w:rsid w:val="00DC11DA"/>
    <w:rsid w:val="00DD3D14"/>
    <w:rsid w:val="00DD543D"/>
    <w:rsid w:val="00DE2988"/>
    <w:rsid w:val="00DE4EF2"/>
    <w:rsid w:val="00DE6A77"/>
    <w:rsid w:val="00DF081A"/>
    <w:rsid w:val="00DF1C30"/>
    <w:rsid w:val="00E009A5"/>
    <w:rsid w:val="00E023EF"/>
    <w:rsid w:val="00E031A2"/>
    <w:rsid w:val="00E07077"/>
    <w:rsid w:val="00E30AFF"/>
    <w:rsid w:val="00E474AD"/>
    <w:rsid w:val="00E538C8"/>
    <w:rsid w:val="00E56E72"/>
    <w:rsid w:val="00E578B5"/>
    <w:rsid w:val="00E60649"/>
    <w:rsid w:val="00E91DB1"/>
    <w:rsid w:val="00EA0C9B"/>
    <w:rsid w:val="00EA3578"/>
    <w:rsid w:val="00EB1599"/>
    <w:rsid w:val="00EB2BF2"/>
    <w:rsid w:val="00ED12D0"/>
    <w:rsid w:val="00EE0262"/>
    <w:rsid w:val="00EF0975"/>
    <w:rsid w:val="00EF3FC3"/>
    <w:rsid w:val="00F1262E"/>
    <w:rsid w:val="00F126A8"/>
    <w:rsid w:val="00F165E8"/>
    <w:rsid w:val="00F2798F"/>
    <w:rsid w:val="00F34858"/>
    <w:rsid w:val="00F44B69"/>
    <w:rsid w:val="00F56F78"/>
    <w:rsid w:val="00F6651B"/>
    <w:rsid w:val="00F727A4"/>
    <w:rsid w:val="00F74622"/>
    <w:rsid w:val="00F854F0"/>
    <w:rsid w:val="00FA098A"/>
    <w:rsid w:val="00FA241F"/>
    <w:rsid w:val="00FC435A"/>
    <w:rsid w:val="00FF0685"/>
    <w:rsid w:val="00FF069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36738"/>
  <w15:docId w15:val="{1C627A75-A748-4CAA-B332-0A55C8B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6B2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 Char,Char,DNV-FT Char,DNV-FT,DNV-FT Char Char Char,Char1,Footnote Text Char Char1,Footnote Text Char4 Char Char,Footnote Text Char1 Char1 Char1 Char,Footnote Text Char Char1 Char1 Char Char,ABA Footnote Text,DNV-,ALTS FOOTNOTE Char"/>
    <w:basedOn w:val="Norml"/>
    <w:link w:val="LbjegyzetszvegChar"/>
    <w:uiPriority w:val="99"/>
    <w:unhideWhenUsed/>
    <w:qFormat/>
    <w:rsid w:val="003919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 Char Char,Char Char,DNV-FT Char Char,DNV-FT Char1,DNV-FT Char Char Char Char,Char1 Char,Footnote Text Char Char1 Char,Footnote Text Char4 Char Char Char,Footnote Text Char1 Char1 Char1 Char Char,ABA Footnote Text Char,DNV- Char"/>
    <w:basedOn w:val="Bekezdsalapbettpusa"/>
    <w:link w:val="Lbjegyzetszveg"/>
    <w:uiPriority w:val="99"/>
    <w:rsid w:val="00391940"/>
    <w:rPr>
      <w:sz w:val="20"/>
      <w:szCs w:val="20"/>
    </w:rPr>
  </w:style>
  <w:style w:type="character" w:styleId="Lbjegyzet-hivatkozs">
    <w:name w:val="footnote reference"/>
    <w:aliases w:val="Footnote symbol,Footnote,Nota,Footnote Reference/,Appel note de bas de p,Style 12,(NECG) Footnote Reference,Style 124,o,Style 13,FR,Style 17,Style 3,Appel note de bas de p + 11 pt,Italic,Appel note de bas de p1,Times 10 Point"/>
    <w:basedOn w:val="Bekezdsalapbettpusa"/>
    <w:uiPriority w:val="99"/>
    <w:unhideWhenUsed/>
    <w:rsid w:val="0039194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2F0D3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800F3"/>
    <w:pPr>
      <w:ind w:left="720"/>
      <w:contextualSpacing/>
    </w:pPr>
  </w:style>
  <w:style w:type="table" w:styleId="Kzepesrcs24jellszn">
    <w:name w:val="Medium Grid 2 Accent 4"/>
    <w:basedOn w:val="Normltblzat"/>
    <w:uiPriority w:val="68"/>
    <w:rsid w:val="00F746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fej">
    <w:name w:val="header"/>
    <w:basedOn w:val="Norml"/>
    <w:link w:val="lfejChar"/>
    <w:uiPriority w:val="99"/>
    <w:unhideWhenUsed/>
    <w:rsid w:val="0059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7B64"/>
  </w:style>
  <w:style w:type="paragraph" w:styleId="llb">
    <w:name w:val="footer"/>
    <w:basedOn w:val="Norml"/>
    <w:link w:val="llbChar"/>
    <w:uiPriority w:val="99"/>
    <w:unhideWhenUsed/>
    <w:rsid w:val="0059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7B64"/>
  </w:style>
  <w:style w:type="paragraph" w:customStyle="1" w:styleId="Behzottbekezdsnmhh">
    <w:name w:val="Behúzott_bekezdés_nmhh"/>
    <w:basedOn w:val="Norml"/>
    <w:link w:val="BehzottbekezdsnmhhChar"/>
    <w:qFormat/>
    <w:rsid w:val="00C1109C"/>
    <w:pPr>
      <w:spacing w:after="120"/>
      <w:ind w:firstLine="357"/>
      <w:jc w:val="both"/>
    </w:pPr>
    <w:rPr>
      <w:rFonts w:cstheme="minorHAnsi"/>
      <w:sz w:val="20"/>
      <w:szCs w:val="20"/>
    </w:rPr>
  </w:style>
  <w:style w:type="character" w:customStyle="1" w:styleId="BehzottbekezdsnmhhChar">
    <w:name w:val="Behúzott_bekezdés_nmhh Char"/>
    <w:basedOn w:val="Bekezdsalapbettpusa"/>
    <w:link w:val="Behzottbekezdsnmhh"/>
    <w:rsid w:val="00C1109C"/>
    <w:rPr>
      <w:rFonts w:cstheme="minorHAns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FD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955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55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55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55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55CF"/>
    <w:rPr>
      <w:b/>
      <w:bCs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B5011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AF115C"/>
    <w:rPr>
      <w:color w:val="800080" w:themeColor="followed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37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37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db.cept.org/download/1486" TargetMode="External"/><Relationship Id="rId2" Type="http://schemas.openxmlformats.org/officeDocument/2006/relationships/hyperlink" Target="https://docdb.cept.org/download/1455" TargetMode="External"/><Relationship Id="rId1" Type="http://schemas.openxmlformats.org/officeDocument/2006/relationships/hyperlink" Target="https://docdb.cept.org/download/1486" TargetMode="External"/><Relationship Id="rId5" Type="http://schemas.openxmlformats.org/officeDocument/2006/relationships/hyperlink" Target="http://nmhh.hu/dokumentum/189921/uhf_nemzeti_utemterv.pdf" TargetMode="External"/><Relationship Id="rId4" Type="http://schemas.openxmlformats.org/officeDocument/2006/relationships/hyperlink" Target="https://docdb.cept.org/document/9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C21D-E77C-4A25-A5A5-7C1185B8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4747</Words>
  <Characters>32760</Characters>
  <Application>Microsoft Office Word</Application>
  <DocSecurity>0</DocSecurity>
  <Lines>273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37433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Ulelay Emília dr.</dc:creator>
  <cp:lastModifiedBy>Ulelay Emília dr.</cp:lastModifiedBy>
  <cp:revision>9</cp:revision>
  <dcterms:created xsi:type="dcterms:W3CDTF">2022-02-18T11:53:00Z</dcterms:created>
  <dcterms:modified xsi:type="dcterms:W3CDTF">2022-02-18T12:12:00Z</dcterms:modified>
</cp:coreProperties>
</file>