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70" w:rsidRPr="0067696B" w:rsidRDefault="00A50970" w:rsidP="00A50970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67696B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A50970" w:rsidRPr="0067696B" w:rsidRDefault="00A50970" w:rsidP="00A50970">
      <w:pPr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A50970" w:rsidRPr="0067696B" w:rsidRDefault="00A50970" w:rsidP="00A50970">
      <w:pPr>
        <w:keepNext/>
        <w:keepLines/>
        <w:spacing w:before="240" w:after="240" w:line="240" w:lineRule="auto"/>
        <w:ind w:left="284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:rsidR="00A50970" w:rsidRPr="0067696B" w:rsidRDefault="00A50970" w:rsidP="00A50970">
      <w:pPr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A50970" w:rsidRPr="0067696B" w:rsidRDefault="00A50970" w:rsidP="00A50970">
      <w:pPr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A50970" w:rsidRPr="0067696B" w:rsidRDefault="00A50970" w:rsidP="00A50970">
      <w:pPr>
        <w:keepNext/>
        <w:keepLines/>
        <w:spacing w:before="240" w:after="240" w:line="240" w:lineRule="auto"/>
        <w:ind w:left="284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 w:rsidRPr="0067696B">
        <w:rPr>
          <w:rFonts w:ascii="Arial" w:eastAsiaTheme="majorEastAsia" w:hAnsi="Arial" w:cs="Arial"/>
          <w:b/>
          <w:color w:val="002060"/>
          <w:vertAlign w:val="superscript"/>
        </w:rPr>
        <w:footnoteReference w:id="1"/>
      </w: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A50970" w:rsidRPr="0067696B" w:rsidTr="00E94471">
        <w:trPr>
          <w:trHeight w:hRule="exact" w:val="284"/>
        </w:trPr>
        <w:tc>
          <w:tcPr>
            <w:tcW w:w="154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67696B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50970" w:rsidRPr="0067696B" w:rsidTr="00E94471">
        <w:trPr>
          <w:cantSplit/>
          <w:trHeight w:hRule="exact" w:val="57"/>
        </w:trPr>
        <w:tc>
          <w:tcPr>
            <w:tcW w:w="154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154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A50970" w:rsidRPr="0067696B" w:rsidRDefault="00A50970" w:rsidP="00A50970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A50970" w:rsidRPr="0067696B" w:rsidTr="00E94471">
        <w:trPr>
          <w:trHeight w:hRule="exact" w:val="284"/>
        </w:trPr>
        <w:tc>
          <w:tcPr>
            <w:tcW w:w="154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 w:rsidRPr="0067696B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50970" w:rsidRPr="0067696B" w:rsidTr="00E94471">
        <w:trPr>
          <w:cantSplit/>
          <w:trHeight w:hRule="exact" w:val="57"/>
        </w:trPr>
        <w:tc>
          <w:tcPr>
            <w:tcW w:w="154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154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A50970" w:rsidRPr="0067696B" w:rsidRDefault="00A50970" w:rsidP="00A50970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A50970" w:rsidRPr="0067696B" w:rsidTr="00E94471">
        <w:trPr>
          <w:trHeight w:hRule="exact" w:val="284"/>
        </w:trPr>
        <w:tc>
          <w:tcPr>
            <w:tcW w:w="5954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cantSplit/>
          <w:trHeight w:hRule="exact" w:val="57"/>
        </w:trPr>
        <w:tc>
          <w:tcPr>
            <w:tcW w:w="5954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5954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A50970" w:rsidRPr="0067696B" w:rsidTr="00E94471">
        <w:trPr>
          <w:trHeight w:val="386"/>
        </w:trPr>
        <w:tc>
          <w:tcPr>
            <w:tcW w:w="9067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A50970" w:rsidRPr="0067696B" w:rsidTr="00E94471">
        <w:trPr>
          <w:trHeight w:hRule="exact" w:val="284"/>
        </w:trPr>
        <w:tc>
          <w:tcPr>
            <w:tcW w:w="1985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50970" w:rsidRPr="0067696B" w:rsidTr="00E94471">
        <w:trPr>
          <w:trHeight w:hRule="exact" w:val="57"/>
        </w:trPr>
        <w:tc>
          <w:tcPr>
            <w:tcW w:w="1985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1985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5. 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0970" w:rsidRPr="0067696B" w:rsidTr="00E94471">
        <w:trPr>
          <w:trHeight w:val="386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A50970" w:rsidRPr="0067696B" w:rsidRDefault="00A50970" w:rsidP="00A50970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A50970" w:rsidRPr="0067696B" w:rsidTr="00E9447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50970" w:rsidRPr="0067696B" w:rsidTr="00E94471">
        <w:trPr>
          <w:trHeight w:hRule="exact" w:val="57"/>
        </w:trPr>
        <w:tc>
          <w:tcPr>
            <w:tcW w:w="8647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50970" w:rsidRPr="0067696B" w:rsidTr="00E94471">
        <w:trPr>
          <w:trHeight w:hRule="exact" w:val="57"/>
        </w:trPr>
        <w:tc>
          <w:tcPr>
            <w:tcW w:w="8647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7"/>
        </w:trPr>
        <w:tc>
          <w:tcPr>
            <w:tcW w:w="8647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7"/>
        </w:trPr>
        <w:tc>
          <w:tcPr>
            <w:tcW w:w="8647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A50970" w:rsidRPr="0067696B" w:rsidTr="00E94471">
        <w:trPr>
          <w:trHeight w:val="386"/>
        </w:trPr>
        <w:tc>
          <w:tcPr>
            <w:tcW w:w="9072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7. 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0970" w:rsidRPr="0067696B" w:rsidTr="00E94471">
        <w:trPr>
          <w:trHeight w:val="386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0970" w:rsidRPr="0067696B" w:rsidTr="00E94471">
        <w:trPr>
          <w:trHeight w:val="386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A50970" w:rsidRPr="0067696B" w:rsidRDefault="00A50970" w:rsidP="00A50970">
      <w:pPr>
        <w:rPr>
          <w:rFonts w:ascii="Arial" w:hAnsi="Arial" w:cs="Arial"/>
          <w:sz w:val="20"/>
          <w:szCs w:val="20"/>
          <w:highlight w:val="yellow"/>
        </w:rPr>
      </w:pP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  <w:sectPr w:rsidR="00A50970" w:rsidRPr="0067696B" w:rsidSect="00662DA3">
          <w:headerReference w:type="default" r:id="rId6"/>
          <w:footerReference w:type="default" r:id="rId7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A50970" w:rsidRPr="0067696B" w:rsidRDefault="00A50970" w:rsidP="00A50970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before="240" w:after="240" w:line="240" w:lineRule="auto"/>
        <w:ind w:left="284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III. A MŰSORTERV</w:t>
      </w: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:rsidR="00A50970" w:rsidRPr="0067696B" w:rsidRDefault="00A50970" w:rsidP="00A50970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A50970" w:rsidRPr="0067696B" w:rsidTr="00E94471">
        <w:trPr>
          <w:trHeight w:val="2079"/>
        </w:trPr>
        <w:tc>
          <w:tcPr>
            <w:tcW w:w="14459" w:type="dxa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A50970" w:rsidRPr="0067696B" w:rsidTr="00E94471">
        <w:trPr>
          <w:trHeight w:hRule="exact" w:val="510"/>
        </w:trPr>
        <w:tc>
          <w:tcPr>
            <w:tcW w:w="3261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67696B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50970" w:rsidRPr="0067696B" w:rsidTr="00E94471">
        <w:trPr>
          <w:trHeight w:hRule="exact" w:val="510"/>
        </w:trPr>
        <w:tc>
          <w:tcPr>
            <w:tcW w:w="3261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3261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3261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1.3. AZ EGYES MŰSORSZÁMOK, MŰSORELEMEK, MŰSORTARTALMI ELEMEK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A50970" w:rsidRPr="0067696B" w:rsidTr="00E94471">
        <w:trPr>
          <w:trHeight w:hRule="exact" w:val="567"/>
        </w:trPr>
        <w:tc>
          <w:tcPr>
            <w:tcW w:w="10660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  <w:r w:rsidRPr="0067696B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67696B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A50970" w:rsidRPr="0067696B" w:rsidTr="00E94471">
        <w:trPr>
          <w:trHeight w:hRule="exact" w:val="510"/>
        </w:trPr>
        <w:tc>
          <w:tcPr>
            <w:tcW w:w="10660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10660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10660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10660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10660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SZÖVEG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bookmarkEnd w:id="8"/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MŰSORTERV EGYSÉGEK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A50970" w:rsidRPr="0067696B" w:rsidTr="00E94471">
        <w:trPr>
          <w:trHeight w:hRule="exact" w:val="567"/>
        </w:trPr>
        <w:tc>
          <w:tcPr>
            <w:tcW w:w="7655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A50970" w:rsidRPr="0067696B" w:rsidTr="00E94471">
        <w:trPr>
          <w:trHeight w:hRule="exact" w:val="510"/>
        </w:trPr>
        <w:tc>
          <w:tcPr>
            <w:tcW w:w="7655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7655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:rsidR="00A50970" w:rsidRPr="0067696B" w:rsidRDefault="00A50970" w:rsidP="00A50970">
      <w:r w:rsidRPr="0067696B">
        <w:br w:type="page"/>
      </w:r>
    </w:p>
    <w:p w:rsidR="00A50970" w:rsidRPr="0067696B" w:rsidRDefault="00A50970" w:rsidP="00A50970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1.5. A MAGYAR ZENEI MŰVEK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A50970" w:rsidRPr="0067696B" w:rsidTr="00E94471">
        <w:trPr>
          <w:trHeight w:hRule="exact" w:val="567"/>
        </w:trPr>
        <w:tc>
          <w:tcPr>
            <w:tcW w:w="7230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A50970" w:rsidRPr="0067696B" w:rsidTr="00E94471">
        <w:trPr>
          <w:trHeight w:hRule="exact" w:val="510"/>
        </w:trPr>
        <w:tc>
          <w:tcPr>
            <w:tcW w:w="7230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r w:rsidRPr="0067696B">
        <w:br w:type="page"/>
      </w:r>
    </w:p>
    <w:p w:rsidR="00A50970" w:rsidRPr="0067696B" w:rsidRDefault="00A50970" w:rsidP="00A50970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1.6. AZ EGYES MŰSORSZÁMOK, MŰSORELEMEK, MŰSORTARTALMI ELEMEK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A50970" w:rsidRPr="0067696B" w:rsidTr="00E94471">
        <w:trPr>
          <w:trHeight w:hRule="exact" w:val="567"/>
        </w:trPr>
        <w:tc>
          <w:tcPr>
            <w:tcW w:w="11057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  <w:r w:rsidRPr="0067696B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9"/>
            </w:r>
            <w:r w:rsidRPr="0067696B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A50970" w:rsidRPr="0067696B" w:rsidTr="00E94471">
        <w:trPr>
          <w:trHeight w:hRule="exact" w:val="510"/>
        </w:trPr>
        <w:tc>
          <w:tcPr>
            <w:tcW w:w="11057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11057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11057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11057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11057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SZÖVEG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1.7. AZ EGYES MŰSORTERV EGYSÉGEK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A50970" w:rsidRPr="0067696B" w:rsidTr="00E94471">
        <w:trPr>
          <w:trHeight w:hRule="exact" w:val="567"/>
        </w:trPr>
        <w:tc>
          <w:tcPr>
            <w:tcW w:w="7655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A50970" w:rsidRPr="0067696B" w:rsidTr="00E94471">
        <w:trPr>
          <w:trHeight w:hRule="exact" w:val="510"/>
        </w:trPr>
        <w:tc>
          <w:tcPr>
            <w:tcW w:w="7655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7655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895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bookmarkEnd w:id="10"/>
    <w:p w:rsidR="00A50970" w:rsidRPr="0067696B" w:rsidRDefault="00A50970" w:rsidP="00A50970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2. A PÁLYÁZÓ TERVEZETT HETI MŰSORSTRUKTÚRÁJA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3"/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4"/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5"/>
      </w:r>
    </w:p>
    <w:p w:rsidR="00A50970" w:rsidRPr="0067696B" w:rsidRDefault="00A50970" w:rsidP="00A50970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A50970" w:rsidRPr="0067696B" w:rsidTr="00E94471">
        <w:trPr>
          <w:trHeight w:hRule="exact" w:val="567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284"/>
        </w:trPr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r w:rsidRPr="0067696B">
        <w:br w:type="page"/>
      </w:r>
    </w:p>
    <w:p w:rsidR="00A50970" w:rsidRPr="0067696B" w:rsidRDefault="00A50970" w:rsidP="00A50970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  <w:sectPr w:rsidR="00A50970" w:rsidRPr="0067696B" w:rsidSect="004A4094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:rsidR="00A50970" w:rsidRPr="0067696B" w:rsidRDefault="00A50970" w:rsidP="00A50970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 MŰSORSTRUKTÚRÁBAN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6"/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7"/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:rsidR="00A50970" w:rsidRPr="0067696B" w:rsidRDefault="00A50970" w:rsidP="00A50970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50970" w:rsidRPr="0067696B" w:rsidTr="00E94471">
        <w:trPr>
          <w:trHeight w:val="130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3.4. A MŰSORSZÁMBAN HÁNY PERC AZ MTTV.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3.5. AMENNYIBEN A MŰSORSZÁMBAN VAN AZ MTTV. 83. §-ÁNAK MEGFELELŐ KÖZSZOLGÁLATI TARTALOM, AZ AZ MTTV. 83. § MELY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50970" w:rsidRPr="0067696B" w:rsidTr="00E94471">
        <w:trPr>
          <w:trHeight w:val="1701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r w:rsidRPr="0067696B">
        <w:br w:type="page"/>
      </w: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3.6. 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3.7. 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50970" w:rsidRPr="0067696B" w:rsidTr="00E94471">
        <w:trPr>
          <w:trHeight w:hRule="exact" w:val="1701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50970" w:rsidRPr="0067696B" w:rsidTr="00E94471">
        <w:trPr>
          <w:trHeight w:val="384"/>
        </w:trPr>
        <w:tc>
          <w:tcPr>
            <w:tcW w:w="9498" w:type="dxa"/>
            <w:vAlign w:val="center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/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  <w:sectPr w:rsidR="00A50970" w:rsidRPr="0067696B" w:rsidSect="004A4094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before="240" w:after="240" w:line="240" w:lineRule="auto"/>
        <w:ind w:left="284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IV. A PÁLYÁZÓ TULAJDONOSI SZERKEZETE</w:t>
      </w: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A50970" w:rsidRPr="0067696B" w:rsidTr="00E94471">
        <w:trPr>
          <w:trHeight w:val="356"/>
        </w:trPr>
        <w:tc>
          <w:tcPr>
            <w:tcW w:w="666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A50970" w:rsidRPr="0067696B" w:rsidTr="00E94471">
        <w:tc>
          <w:tcPr>
            <w:tcW w:w="666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A50970" w:rsidRPr="0067696B" w:rsidTr="00E94471">
        <w:trPr>
          <w:trHeight w:hRule="exact" w:val="510"/>
        </w:trPr>
        <w:tc>
          <w:tcPr>
            <w:tcW w:w="666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666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666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666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r w:rsidRPr="0067696B">
        <w:br w:type="page"/>
      </w:r>
    </w:p>
    <w:p w:rsidR="00A50970" w:rsidRPr="0067696B" w:rsidRDefault="00A50970" w:rsidP="00A50970">
      <w:pPr>
        <w:contextualSpacing/>
        <w:rPr>
          <w:rFonts w:ascii="Arial" w:hAnsi="Arial" w:cs="Arial"/>
          <w:b/>
          <w:sz w:val="20"/>
          <w:szCs w:val="20"/>
        </w:rPr>
      </w:pPr>
    </w:p>
    <w:p w:rsidR="00A50970" w:rsidRDefault="00A50970" w:rsidP="00A5097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2. A PÁLYÁZÓ AZ ALÁBBI TÁBLÁZAT SZERINT KÖTELES MEGADNI, HOGY A IV.1.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A50970" w:rsidRPr="0067696B" w:rsidTr="00E94471">
        <w:trPr>
          <w:trHeight w:val="356"/>
        </w:trPr>
        <w:tc>
          <w:tcPr>
            <w:tcW w:w="453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A50970" w:rsidRPr="0067696B" w:rsidTr="00E94471">
        <w:tc>
          <w:tcPr>
            <w:tcW w:w="453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A50970" w:rsidRPr="0067696B" w:rsidTr="00E94471">
        <w:trPr>
          <w:trHeight w:hRule="exact" w:val="510"/>
        </w:trPr>
        <w:tc>
          <w:tcPr>
            <w:tcW w:w="453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453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453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453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A50970" w:rsidRPr="0067696B" w:rsidRDefault="00A50970" w:rsidP="00A50970">
      <w:pPr>
        <w:contextualSpacing/>
        <w:rPr>
          <w:rFonts w:ascii="Arial" w:hAnsi="Arial" w:cs="Arial"/>
          <w:b/>
          <w:sz w:val="20"/>
          <w:szCs w:val="20"/>
        </w:rPr>
      </w:pPr>
    </w:p>
    <w:p w:rsidR="00A50970" w:rsidRDefault="00A50970" w:rsidP="00A5097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A50970" w:rsidRPr="0067696B" w:rsidTr="00E94471">
        <w:trPr>
          <w:trHeight w:val="356"/>
        </w:trPr>
        <w:tc>
          <w:tcPr>
            <w:tcW w:w="6204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A50970" w:rsidRPr="0067696B" w:rsidTr="00E94471">
        <w:tc>
          <w:tcPr>
            <w:tcW w:w="6204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A50970" w:rsidRPr="0067696B" w:rsidTr="00E94471">
        <w:trPr>
          <w:trHeight w:hRule="exact" w:val="510"/>
        </w:trPr>
        <w:tc>
          <w:tcPr>
            <w:tcW w:w="6204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6204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6204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6204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A50970" w:rsidRPr="0067696B" w:rsidRDefault="00A50970" w:rsidP="00A50970">
      <w:pPr>
        <w:contextualSpacing/>
        <w:rPr>
          <w:rFonts w:ascii="Arial" w:hAnsi="Arial" w:cs="Arial"/>
          <w:b/>
          <w:sz w:val="20"/>
          <w:szCs w:val="20"/>
        </w:rPr>
      </w:pPr>
    </w:p>
    <w:p w:rsidR="00A50970" w:rsidRDefault="00A50970" w:rsidP="00A5097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4. A PÁLYÁZÓ AZ ALÁBBI TÁBLÁZAT SZERINT KÖTELES MEGADNI, HOGY A IV.3. PONT SZERINTI TÁBLÁZATBAN MEGJELÖLT 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A50970" w:rsidRPr="0067696B" w:rsidTr="00E94471">
        <w:trPr>
          <w:trHeight w:val="356"/>
        </w:trPr>
        <w:tc>
          <w:tcPr>
            <w:tcW w:w="5245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A50970" w:rsidRPr="0067696B" w:rsidTr="00E94471">
        <w:tc>
          <w:tcPr>
            <w:tcW w:w="5245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A50970" w:rsidRPr="0067696B" w:rsidTr="00E94471">
        <w:trPr>
          <w:trHeight w:hRule="exact" w:val="510"/>
        </w:trPr>
        <w:tc>
          <w:tcPr>
            <w:tcW w:w="5245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5245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5245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970" w:rsidRPr="0067696B" w:rsidTr="00E94471">
        <w:trPr>
          <w:trHeight w:hRule="exact" w:val="510"/>
        </w:trPr>
        <w:tc>
          <w:tcPr>
            <w:tcW w:w="5245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50970" w:rsidRPr="0067696B" w:rsidRDefault="00A50970" w:rsidP="00E944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  <w:sectPr w:rsidR="00A50970" w:rsidRPr="0067696B" w:rsidSect="004A4094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before="240" w:after="240" w:line="240" w:lineRule="auto"/>
        <w:ind w:left="284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V. MÉDIASZOLGÁLTATÁSI DÍJAJÁNLAT</w:t>
      </w: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tabs>
          <w:tab w:val="right" w:pos="2410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hAnsi="Arial" w:cs="Arial"/>
          <w:szCs w:val="20"/>
        </w:rPr>
      </w:pPr>
      <w:r w:rsidRPr="0067696B">
        <w:rPr>
          <w:rFonts w:ascii="Arial" w:hAnsi="Arial" w:cs="Arial"/>
          <w:szCs w:val="20"/>
        </w:rPr>
        <w:t xml:space="preserve"> </w:t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  <w:t xml:space="preserve"> (a pályázó neve) nyilatkozom, hogy a </w:t>
      </w:r>
      <w:r w:rsidRPr="0067696B">
        <w:rPr>
          <w:rFonts w:ascii="Arial" w:eastAsia="Times New Roman" w:hAnsi="Arial" w:cs="Arial"/>
          <w:lang w:eastAsia="hu-HU"/>
        </w:rPr>
        <w:t xml:space="preserve">Fehérgyarmat 99,5 </w:t>
      </w:r>
      <w:r w:rsidRPr="0067696B">
        <w:rPr>
          <w:rFonts w:ascii="Arial" w:hAnsi="Arial" w:cs="Arial"/>
          <w:szCs w:val="20"/>
        </w:rPr>
        <w:t>MHz médiaszolgáltatási lehetőség tekintetében az alábbi médiaszolgáltatási díjajánlatot teszem:</w:t>
      </w:r>
    </w:p>
    <w:p w:rsidR="00A50970" w:rsidRPr="0067696B" w:rsidRDefault="00A50970" w:rsidP="00A50970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hAnsi="Arial" w:cs="Arial"/>
          <w:szCs w:val="20"/>
        </w:rPr>
      </w:pPr>
    </w:p>
    <w:p w:rsidR="00A50970" w:rsidRPr="00CA329A" w:rsidRDefault="00A50970" w:rsidP="00A50970">
      <w:pPr>
        <w:tabs>
          <w:tab w:val="left" w:leader="dot" w:pos="3544"/>
          <w:tab w:val="left" w:leader="dot" w:pos="4678"/>
          <w:tab w:val="left" w:pos="5954"/>
          <w:tab w:val="left" w:leader="dot" w:pos="9638"/>
        </w:tabs>
        <w:contextualSpacing/>
        <w:jc w:val="both"/>
        <w:rPr>
          <w:rFonts w:ascii="Arial" w:eastAsia="Times New Roman" w:hAnsi="Arial" w:cs="Arial"/>
          <w:color w:val="000000"/>
          <w:szCs w:val="20"/>
        </w:rPr>
      </w:pPr>
      <w:r w:rsidRPr="0067696B">
        <w:rPr>
          <w:rFonts w:ascii="Arial" w:hAnsi="Arial" w:cs="Arial"/>
          <w:szCs w:val="20"/>
        </w:rPr>
        <w:t xml:space="preserve">az Információs Táblában megjelölt évi </w:t>
      </w:r>
      <w:r w:rsidRPr="0067696B">
        <w:rPr>
          <w:rFonts w:ascii="Arial" w:hAnsi="Arial" w:cs="Arial"/>
          <w:color w:val="000000"/>
          <w:szCs w:val="20"/>
        </w:rPr>
        <w:t xml:space="preserve">607.000,- </w:t>
      </w:r>
      <w:r w:rsidRPr="0067696B">
        <w:rPr>
          <w:rFonts w:ascii="Arial" w:eastAsia="Times New Roman" w:hAnsi="Arial" w:cs="Arial"/>
          <w:color w:val="000000"/>
          <w:szCs w:val="20"/>
        </w:rPr>
        <w:t xml:space="preserve">Ft + ÁFA (azaz hatszázhétezer forint plusz </w:t>
      </w:r>
      <w:r w:rsidRPr="0067696B">
        <w:rPr>
          <w:rFonts w:ascii="Arial" w:hAnsi="Arial" w:cs="Arial"/>
          <w:szCs w:val="20"/>
        </w:rPr>
        <w:t>általános forgalmi adó</w:t>
      </w:r>
      <w:r w:rsidRPr="0067696B">
        <w:rPr>
          <w:rFonts w:ascii="Arial" w:eastAsia="Times New Roman" w:hAnsi="Arial" w:cs="Arial"/>
          <w:color w:val="000000"/>
          <w:szCs w:val="20"/>
        </w:rPr>
        <w:t>)</w:t>
      </w:r>
      <w:r w:rsidRPr="0067696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Pr="0067696B">
        <w:rPr>
          <w:rFonts w:ascii="Arial" w:hAnsi="Arial" w:cs="Arial"/>
          <w:szCs w:val="20"/>
        </w:rPr>
        <w:tab/>
        <w:t>..</w:t>
      </w:r>
      <w:proofErr w:type="gramEnd"/>
      <w:r w:rsidRPr="0067696B">
        <w:rPr>
          <w:rFonts w:ascii="Arial" w:hAnsi="Arial" w:cs="Arial"/>
          <w:szCs w:val="20"/>
        </w:rPr>
        <w:t>…………………….. Ft + ÁFA (azaz ……</w:t>
      </w:r>
      <w:proofErr w:type="gramStart"/>
      <w:r w:rsidRPr="0067696B">
        <w:rPr>
          <w:rFonts w:ascii="Arial" w:hAnsi="Arial" w:cs="Arial"/>
          <w:szCs w:val="20"/>
        </w:rPr>
        <w:t>…….</w:t>
      </w:r>
      <w:proofErr w:type="gramEnd"/>
      <w:r w:rsidRPr="0067696B">
        <w:rPr>
          <w:rFonts w:ascii="Arial" w:hAnsi="Arial" w:cs="Arial"/>
          <w:szCs w:val="20"/>
        </w:rPr>
        <w:t>.</w:t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67696B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8C5A32">
        <w:rPr>
          <w:rFonts w:ascii="Arial" w:eastAsia="Times New Roman" w:hAnsi="Arial" w:cs="Arial"/>
          <w:snapToGrid w:val="0"/>
          <w:color w:val="000000"/>
          <w:szCs w:val="20"/>
        </w:rPr>
        <w:t>3</w:t>
      </w:r>
      <w:r w:rsidRPr="0067696B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Pr="0067696B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67696B">
        <w:rPr>
          <w:rFonts w:ascii="Arial" w:hAnsi="Arial" w:cs="Arial"/>
          <w:szCs w:val="20"/>
        </w:rPr>
        <w:t xml:space="preserve">évi összesen </w:t>
      </w:r>
      <w:r w:rsidRPr="0067696B">
        <w:rPr>
          <w:rFonts w:ascii="Arial" w:hAnsi="Arial" w:cs="Arial"/>
          <w:szCs w:val="20"/>
        </w:rPr>
        <w:tab/>
        <w:t>………</w:t>
      </w:r>
      <w:proofErr w:type="gramStart"/>
      <w:r w:rsidRPr="0067696B">
        <w:rPr>
          <w:rFonts w:ascii="Arial" w:hAnsi="Arial" w:cs="Arial"/>
          <w:szCs w:val="20"/>
        </w:rPr>
        <w:t>…….</w:t>
      </w:r>
      <w:proofErr w:type="gramEnd"/>
      <w:r w:rsidRPr="0067696B">
        <w:rPr>
          <w:rFonts w:ascii="Arial" w:hAnsi="Arial" w:cs="Arial"/>
          <w:szCs w:val="20"/>
        </w:rPr>
        <w:t>Ft + ÁFA.</w:t>
      </w:r>
    </w:p>
    <w:p w:rsidR="00A50970" w:rsidRPr="0067696B" w:rsidRDefault="00A50970" w:rsidP="00A50970">
      <w:pPr>
        <w:contextualSpacing/>
        <w:rPr>
          <w:rFonts w:ascii="Arial" w:hAnsi="Arial" w:cs="Arial"/>
          <w:sz w:val="24"/>
        </w:rPr>
      </w:pPr>
    </w:p>
    <w:p w:rsidR="00A50970" w:rsidRPr="0067696B" w:rsidRDefault="00A50970" w:rsidP="00A50970">
      <w:pPr>
        <w:contextualSpacing/>
        <w:rPr>
          <w:rFonts w:ascii="Arial" w:hAnsi="Arial" w:cs="Arial"/>
          <w:sz w:val="24"/>
        </w:rPr>
      </w:pPr>
    </w:p>
    <w:p w:rsidR="00A50970" w:rsidRPr="0067696B" w:rsidRDefault="00A50970" w:rsidP="00A50970">
      <w:pPr>
        <w:tabs>
          <w:tab w:val="left" w:pos="426"/>
          <w:tab w:val="left" w:leader="dot" w:pos="3402"/>
        </w:tabs>
        <w:contextualSpacing/>
        <w:rPr>
          <w:rFonts w:ascii="Arial" w:hAnsi="Arial" w:cs="Arial"/>
          <w:szCs w:val="20"/>
        </w:rPr>
      </w:pPr>
      <w:r w:rsidRPr="0067696B">
        <w:rPr>
          <w:rFonts w:ascii="Arial" w:hAnsi="Arial" w:cs="Arial"/>
          <w:szCs w:val="20"/>
        </w:rPr>
        <w:t xml:space="preserve">Kelt: </w:t>
      </w:r>
      <w:r w:rsidRPr="0067696B">
        <w:rPr>
          <w:rFonts w:ascii="Arial" w:hAnsi="Arial" w:cs="Arial"/>
          <w:szCs w:val="20"/>
        </w:rPr>
        <w:tab/>
      </w:r>
    </w:p>
    <w:p w:rsidR="00A50970" w:rsidRPr="0067696B" w:rsidRDefault="00A50970" w:rsidP="00A50970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A50970" w:rsidRPr="0067696B" w:rsidRDefault="00A50970" w:rsidP="00A50970">
      <w:pPr>
        <w:tabs>
          <w:tab w:val="center" w:pos="6804"/>
        </w:tabs>
        <w:rPr>
          <w:rFonts w:ascii="Arial" w:hAnsi="Arial" w:cs="Arial"/>
          <w:szCs w:val="20"/>
        </w:rPr>
      </w:pPr>
    </w:p>
    <w:p w:rsidR="00A50970" w:rsidRPr="0067696B" w:rsidRDefault="00A50970" w:rsidP="00A50970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67696B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A50970" w:rsidRPr="0067696B" w:rsidRDefault="00A50970" w:rsidP="00A50970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67696B">
        <w:rPr>
          <w:rFonts w:ascii="Arial" w:hAnsi="Arial" w:cs="Arial"/>
          <w:szCs w:val="20"/>
        </w:rPr>
        <w:tab/>
        <w:t>aláírás</w:t>
      </w:r>
    </w:p>
    <w:p w:rsidR="00A50970" w:rsidRPr="0067696B" w:rsidRDefault="00A50970" w:rsidP="00A50970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A50970" w:rsidRPr="0067696B" w:rsidRDefault="00A50970" w:rsidP="00A50970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</w:p>
    <w:p w:rsidR="00A50970" w:rsidRPr="0067696B" w:rsidRDefault="00A50970" w:rsidP="00A50970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:rsidR="00A50970" w:rsidRPr="0067696B" w:rsidRDefault="00A50970" w:rsidP="00A50970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67696B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A50970" w:rsidRPr="0067696B" w:rsidRDefault="00A50970" w:rsidP="00A50970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Cs w:val="20"/>
        </w:rPr>
        <w:tab/>
        <w:t>a pályázó neve</w:t>
      </w:r>
      <w:r w:rsidRPr="0067696B">
        <w:rPr>
          <w:rFonts w:ascii="Arial" w:hAnsi="Arial" w:cs="Arial"/>
          <w:szCs w:val="20"/>
          <w:vertAlign w:val="superscript"/>
        </w:rPr>
        <w:footnoteReference w:id="18"/>
      </w:r>
    </w:p>
    <w:p w:rsidR="00A50970" w:rsidRPr="0067696B" w:rsidRDefault="00A50970" w:rsidP="00A50970">
      <w:pPr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keepNext/>
        <w:keepLines/>
        <w:spacing w:before="240" w:after="240" w:line="240" w:lineRule="auto"/>
        <w:ind w:left="284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VI. A PÁLYÁZÓ ÜZLETI ÉS PÉNZÜGYI TERVE</w:t>
      </w: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1. 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A50970" w:rsidRPr="0067696B" w:rsidTr="00E94471">
        <w:trPr>
          <w:trHeight w:val="11340"/>
        </w:trPr>
        <w:tc>
          <w:tcPr>
            <w:tcW w:w="14601" w:type="dxa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/>
    <w:p w:rsidR="00A50970" w:rsidRDefault="00A50970" w:rsidP="00A50970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A50970" w:rsidRPr="0067696B" w:rsidRDefault="00A50970" w:rsidP="00A50970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2. 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A50970" w:rsidRPr="0067696B" w:rsidTr="00E94471">
        <w:trPr>
          <w:trHeight w:val="11340"/>
        </w:trPr>
        <w:tc>
          <w:tcPr>
            <w:tcW w:w="9781" w:type="dxa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3. 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A50970" w:rsidRPr="0067696B" w:rsidTr="00E94471">
        <w:trPr>
          <w:trHeight w:val="11340"/>
        </w:trPr>
        <w:tc>
          <w:tcPr>
            <w:tcW w:w="9781" w:type="dxa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4. 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A50970" w:rsidRPr="0067696B" w:rsidTr="00E94471">
        <w:trPr>
          <w:trHeight w:val="11340"/>
        </w:trPr>
        <w:tc>
          <w:tcPr>
            <w:tcW w:w="9781" w:type="dxa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A50970" w:rsidRPr="0067696B" w:rsidRDefault="00A50970" w:rsidP="00A50970">
      <w:pPr>
        <w:contextualSpacing/>
        <w:rPr>
          <w:rFonts w:ascii="Arial" w:hAnsi="Arial" w:cs="Arial"/>
          <w:sz w:val="20"/>
          <w:szCs w:val="20"/>
        </w:rPr>
      </w:pPr>
    </w:p>
    <w:p w:rsidR="00A50970" w:rsidRPr="0067696B" w:rsidRDefault="00A50970" w:rsidP="00A50970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5. 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A50970" w:rsidRPr="0067696B" w:rsidTr="00E94471">
        <w:trPr>
          <w:trHeight w:val="11340"/>
        </w:trPr>
        <w:tc>
          <w:tcPr>
            <w:tcW w:w="9781" w:type="dxa"/>
          </w:tcPr>
          <w:p w:rsidR="00A50970" w:rsidRPr="0067696B" w:rsidRDefault="00A50970" w:rsidP="00E9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970" w:rsidRDefault="00A50970"/>
    <w:sectPr w:rsidR="00A50970" w:rsidSect="00A50970">
      <w:pgSz w:w="11906" w:h="16838"/>
      <w:pgMar w:top="204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970" w:rsidRDefault="00A50970" w:rsidP="00A50970">
      <w:pPr>
        <w:spacing w:after="0" w:line="240" w:lineRule="auto"/>
      </w:pPr>
      <w:r>
        <w:separator/>
      </w:r>
    </w:p>
  </w:endnote>
  <w:endnote w:type="continuationSeparator" w:id="0">
    <w:p w:rsidR="00A50970" w:rsidRDefault="00A50970" w:rsidP="00A5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70" w:rsidRPr="00E52174" w:rsidRDefault="00A50970">
    <w:pPr>
      <w:pStyle w:val="llb"/>
      <w:jc w:val="right"/>
      <w:rPr>
        <w:sz w:val="24"/>
      </w:rPr>
    </w:pPr>
  </w:p>
  <w:p w:rsidR="00A50970" w:rsidRDefault="00A509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970" w:rsidRDefault="00A50970" w:rsidP="00A50970">
      <w:pPr>
        <w:spacing w:after="0" w:line="240" w:lineRule="auto"/>
      </w:pPr>
      <w:r>
        <w:separator/>
      </w:r>
    </w:p>
  </w:footnote>
  <w:footnote w:type="continuationSeparator" w:id="0">
    <w:p w:rsidR="00A50970" w:rsidRDefault="00A50970" w:rsidP="00A50970">
      <w:pPr>
        <w:spacing w:after="0" w:line="240" w:lineRule="auto"/>
      </w:pPr>
      <w:r>
        <w:continuationSeparator/>
      </w:r>
    </w:p>
  </w:footnote>
  <w:footnote w:id="1">
    <w:p w:rsidR="00A50970" w:rsidRPr="00ED3CFC" w:rsidRDefault="00A50970" w:rsidP="00A50970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</w:t>
      </w:r>
      <w:r>
        <w:rPr>
          <w:rFonts w:ascii="Arial" w:hAnsi="Arial" w:cs="Arial"/>
          <w:sz w:val="18"/>
          <w:szCs w:val="18"/>
        </w:rPr>
        <w:t>.</w:t>
      </w:r>
      <w:r w:rsidRPr="00ED3CFC">
        <w:rPr>
          <w:rFonts w:ascii="Arial" w:hAnsi="Arial" w:cs="Arial"/>
          <w:sz w:val="18"/>
          <w:szCs w:val="18"/>
        </w:rPr>
        <w:t xml:space="preserve"> 56. § d) pont</w:t>
      </w:r>
    </w:p>
  </w:footnote>
  <w:footnote w:id="2">
    <w:p w:rsidR="00A50970" w:rsidRPr="00ED3CFC" w:rsidRDefault="00A50970" w:rsidP="00A50970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A50970" w:rsidRPr="00ED3CFC" w:rsidRDefault="00A50970" w:rsidP="00A5097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:rsidR="00A50970" w:rsidRPr="00ED3CFC" w:rsidRDefault="00A50970" w:rsidP="00A5097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5">
    <w:p w:rsidR="00A50970" w:rsidRPr="00ED3CFC" w:rsidRDefault="00A50970" w:rsidP="00A5097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</w:t>
      </w:r>
      <w:r w:rsidRPr="00ED3CFC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6">
    <w:p w:rsidR="00A50970" w:rsidRPr="002F3596" w:rsidRDefault="00A50970" w:rsidP="00A5097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7">
    <w:p w:rsidR="00A50970" w:rsidRPr="002F3596" w:rsidRDefault="00A50970" w:rsidP="00A5097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8">
    <w:p w:rsidR="00A50970" w:rsidRPr="002F3596" w:rsidRDefault="00A50970" w:rsidP="00A5097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:rsidR="00A50970" w:rsidRPr="002F3596" w:rsidRDefault="00A50970" w:rsidP="00A5097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2F3596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0">
    <w:p w:rsidR="00A50970" w:rsidRPr="002F3596" w:rsidRDefault="00A50970" w:rsidP="00A5097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</w:t>
      </w:r>
      <w:r w:rsidRPr="002F3596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11">
    <w:p w:rsidR="00A50970" w:rsidRPr="002F3596" w:rsidRDefault="00A50970" w:rsidP="00A5097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2">
    <w:p w:rsidR="00A50970" w:rsidRPr="002F3596" w:rsidRDefault="00A50970" w:rsidP="00A5097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:rsidR="00A50970" w:rsidRPr="0024744B" w:rsidRDefault="00A50970" w:rsidP="00A50970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:rsidR="00A50970" w:rsidRPr="0024744B" w:rsidRDefault="00A50970" w:rsidP="00A50970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A50970" w:rsidRPr="0024744B" w:rsidRDefault="00A50970" w:rsidP="00A50970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A50970" w:rsidRPr="002F3596" w:rsidRDefault="00A50970" w:rsidP="00A50970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7">
    <w:p w:rsidR="00A50970" w:rsidRPr="002F3596" w:rsidRDefault="00A50970" w:rsidP="00A5097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A50970" w:rsidRDefault="00A50970" w:rsidP="00A50970">
      <w:pPr>
        <w:pStyle w:val="Lbjegyzetszveg"/>
        <w:jc w:val="both"/>
      </w:pPr>
      <w:r w:rsidRPr="00937B82">
        <w:rPr>
          <w:rStyle w:val="Lbjegyzet-hivatkozs"/>
          <w:rFonts w:ascii="Arial" w:hAnsi="Arial" w:cs="Arial"/>
        </w:rPr>
        <w:footnoteRef/>
      </w:r>
      <w:r w:rsidRPr="00937B82">
        <w:rPr>
          <w:rFonts w:ascii="Arial" w:hAnsi="Arial" w:cs="Arial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 xml:space="preserve">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</w:t>
      </w:r>
      <w:r>
        <w:rPr>
          <w:rFonts w:ascii="Arial" w:hAnsi="Arial" w:cs="Arial"/>
          <w:sz w:val="18"/>
          <w:szCs w:val="18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70" w:rsidRDefault="00A50970" w:rsidP="004A4094">
    <w:pPr>
      <w:pStyle w:val="lfej"/>
      <w:tabs>
        <w:tab w:val="clear" w:pos="4536"/>
        <w:tab w:val="clear" w:pos="9072"/>
      </w:tabs>
    </w:pPr>
  </w:p>
  <w:p w:rsidR="00A50970" w:rsidRDefault="00A50970" w:rsidP="004A4094">
    <w:pPr>
      <w:pStyle w:val="lfej"/>
      <w:tabs>
        <w:tab w:val="clear" w:pos="4536"/>
        <w:tab w:val="clear" w:pos="9072"/>
      </w:tabs>
    </w:pPr>
  </w:p>
  <w:p w:rsidR="00A50970" w:rsidRDefault="00A50970" w:rsidP="004A4094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A50970" w:rsidRPr="00E52174" w:rsidRDefault="00A50970" w:rsidP="004A4094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1F9E4EBB" wp14:editId="173F18C7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Fehérgyarmat 99,5 </w:t>
    </w:r>
    <w:r w:rsidRPr="00E52174">
      <w:rPr>
        <w:rFonts w:ascii="Arial" w:hAnsi="Arial" w:cs="Arial"/>
        <w:szCs w:val="20"/>
      </w:rPr>
      <w:t>MHz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70"/>
    <w:rsid w:val="008C5A32"/>
    <w:rsid w:val="008E4BFF"/>
    <w:rsid w:val="00A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E973-5154-4743-9A65-DBCF32F4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09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A509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50970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A5097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5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0970"/>
  </w:style>
  <w:style w:type="paragraph" w:styleId="llb">
    <w:name w:val="footer"/>
    <w:basedOn w:val="Norml"/>
    <w:link w:val="llbChar"/>
    <w:uiPriority w:val="99"/>
    <w:unhideWhenUsed/>
    <w:rsid w:val="00A5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976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3</cp:revision>
  <dcterms:created xsi:type="dcterms:W3CDTF">2023-03-31T10:43:00Z</dcterms:created>
  <dcterms:modified xsi:type="dcterms:W3CDTF">2023-04-04T13:01:00Z</dcterms:modified>
</cp:coreProperties>
</file>